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5" w:name="X9b62dfa274d062925573828a4697b4217bdef00"/>
    <w:p>
      <w:pPr>
        <w:pStyle w:val="Heading1"/>
      </w:pPr>
      <w:r>
        <w:t xml:space="preserve">Guía de Oportunidades para Toda la Vida 55</w:t>
      </w:r>
    </w:p>
    <w:bookmarkStart w:id="20" w:name="X16c6f76caebd464f7f83049f871664a9fa6ce87"/>
    <w:p>
      <w:pPr>
        <w:pStyle w:val="Heading2"/>
      </w:pPr>
      <w:r>
        <w:t xml:space="preserve">Auxiliar de Salud en el Hogar y Cuidado Personal</w:t>
      </w:r>
    </w:p>
    <w:p>
      <w:pPr>
        <w:pStyle w:val="FirstParagraph"/>
      </w:pPr>
      <w:r>
        <w:rPr>
          <w:bCs/>
          <w:b/>
        </w:rPr>
        <w:t xml:space="preserve">Revisión controlada 2026 — localización al español de América Latina (</w:t>
      </w:r>
      <w:r>
        <w:rPr>
          <w:rStyle w:val="VerbatimChar"/>
          <w:bCs/>
          <w:b/>
        </w:rPr>
        <w:t xml:space="preserve">es-419</w:t>
      </w:r>
      <w:r>
        <w:rPr>
          <w:bCs/>
          <w:b/>
        </w:rPr>
        <w:t xml:space="preserve">)</w:t>
      </w:r>
      <w:r>
        <w:br/>
      </w:r>
      <w:r>
        <w:t xml:space="preserve">Creada y dirigida por</w:t>
      </w:r>
      <w:r>
        <w:t xml:space="preserve"> </w:t>
      </w:r>
      <w:r>
        <w:rPr>
          <w:bCs/>
          <w:b/>
        </w:rPr>
        <w:t xml:space="preserve">Alberto “Al” Leiva</w:t>
      </w:r>
      <w:r>
        <w:br/>
      </w:r>
      <w:r>
        <w:t xml:space="preserve">Licencia:</w:t>
      </w:r>
      <w:r>
        <w:t xml:space="preserve"> </w:t>
      </w:r>
      <w:r>
        <w:rPr>
          <w:bCs/>
          <w:b/>
        </w:rPr>
        <w:t xml:space="preserve">CC BY-NC-SA 4.0</w:t>
      </w:r>
    </w:p>
    <w:p>
      <w:pPr>
        <w:pStyle w:val="BlockText"/>
      </w:pPr>
      <w:r>
        <w:t xml:space="preserve">Esta guía ofrece información educativa para la planificación profesional. No constituye asesoría médica, de enfermería, legal, migratoria, de licenciamiento, acreditación ni financiera. Los requisitos y las funciones permitidas varían según el país, estado/provincia, empleador, pagador y entorno de atención. Verifique siempre las normas aplicables en el lugar donde piensa trabajar.</w:t>
      </w:r>
    </w:p>
    <w:bookmarkEnd w:id="20"/>
    <w:bookmarkStart w:id="21" w:name="Xeaebd2e4f23a2990237c6b4458a408a20eed185"/>
    <w:p>
      <w:pPr>
        <w:pStyle w:val="Heading2"/>
      </w:pPr>
      <w:r>
        <w:t xml:space="preserve">1. Por qué importa esta carrera</w:t>
      </w:r>
    </w:p>
    <w:p>
      <w:pPr>
        <w:pStyle w:val="FirstParagraph"/>
      </w:pPr>
      <w:r>
        <w:t xml:space="preserve">Las personas que trabajan como auxiliares de salud en el hogar, cuidadores y asistentes de cuidado personal ayudan a que otras personas permanezcan más seguras, independientes y conectadas en sus hogares y comunidades. Según el puesto y la jurisdicción, el trabajo puede incluir cuidado personal, compañía, apoyo con alimentos, tareas domésticas ligeras, apoyo a la movilidad, observación y reporte, u otras funciones autorizadas por el empleador, el plan de cuidado, la capacitación y la ley aplicable.</w:t>
      </w:r>
    </w:p>
    <w:p>
      <w:pPr>
        <w:pStyle w:val="BodyText"/>
      </w:pPr>
      <w:r>
        <w:t xml:space="preserve">Es un trabajo centrado en las personas. La tecnología puede apoyar la programación, documentación, aprendizaje y comunicación, pero el valor principal proviene de la confiabilidad, observación, empatía, dignidad, paciencia y apoyo práctico seguro.</w:t>
      </w:r>
    </w:p>
    <w:p>
      <w:pPr>
        <w:pStyle w:val="BodyText"/>
      </w:pPr>
      <w:r>
        <w:t xml:space="preserve">La ocupación cobra especial importancia a medida que envejece la población y una mayor proporción del cuidado de largo plazo se desplaza de instituciones hacia servicios domiciliarios y comunitarios.</w:t>
      </w:r>
    </w:p>
    <w:bookmarkEnd w:id="21"/>
    <w:bookmarkStart w:id="22" w:name="X14c7eabb4b6725fb5fdc6db0d59d13f2b0278a5"/>
    <w:p>
      <w:pPr>
        <w:pStyle w:val="Heading2"/>
      </w:pPr>
      <w:r>
        <w:t xml:space="preserve">2. Panorama de la carrera</w:t>
      </w:r>
    </w:p>
    <w:p>
      <w:pPr>
        <w:pStyle w:val="FirstParagraph"/>
      </w:pPr>
      <w:r>
        <w:t xml:space="preserve">Una persona con buen ajuste para este trabajo suele sentirse cómoda con:</w:t>
      </w:r>
    </w:p>
    <w:p>
      <w:pPr>
        <w:numPr>
          <w:ilvl w:val="0"/>
          <w:numId w:val="1001"/>
        </w:numPr>
        <w:pStyle w:val="Compact"/>
      </w:pPr>
      <w:r>
        <w:t xml:space="preserve">ayudar en actividades de la vida diaria;</w:t>
      </w:r>
    </w:p>
    <w:p>
      <w:pPr>
        <w:numPr>
          <w:ilvl w:val="0"/>
          <w:numId w:val="1001"/>
        </w:numPr>
        <w:pStyle w:val="Compact"/>
      </w:pPr>
      <w:r>
        <w:t xml:space="preserve">estar físicamente presente y ser confiable;</w:t>
      </w:r>
    </w:p>
    <w:p>
      <w:pPr>
        <w:numPr>
          <w:ilvl w:val="0"/>
          <w:numId w:val="1001"/>
        </w:numPr>
        <w:pStyle w:val="Compact"/>
      </w:pPr>
      <w:r>
        <w:t xml:space="preserve">seguir un plan de cuidado escrito o instrucciones del empleador;</w:t>
      </w:r>
    </w:p>
    <w:p>
      <w:pPr>
        <w:numPr>
          <w:ilvl w:val="0"/>
          <w:numId w:val="1001"/>
        </w:numPr>
        <w:pStyle w:val="Compact"/>
      </w:pPr>
      <w:r>
        <w:t xml:space="preserve">observar y reportar cambios sin convertirlos en diagnósticos;</w:t>
      </w:r>
    </w:p>
    <w:p>
      <w:pPr>
        <w:numPr>
          <w:ilvl w:val="0"/>
          <w:numId w:val="1001"/>
        </w:numPr>
        <w:pStyle w:val="Compact"/>
      </w:pPr>
      <w:r>
        <w:t xml:space="preserve">comunicarse respetuosamente con clientes, familiares, enfermería, terapeutas, supervisores y otros integrantes del equipo de atención;</w:t>
      </w:r>
    </w:p>
    <w:p>
      <w:pPr>
        <w:numPr>
          <w:ilvl w:val="0"/>
          <w:numId w:val="1001"/>
        </w:numPr>
        <w:pStyle w:val="Compact"/>
      </w:pPr>
      <w:r>
        <w:t xml:space="preserve">proteger información privada de salud y datos personales;</w:t>
      </w:r>
    </w:p>
    <w:p>
      <w:pPr>
        <w:numPr>
          <w:ilvl w:val="0"/>
          <w:numId w:val="1001"/>
        </w:numPr>
        <w:pStyle w:val="Compact"/>
      </w:pPr>
      <w:r>
        <w:t xml:space="preserve">trabajar en hogares que pueden variar mucho en limpieza, accesibilidad, dinámica familiar, mascotas, ruido o disponibilidad de equipos;</w:t>
      </w:r>
    </w:p>
    <w:p>
      <w:pPr>
        <w:numPr>
          <w:ilvl w:val="0"/>
          <w:numId w:val="1001"/>
        </w:numPr>
        <w:pStyle w:val="Compact"/>
      </w:pPr>
      <w:r>
        <w:t xml:space="preserve">mantener límites profesionales aunque las relaciones se vuelvan emocionalmente cercanas;</w:t>
      </w:r>
    </w:p>
    <w:p>
      <w:pPr>
        <w:numPr>
          <w:ilvl w:val="0"/>
          <w:numId w:val="1001"/>
        </w:numPr>
        <w:pStyle w:val="Compact"/>
      </w:pPr>
      <w:r>
        <w:t xml:space="preserve">aprender procedimientos seguros de traslado, prevención de infecciones, emergencias y documentación.</w:t>
      </w:r>
    </w:p>
    <w:p>
      <w:pPr>
        <w:pStyle w:val="FirstParagraph"/>
      </w:pPr>
      <w:r>
        <w:t xml:space="preserve">Esta carrera puede no ser adecuada si le incomoda mucho el cuidado personal directo, no tolera entornos domiciliarios variables, no puede seguir de manera confiable instrucciones de seguridad o espera realizar tareas clínicas sin la credencial y supervisión requeridas en su jurisdicción.</w:t>
      </w:r>
    </w:p>
    <w:bookmarkEnd w:id="22"/>
    <w:bookmarkStart w:id="24" w:name="X9d2aefb9f1dc726d952511bdac847cf5c5ff38e"/>
    <w:p>
      <w:pPr>
        <w:pStyle w:val="Heading2"/>
      </w:pPr>
      <w:r>
        <w:t xml:space="preserve">3. Qué suelen hacer los auxiliares y cuidadores</w:t>
      </w:r>
    </w:p>
    <w:p>
      <w:pPr>
        <w:pStyle w:val="FirstParagraph"/>
      </w:pPr>
      <w:r>
        <w:t xml:space="preserve">Las funciones reales varían. Algunos ejemplos comunes y no exhaustivos incluyen:</w:t>
      </w:r>
    </w:p>
    <w:p>
      <w:pPr>
        <w:numPr>
          <w:ilvl w:val="0"/>
          <w:numId w:val="1002"/>
        </w:numPr>
        <w:pStyle w:val="Compact"/>
      </w:pPr>
      <w:r>
        <w:t xml:space="preserve">ayudar con baño, aseo, vestido, uso del baño y otras actividades de cuidado personal;</w:t>
      </w:r>
    </w:p>
    <w:p>
      <w:pPr>
        <w:numPr>
          <w:ilvl w:val="0"/>
          <w:numId w:val="1002"/>
        </w:numPr>
        <w:pStyle w:val="Compact"/>
      </w:pPr>
      <w:r>
        <w:t xml:space="preserve">apoyar la marcha segura, traslados, posicionamiento y rutinas de movilidad prescritas dentro de la capacitación y el alcance autorizado;</w:t>
      </w:r>
    </w:p>
    <w:p>
      <w:pPr>
        <w:numPr>
          <w:ilvl w:val="0"/>
          <w:numId w:val="1002"/>
        </w:numPr>
        <w:pStyle w:val="Compact"/>
      </w:pPr>
      <w:r>
        <w:t xml:space="preserve">preparar comidas sencillas y apoyar planes de hidratación y nutrición;</w:t>
      </w:r>
    </w:p>
    <w:p>
      <w:pPr>
        <w:numPr>
          <w:ilvl w:val="0"/>
          <w:numId w:val="1002"/>
        </w:numPr>
        <w:pStyle w:val="Compact"/>
      </w:pPr>
      <w:r>
        <w:t xml:space="preserve">brindar compañía y apoyo social;</w:t>
      </w:r>
    </w:p>
    <w:p>
      <w:pPr>
        <w:numPr>
          <w:ilvl w:val="0"/>
          <w:numId w:val="1002"/>
        </w:numPr>
        <w:pStyle w:val="Compact"/>
      </w:pPr>
      <w:r>
        <w:t xml:space="preserve">ayudar con tareas domésticas ligeras relacionadas con un entorno seguro para el cliente;</w:t>
      </w:r>
    </w:p>
    <w:p>
      <w:pPr>
        <w:numPr>
          <w:ilvl w:val="0"/>
          <w:numId w:val="1002"/>
        </w:numPr>
        <w:pStyle w:val="Compact"/>
      </w:pPr>
      <w:r>
        <w:t xml:space="preserve">acompañar a citas o diligencias cuando el puesto lo permita;</w:t>
      </w:r>
    </w:p>
    <w:p>
      <w:pPr>
        <w:numPr>
          <w:ilvl w:val="0"/>
          <w:numId w:val="1002"/>
        </w:numPr>
        <w:pStyle w:val="Compact"/>
      </w:pPr>
      <w:r>
        <w:t xml:space="preserve">observar y reportar cambios en condición, conducta, piel, movilidad, apetito, hidratación o seguridad;</w:t>
      </w:r>
    </w:p>
    <w:p>
      <w:pPr>
        <w:numPr>
          <w:ilvl w:val="0"/>
          <w:numId w:val="1002"/>
        </w:numPr>
        <w:pStyle w:val="Compact"/>
      </w:pPr>
      <w:r>
        <w:t xml:space="preserve">documentar los servicios según los procedimientos de la agencia o empleador;</w:t>
      </w:r>
    </w:p>
    <w:p>
      <w:pPr>
        <w:numPr>
          <w:ilvl w:val="0"/>
          <w:numId w:val="1002"/>
        </w:numPr>
        <w:pStyle w:val="Compact"/>
      </w:pPr>
      <w:r>
        <w:t xml:space="preserve">seguir procedimientos de prevención de infecciones y emergencias;</w:t>
      </w:r>
    </w:p>
    <w:p>
      <w:pPr>
        <w:numPr>
          <w:ilvl w:val="0"/>
          <w:numId w:val="1002"/>
        </w:numPr>
        <w:pStyle w:val="Compact"/>
      </w:pPr>
      <w:r>
        <w:t xml:space="preserve">ayudar a mantener rutinas y recordatorios;</w:t>
      </w:r>
    </w:p>
    <w:p>
      <w:pPr>
        <w:numPr>
          <w:ilvl w:val="0"/>
          <w:numId w:val="1002"/>
        </w:numPr>
        <w:pStyle w:val="Compact"/>
      </w:pPr>
      <w:r>
        <w:t xml:space="preserve">apoyar la independencia en lugar de hacer automáticamente todas las tareas por la persona.</w:t>
      </w:r>
    </w:p>
    <w:bookmarkStart w:id="23" w:name="Xde694bcc5d5fc21d200489e574ba16f314f7e40"/>
    <w:p>
      <w:pPr>
        <w:pStyle w:val="Heading3"/>
      </w:pPr>
      <w:r>
        <w:t xml:space="preserve">No asuma que todo auxiliar puede realizar tareas clínicas</w:t>
      </w:r>
    </w:p>
    <w:p>
      <w:pPr>
        <w:pStyle w:val="FirstParagraph"/>
      </w:pPr>
      <w:r>
        <w:t xml:space="preserve">Un título como cuidador, asistente de cuidado personal, trabajador de apoyo domiciliario o auxiliar de salud en el hogar</w:t>
      </w:r>
      <w:r>
        <w:t xml:space="preserve"> </w:t>
      </w:r>
      <w:r>
        <w:rPr>
          <w:bCs/>
          <w:b/>
        </w:rPr>
        <w:t xml:space="preserve">no</w:t>
      </w:r>
      <w:r>
        <w:t xml:space="preserve"> </w:t>
      </w:r>
      <w:r>
        <w:t xml:space="preserve">autoriza automáticamente a aplicar inyecciones, realizar curaciones, manejar catéteres, administrar medicamentos, hacer valoraciones clínicas u otras actividades reguladas de salud.</w:t>
      </w:r>
    </w:p>
    <w:p>
      <w:pPr>
        <w:pStyle w:val="BodyText"/>
      </w:pPr>
      <w:r>
        <w:t xml:space="preserve">Realice una tarea únicamente cuando esté permitida por la ley aplicable, incluida en su función o plan de cuidado autorizado, respaldada por la capacitación o credencial requerida y permitida por su empleador o profesional supervisor.</w:t>
      </w:r>
    </w:p>
    <w:bookmarkEnd w:id="23"/>
    <w:bookmarkEnd w:id="24"/>
    <w:bookmarkStart w:id="25" w:name="X38010905ca11bdfd076a619afdb297fd3b33dd5"/>
    <w:p>
      <w:pPr>
        <w:pStyle w:val="Heading2"/>
      </w:pPr>
      <w:r>
        <w:t xml:space="preserve">4. Entornos de trabajo</w:t>
      </w:r>
    </w:p>
    <w:p>
      <w:pPr>
        <w:pStyle w:val="FirstParagraph"/>
      </w:pPr>
      <w:r>
        <w:t xml:space="preserve">Puede trabajar para:</w:t>
      </w:r>
    </w:p>
    <w:p>
      <w:pPr>
        <w:numPr>
          <w:ilvl w:val="0"/>
          <w:numId w:val="1003"/>
        </w:numPr>
        <w:pStyle w:val="Compact"/>
      </w:pPr>
      <w:r>
        <w:t xml:space="preserve">una agencia de salud o cuidado domiciliario;</w:t>
      </w:r>
    </w:p>
    <w:p>
      <w:pPr>
        <w:numPr>
          <w:ilvl w:val="0"/>
          <w:numId w:val="1003"/>
        </w:numPr>
        <w:pStyle w:val="Compact"/>
      </w:pPr>
      <w:r>
        <w:t xml:space="preserve">una organización de apoyo personal o cuidado comunitario;</w:t>
      </w:r>
    </w:p>
    <w:p>
      <w:pPr>
        <w:numPr>
          <w:ilvl w:val="0"/>
          <w:numId w:val="1003"/>
        </w:numPr>
        <w:pStyle w:val="Compact"/>
      </w:pPr>
      <w:r>
        <w:t xml:space="preserve">un proveedor de vivienda asistida o cuidado residencial;</w:t>
      </w:r>
    </w:p>
    <w:p>
      <w:pPr>
        <w:numPr>
          <w:ilvl w:val="0"/>
          <w:numId w:val="1003"/>
        </w:numPr>
        <w:pStyle w:val="Compact"/>
      </w:pPr>
      <w:r>
        <w:t xml:space="preserve">una organización de cuidados paliativos u hospice;</w:t>
      </w:r>
    </w:p>
    <w:p>
      <w:pPr>
        <w:numPr>
          <w:ilvl w:val="0"/>
          <w:numId w:val="1003"/>
        </w:numPr>
        <w:pStyle w:val="Compact"/>
      </w:pPr>
      <w:r>
        <w:t xml:space="preserve">un hogar particular;</w:t>
      </w:r>
    </w:p>
    <w:p>
      <w:pPr>
        <w:numPr>
          <w:ilvl w:val="0"/>
          <w:numId w:val="1003"/>
        </w:numPr>
        <w:pStyle w:val="Compact"/>
      </w:pPr>
      <w:r>
        <w:t xml:space="preserve">una organización pública o sin fines de lucro de servicios sociales;</w:t>
      </w:r>
    </w:p>
    <w:p>
      <w:pPr>
        <w:numPr>
          <w:ilvl w:val="0"/>
          <w:numId w:val="1003"/>
        </w:numPr>
        <w:pStyle w:val="Compact"/>
      </w:pPr>
      <w:r>
        <w:t xml:space="preserve">un acuerdo de atención dirigido por el propio cliente cuando la legislación local lo permita.</w:t>
      </w:r>
    </w:p>
    <w:p>
      <w:pPr>
        <w:pStyle w:val="FirstParagraph"/>
      </w:pPr>
      <w:r>
        <w:t xml:space="preserve">Algunas personas visitan varios clientes al día. Otras permanecen con un solo cliente durante un turno más largo. El tiempo de viaje, transporte, clima, seguridad del vecindario, estacionamiento y periodos no pagados entre visitas pueden afectar de manera importante el valor real de una oferta laboral.</w:t>
      </w:r>
    </w:p>
    <w:bookmarkEnd w:id="25"/>
    <w:bookmarkStart w:id="26" w:name="X84b1a65c838e7900f214bb37e38e5590990b6a3"/>
    <w:p>
      <w:pPr>
        <w:pStyle w:val="Heading2"/>
      </w:pPr>
      <w:r>
        <w:t xml:space="preserve">5. Realidades físicas y emocionales</w:t>
      </w:r>
    </w:p>
    <w:p>
      <w:pPr>
        <w:pStyle w:val="FirstParagraph"/>
      </w:pPr>
      <w:r>
        <w:t xml:space="preserve">Este trabajo puede ser significativo y físicamente exigente al mismo tiempo.</w:t>
      </w:r>
    </w:p>
    <w:p>
      <w:pPr>
        <w:pStyle w:val="BodyText"/>
      </w:pPr>
      <w:r>
        <w:t xml:space="preserve">Las posibles exigencias incluyen:</w:t>
      </w:r>
    </w:p>
    <w:p>
      <w:pPr>
        <w:numPr>
          <w:ilvl w:val="0"/>
          <w:numId w:val="1004"/>
        </w:numPr>
        <w:pStyle w:val="Compact"/>
      </w:pPr>
      <w:r>
        <w:t xml:space="preserve">permanecer de pie o caminar por periodos prolongados;</w:t>
      </w:r>
    </w:p>
    <w:p>
      <w:pPr>
        <w:numPr>
          <w:ilvl w:val="0"/>
          <w:numId w:val="1004"/>
        </w:numPr>
        <w:pStyle w:val="Compact"/>
      </w:pPr>
      <w:r>
        <w:t xml:space="preserve">inclinarse, alcanzar, empujar, halar y ayudar con traslados;</w:t>
      </w:r>
    </w:p>
    <w:p>
      <w:pPr>
        <w:numPr>
          <w:ilvl w:val="0"/>
          <w:numId w:val="1004"/>
        </w:numPr>
        <w:pStyle w:val="Compact"/>
      </w:pPr>
      <w:r>
        <w:t xml:space="preserve">exposición a fluidos corporales, enfermedades infecciosas, olores o productos de limpieza;</w:t>
      </w:r>
    </w:p>
    <w:p>
      <w:pPr>
        <w:numPr>
          <w:ilvl w:val="0"/>
          <w:numId w:val="1004"/>
        </w:numPr>
        <w:pStyle w:val="Compact"/>
      </w:pPr>
      <w:r>
        <w:t xml:space="preserve">horarios irregulares, noches, fines de semana o festivos;</w:t>
      </w:r>
    </w:p>
    <w:p>
      <w:pPr>
        <w:numPr>
          <w:ilvl w:val="0"/>
          <w:numId w:val="1004"/>
        </w:numPr>
        <w:pStyle w:val="Compact"/>
      </w:pPr>
      <w:r>
        <w:t xml:space="preserve">situaciones emocionalmente difíciles relacionadas con discapacidad, demencia, enfermedad crónica, dolor, duelo o fin de vida;</w:t>
      </w:r>
    </w:p>
    <w:p>
      <w:pPr>
        <w:numPr>
          <w:ilvl w:val="0"/>
          <w:numId w:val="1004"/>
        </w:numPr>
        <w:pStyle w:val="Compact"/>
      </w:pPr>
      <w:r>
        <w:t xml:space="preserve">trabajar a solas en el hogar de un cliente;</w:t>
      </w:r>
    </w:p>
    <w:p>
      <w:pPr>
        <w:numPr>
          <w:ilvl w:val="0"/>
          <w:numId w:val="1004"/>
        </w:numPr>
        <w:pStyle w:val="Compact"/>
      </w:pPr>
      <w:r>
        <w:t xml:space="preserve">comunicarse con familiares estresados o varios integrantes del equipo de atención.</w:t>
      </w:r>
    </w:p>
    <w:p>
      <w:pPr>
        <w:pStyle w:val="FirstParagraph"/>
      </w:pPr>
      <w:r>
        <w:t xml:space="preserve">Nunca improvise un levantamiento o traslado que exceda su capacitación, el equipo disponible o el plan de cuidado. Solicite equipo, una segunda persona o indicaciones de supervisión cuando sea necesario.</w:t>
      </w:r>
    </w:p>
    <w:bookmarkEnd w:id="26"/>
    <w:bookmarkStart w:id="32" w:name="Xe8f8984bb07057dc0b0b74e8ad09d4619cd3c2f"/>
    <w:p>
      <w:pPr>
        <w:pStyle w:val="Heading2"/>
      </w:pPr>
      <w:r>
        <w:t xml:space="preserve">6. Ruta en Estados Unidos</w:t>
      </w:r>
    </w:p>
    <w:bookmarkStart w:id="28" w:name="mercado-laboral"/>
    <w:p>
      <w:pPr>
        <w:pStyle w:val="Heading3"/>
      </w:pPr>
      <w:r>
        <w:t xml:space="preserve">Mercado laboral</w:t>
      </w:r>
    </w:p>
    <w:p>
      <w:pPr>
        <w:pStyle w:val="FirstParagraph"/>
      </w:pPr>
      <w:r>
        <w:t xml:space="preserve">La Oficina de Estadísticas Laborales de Estados Unidos (BLS) informa un</w:t>
      </w:r>
      <w:r>
        <w:t xml:space="preserve"> </w:t>
      </w:r>
      <w:r>
        <w:rPr>
          <w:bCs/>
          <w:b/>
        </w:rPr>
        <w:t xml:space="preserve">salario mediano anual de USD $34,900 en mayo de 2024</w:t>
      </w:r>
      <w:r>
        <w:t xml:space="preserve"> </w:t>
      </w:r>
      <w:r>
        <w:t xml:space="preserve">para auxiliares de salud en el hogar y cuidado personal. El salario mediano por hora publicado es aproximadamente</w:t>
      </w:r>
      <w:r>
        <w:t xml:space="preserve"> </w:t>
      </w:r>
      <w:r>
        <w:rPr>
          <w:bCs/>
          <w:b/>
        </w:rPr>
        <w:t xml:space="preserve">$16.78 por hora</w:t>
      </w:r>
      <w:r>
        <w:t xml:space="preserve">. El 10% con menores ingresos ganó menos de</w:t>
      </w:r>
      <w:r>
        <w:t xml:space="preserve"> </w:t>
      </w:r>
      <w:r>
        <w:rPr>
          <w:bCs/>
          <w:b/>
        </w:rPr>
        <w:t xml:space="preserve">$25,600</w:t>
      </w:r>
      <w:r>
        <w:t xml:space="preserve">, mientras que el 10% con mayores ingresos ganó más de</w:t>
      </w:r>
      <w:r>
        <w:t xml:space="preserve"> </w:t>
      </w:r>
      <w:r>
        <w:rPr>
          <w:bCs/>
          <w:b/>
        </w:rPr>
        <w:t xml:space="preserve">$44,190</w:t>
      </w:r>
      <w:r>
        <w:t xml:space="preserve">.</w:t>
      </w:r>
    </w:p>
    <w:p>
      <w:pPr>
        <w:pStyle w:val="BodyText"/>
      </w:pPr>
      <w:r>
        <w:t xml:space="preserve">BLS informa</w:t>
      </w:r>
      <w:r>
        <w:t xml:space="preserve"> </w:t>
      </w:r>
      <w:r>
        <w:rPr>
          <w:bCs/>
          <w:b/>
        </w:rPr>
        <w:t xml:space="preserve">4,347,700 puestos en 2024</w:t>
      </w:r>
      <w:r>
        <w:t xml:space="preserve"> </w:t>
      </w:r>
      <w:r>
        <w:t xml:space="preserve">y proyecta</w:t>
      </w:r>
      <w:r>
        <w:t xml:space="preserve"> </w:t>
      </w:r>
      <w:r>
        <w:rPr>
          <w:bCs/>
          <w:b/>
        </w:rPr>
        <w:t xml:space="preserve">5,087,500 puestos en 2034</w:t>
      </w:r>
      <w:r>
        <w:t xml:space="preserve">, un aumento de</w:t>
      </w:r>
      <w:r>
        <w:t xml:space="preserve"> </w:t>
      </w:r>
      <w:r>
        <w:rPr>
          <w:bCs/>
          <w:b/>
        </w:rPr>
        <w:t xml:space="preserve">17%</w:t>
      </w:r>
      <w:r>
        <w:t xml:space="preserve"> </w:t>
      </w:r>
      <w:r>
        <w:t xml:space="preserve">entre 2024 y 2034. Esto representa un incremento proyectado de</w:t>
      </w:r>
      <w:r>
        <w:t xml:space="preserve"> </w:t>
      </w:r>
      <w:r>
        <w:rPr>
          <w:bCs/>
          <w:b/>
        </w:rPr>
        <w:t xml:space="preserve">739,800 puestos</w:t>
      </w:r>
      <w:r>
        <w:t xml:space="preserve">. BLS también proyecta aproximadamente</w:t>
      </w:r>
      <w:r>
        <w:t xml:space="preserve"> </w:t>
      </w:r>
      <w:r>
        <w:rPr>
          <w:bCs/>
          <w:b/>
        </w:rPr>
        <w:t xml:space="preserve">765,800 vacantes por año</w:t>
      </w:r>
      <w:r>
        <w:t xml:space="preserve"> </w:t>
      </w:r>
      <w:r>
        <w:t xml:space="preserve">en promedio durante la década, incluidas las vacantes de reemplazo.</w:t>
      </w:r>
    </w:p>
    <w:p>
      <w:pPr>
        <w:pStyle w:val="BodyText"/>
      </w:pPr>
      <w:r>
        <w:t xml:space="preserve">Estas son estadísticas nacionales y no constituyen una promesa de empleo o salario en una ciudad o empresa específica.</w:t>
      </w:r>
    </w:p>
    <w:p>
      <w:pPr>
        <w:pStyle w:val="BodyText"/>
      </w:pPr>
      <w:r>
        <w:t xml:space="preserve">Fuente: U.S. Bureau of Labor Statistics, Occupational Outlook Handbook, Home Health and Personal Care Aides.</w:t>
      </w:r>
      <w:r>
        <w:br/>
      </w:r>
      <w:hyperlink r:id="rId27">
        <w:hyperlink r:id="rId27">
          <w:r>
            <w:rPr>
              <w:rStyle w:val="Hyperlink"/>
            </w:rPr>
            <w:t xml:space="preserve">Source link</w:t>
          </w:r>
        </w:hyperlink>
      </w:hyperlink>
    </w:p>
    <w:bookmarkEnd w:id="28"/>
    <w:bookmarkStart w:id="29" w:name="requisitos-de-ingreso"/>
    <w:p>
      <w:pPr>
        <w:pStyle w:val="Heading3"/>
      </w:pPr>
      <w:r>
        <w:t xml:space="preserve">Requisitos de ingreso</w:t>
      </w:r>
    </w:p>
    <w:p>
      <w:pPr>
        <w:pStyle w:val="FirstParagraph"/>
      </w:pPr>
      <w:r>
        <w:t xml:space="preserve">BLS describe el diploma de secundaria o equivalente como la educación típica de ingreso, aunque indica que algunos puestos pueden no exigirlo. La capacitación de corto plazo en el trabajo es común.</w:t>
      </w:r>
    </w:p>
    <w:p>
      <w:pPr>
        <w:pStyle w:val="BodyText"/>
      </w:pPr>
      <w:r>
        <w:t xml:space="preserve">Esa descripción ocupacional general</w:t>
      </w:r>
      <w:r>
        <w:t xml:space="preserve"> </w:t>
      </w:r>
      <w:r>
        <w:rPr>
          <w:bCs/>
          <w:b/>
        </w:rPr>
        <w:t xml:space="preserve">no</w:t>
      </w:r>
      <w:r>
        <w:t xml:space="preserve"> </w:t>
      </w:r>
      <w:r>
        <w:t xml:space="preserve">sustituye los requisitos federales o estatales aplicables a una persona que presta servicios como home health aide mediante una agencia de salud domiciliaria participante de Medicare.</w:t>
      </w:r>
    </w:p>
    <w:bookmarkEnd w:id="29"/>
    <w:bookmarkStart w:id="31" w:name="X805f9d599dee0e1a0bb27ae538167365a41424a"/>
    <w:p>
      <w:pPr>
        <w:pStyle w:val="Heading3"/>
      </w:pPr>
      <w:r>
        <w:t xml:space="preserve">Requisitos para agencias de salud domiciliaria participantes de Medicare</w:t>
      </w:r>
    </w:p>
    <w:p>
      <w:pPr>
        <w:pStyle w:val="FirstParagraph"/>
      </w:pPr>
      <w:r>
        <w:t xml:space="preserve">Conforme a</w:t>
      </w:r>
      <w:r>
        <w:t xml:space="preserve"> </w:t>
      </w:r>
      <w:r>
        <w:rPr>
          <w:bCs/>
          <w:b/>
        </w:rPr>
        <w:t xml:space="preserve">42 CFR § 484.80</w:t>
      </w:r>
      <w:r>
        <w:t xml:space="preserve">, un home health aide que trabaja dentro del marco federal de agencias de salud domiciliaria debe cumplir una de las rutas de calificación aplicables. En la ruta de capacitación y evaluación de competencias:</w:t>
      </w:r>
    </w:p>
    <w:p>
      <w:pPr>
        <w:numPr>
          <w:ilvl w:val="0"/>
          <w:numId w:val="1005"/>
        </w:numPr>
        <w:pStyle w:val="Compact"/>
      </w:pPr>
      <w:r>
        <w:t xml:space="preserve">la capacitación en aula más la práctica supervisada debe sumar al menos</w:t>
      </w:r>
      <w:r>
        <w:t xml:space="preserve"> </w:t>
      </w:r>
      <w:r>
        <w:rPr>
          <w:bCs/>
          <w:b/>
        </w:rPr>
        <w:t xml:space="preserve">75 horas</w:t>
      </w:r>
      <w:r>
        <w:t xml:space="preserve">;</w:t>
      </w:r>
    </w:p>
    <w:p>
      <w:pPr>
        <w:numPr>
          <w:ilvl w:val="0"/>
          <w:numId w:val="1005"/>
        </w:numPr>
        <w:pStyle w:val="Compact"/>
      </w:pPr>
      <w:r>
        <w:t xml:space="preserve">al menos</w:t>
      </w:r>
      <w:r>
        <w:t xml:space="preserve"> </w:t>
      </w:r>
      <w:r>
        <w:rPr>
          <w:bCs/>
          <w:b/>
        </w:rPr>
        <w:t xml:space="preserve">16 horas de aula deben preceder a un mínimo de 16 horas de práctica supervisada</w:t>
      </w:r>
      <w:r>
        <w:t xml:space="preserve"> </w:t>
      </w:r>
      <w:r>
        <w:t xml:space="preserve">dentro de esas 75 horas;</w:t>
      </w:r>
    </w:p>
    <w:p>
      <w:pPr>
        <w:numPr>
          <w:ilvl w:val="0"/>
          <w:numId w:val="1005"/>
        </w:numPr>
        <w:pStyle w:val="Compact"/>
      </w:pPr>
      <w:r>
        <w:t xml:space="preserve">los temas requeridos incluyen comunicación, documentación, signos vitales, prevención de infecciones, emergencias, cuidado personal, traslados y deambulación seguros, posicionamiento/rango de movimiento, nutrición e hidratación y reporte de cambios en la piel;</w:t>
      </w:r>
    </w:p>
    <w:p>
      <w:pPr>
        <w:numPr>
          <w:ilvl w:val="0"/>
          <w:numId w:val="1005"/>
        </w:numPr>
        <w:pStyle w:val="Compact"/>
      </w:pPr>
      <w:r>
        <w:t xml:space="preserve">la competencia debe evaluarse conforme al reglamento;</w:t>
      </w:r>
    </w:p>
    <w:p>
      <w:pPr>
        <w:numPr>
          <w:ilvl w:val="0"/>
          <w:numId w:val="1005"/>
        </w:numPr>
        <w:pStyle w:val="Compact"/>
      </w:pPr>
      <w:r>
        <w:t xml:space="preserve">un home health aide debe recibir al menos</w:t>
      </w:r>
      <w:r>
        <w:t xml:space="preserve"> </w:t>
      </w:r>
      <w:r>
        <w:rPr>
          <w:bCs/>
          <w:b/>
        </w:rPr>
        <w:t xml:space="preserve">12 horas de capacitación en servicio durante cada periodo de 12 meses</w:t>
      </w:r>
      <w:r>
        <w:t xml:space="preserve">;</w:t>
      </w:r>
    </w:p>
    <w:p>
      <w:pPr>
        <w:numPr>
          <w:ilvl w:val="0"/>
          <w:numId w:val="1005"/>
        </w:numPr>
        <w:pStyle w:val="Compact"/>
      </w:pPr>
      <w:r>
        <w:t xml:space="preserve">los servicios deben ser coherentes con la capacitación del auxiliar, el plan de cuidado, la ley estatal y las órdenes o instrucciones aplicables.</w:t>
      </w:r>
    </w:p>
    <w:p>
      <w:pPr>
        <w:pStyle w:val="FirstParagraph"/>
      </w:pPr>
      <w:r>
        <w:t xml:space="preserve">Los estados pueden agregar requisitos. Un puesto privado de cuidado personal puede seguir una ruta regulatoria diferente. Verifique el estado y el empleador antes de pagar por capacitación.</w:t>
      </w:r>
    </w:p>
    <w:p>
      <w:pPr>
        <w:pStyle w:val="BodyText"/>
      </w:pPr>
      <w:r>
        <w:t xml:space="preserve">Reglamento federal oficial:</w:t>
      </w:r>
      <w:r>
        <w:br/>
      </w:r>
      <w:hyperlink r:id="rId30">
        <w:hyperlink r:id="rId30">
          <w:r>
            <w:rPr>
              <w:rStyle w:val="Hyperlink"/>
            </w:rPr>
            <w:t xml:space="preserve">Source link</w:t>
          </w:r>
        </w:hyperlink>
      </w:hyperlink>
    </w:p>
    <w:bookmarkEnd w:id="31"/>
    <w:bookmarkEnd w:id="32"/>
    <w:bookmarkStart w:id="36" w:name="X97cf11053a716399e76ef89e2edc78bdf8f1ea1"/>
    <w:p>
      <w:pPr>
        <w:pStyle w:val="Heading2"/>
      </w:pPr>
      <w:r>
        <w:t xml:space="preserve">7. Estrategia gratuita o de bajo costo en Estados Unidos</w:t>
      </w:r>
    </w:p>
    <w:p>
      <w:pPr>
        <w:pStyle w:val="FirstParagraph"/>
      </w:pPr>
      <w:r>
        <w:t xml:space="preserve">Antes de pagar a una institución privada:</w:t>
      </w:r>
    </w:p>
    <w:p>
      <w:pPr>
        <w:numPr>
          <w:ilvl w:val="0"/>
          <w:numId w:val="1006"/>
        </w:numPr>
        <w:pStyle w:val="Compact"/>
      </w:pPr>
      <w:r>
        <w:t xml:space="preserve">Identifique el puesto exacto y el estado donde desea trabajar.</w:t>
      </w:r>
    </w:p>
    <w:p>
      <w:pPr>
        <w:numPr>
          <w:ilvl w:val="0"/>
          <w:numId w:val="1006"/>
        </w:numPr>
        <w:pStyle w:val="Compact"/>
      </w:pPr>
      <w:r>
        <w:t xml:space="preserve">Pregunte a empleadores objetivo qué programas o credenciales aceptan.</w:t>
      </w:r>
    </w:p>
    <w:p>
      <w:pPr>
        <w:numPr>
          <w:ilvl w:val="0"/>
          <w:numId w:val="1006"/>
        </w:numPr>
        <w:pStyle w:val="Compact"/>
      </w:pPr>
      <w:r>
        <w:t xml:space="preserve">Comuníquese con un</w:t>
      </w:r>
      <w:r>
        <w:t xml:space="preserve"> </w:t>
      </w:r>
      <w:r>
        <w:rPr>
          <w:bCs/>
          <w:b/>
        </w:rPr>
        <w:t xml:space="preserve">American Job Center</w:t>
      </w:r>
      <w:r>
        <w:t xml:space="preserve"> </w:t>
      </w:r>
      <w:r>
        <w:t xml:space="preserve">y pregunte si reúne los requisitos para capacitación financiada por WIOA u otros apoyos laborales.</w:t>
      </w:r>
    </w:p>
    <w:p>
      <w:pPr>
        <w:numPr>
          <w:ilvl w:val="0"/>
          <w:numId w:val="1006"/>
        </w:numPr>
        <w:pStyle w:val="Compact"/>
      </w:pPr>
      <w:r>
        <w:t xml:space="preserve">Verifique que cualquier programa propuesto cumpla los requisitos estatales y del empleador y, cuando corresponda, los requisitos federales para home health aides.</w:t>
      </w:r>
    </w:p>
    <w:p>
      <w:pPr>
        <w:numPr>
          <w:ilvl w:val="0"/>
          <w:numId w:val="1006"/>
        </w:numPr>
        <w:pStyle w:val="Compact"/>
      </w:pPr>
      <w:r>
        <w:t xml:space="preserve">Pregunte a empleadores si ofrecen capacitación pagada, apoyo de matrícula o rutas de contratación con capacitación.</w:t>
      </w:r>
    </w:p>
    <w:p>
      <w:pPr>
        <w:numPr>
          <w:ilvl w:val="0"/>
          <w:numId w:val="1006"/>
        </w:numPr>
        <w:pStyle w:val="Compact"/>
      </w:pPr>
      <w:r>
        <w:t xml:space="preserve">Compare costo total, transporte, libros, exámenes, verificación de antecedentes, evaluación de salud y tiempo práctico o clínico no remunerado antes de inscribirse.</w:t>
      </w:r>
    </w:p>
    <w:p>
      <w:pPr>
        <w:pStyle w:val="FirstParagraph"/>
      </w:pPr>
      <w:r>
        <w:t xml:space="preserve">Programas WIOA del Departamento de Trabajo de EE. UU.:</w:t>
      </w:r>
      <w:r>
        <w:br/>
      </w:r>
      <w:hyperlink r:id="rId33">
        <w:hyperlink r:id="rId33">
          <w:r>
            <w:rPr>
              <w:rStyle w:val="Hyperlink"/>
            </w:rPr>
            <w:t xml:space="preserve">Source link</w:t>
          </w:r>
        </w:hyperlink>
      </w:hyperlink>
    </w:p>
    <w:p>
      <w:pPr>
        <w:pStyle w:val="BodyText"/>
      </w:pPr>
      <w:r>
        <w:t xml:space="preserve">American Job Centers:</w:t>
      </w:r>
      <w:r>
        <w:br/>
      </w:r>
      <w:hyperlink r:id="rId34">
        <w:hyperlink r:id="rId34">
          <w:r>
            <w:rPr>
              <w:rStyle w:val="Hyperlink"/>
            </w:rPr>
            <w:t xml:space="preserve">Source link</w:t>
          </w:r>
        </w:hyperlink>
      </w:hyperlink>
    </w:p>
    <w:p>
      <w:pPr>
        <w:pStyle w:val="BodyText"/>
      </w:pPr>
      <w:r>
        <w:t xml:space="preserve">WIOA Adult and Dislocated Worker Program:</w:t>
      </w:r>
      <w:r>
        <w:br/>
      </w:r>
      <w:hyperlink r:id="rId35">
        <w:hyperlink r:id="rId35">
          <w:r>
            <w:rPr>
              <w:rStyle w:val="Hyperlink"/>
            </w:rPr>
            <w:t xml:space="preserve">Source link</w:t>
          </w:r>
        </w:hyperlink>
      </w:hyperlink>
    </w:p>
    <w:p>
      <w:pPr>
        <w:pStyle w:val="BodyText"/>
      </w:pPr>
      <w:r>
        <w:t xml:space="preserve">El financiamiento depende de elegibilidad y administración local. Esta guía no garantiza pago mediante WIOA.</w:t>
      </w:r>
    </w:p>
    <w:bookmarkEnd w:id="36"/>
    <w:bookmarkStart w:id="42" w:name="X18928a1777ae4b38ce90411fbbc1897a35ce38f"/>
    <w:p>
      <w:pPr>
        <w:pStyle w:val="Heading2"/>
      </w:pPr>
      <w:r>
        <w:t xml:space="preserve">8. Ruta en Canadá</w:t>
      </w:r>
    </w:p>
    <w:p>
      <w:pPr>
        <w:pStyle w:val="FirstParagraph"/>
      </w:pPr>
      <w:r>
        <w:t xml:space="preserve">La agrupación ocupacional nacional más cercana es</w:t>
      </w:r>
      <w:r>
        <w:t xml:space="preserve"> </w:t>
      </w:r>
      <w:r>
        <w:rPr>
          <w:bCs/>
          <w:b/>
        </w:rPr>
        <w:t xml:space="preserve">NOC 44101 — Home support workers, caregivers and related occupations</w:t>
      </w:r>
      <w:r>
        <w:t xml:space="preserve">.</w:t>
      </w:r>
    </w:p>
    <w:p>
      <w:pPr>
        <w:pStyle w:val="BodyText"/>
      </w:pPr>
      <w:r>
        <w:t xml:space="preserve">Job Bank del Gobierno de Canadá describe a estas personas como trabajadores que brindan cuidado personal y compañía a personas mayores, personas con discapacidad y clientes convalecientes, normalmente en la residencia del cliente. Pueden trabajar para agencias de cuidado o apoyo domiciliario, hogares privados o por cuenta propia.</w:t>
      </w:r>
    </w:p>
    <w:p>
      <w:pPr>
        <w:pStyle w:val="BodyText"/>
      </w:pPr>
      <w:r>
        <w:t xml:space="preserve">Job Bank resume el nivel de ingreso habitual como educación secundaria o capacitación específica y señala que varias semanas de capacitación en el trabajo pueden ser comunes. Los requisitos pueden variar por provincia, empleador, grupo de clientes y según si el trabajo entra en una ocupación de salud regulada.</w:t>
      </w:r>
    </w:p>
    <w:p>
      <w:pPr>
        <w:pStyle w:val="BodyText"/>
      </w:pPr>
      <w:r>
        <w:t xml:space="preserve">Resumen de Job Bank:</w:t>
      </w:r>
      <w:r>
        <w:br/>
      </w:r>
      <w:hyperlink r:id="rId37">
        <w:hyperlink r:id="rId37">
          <w:r>
            <w:rPr>
              <w:rStyle w:val="Hyperlink"/>
            </w:rPr>
            <w:t xml:space="preserve">Source link</w:t>
          </w:r>
        </w:hyperlink>
      </w:hyperlink>
    </w:p>
    <w:bookmarkStart w:id="39" w:name="salarios-en-canadá"/>
    <w:p>
      <w:pPr>
        <w:pStyle w:val="Heading3"/>
      </w:pPr>
      <w:r>
        <w:t xml:space="preserve">Salarios en Canadá</w:t>
      </w:r>
    </w:p>
    <w:p>
      <w:pPr>
        <w:pStyle w:val="FirstParagraph"/>
      </w:pPr>
      <w:r>
        <w:t xml:space="preserve">El informe nacional de salarios de Job Bank para NOC 44101, actualizado el 19 de noviembre de 2025 y basado en el periodo de referencia 2023–2024 de la Labour Force Survey, informa:</w:t>
      </w:r>
    </w:p>
    <w:p>
      <w:pPr>
        <w:numPr>
          <w:ilvl w:val="0"/>
          <w:numId w:val="1007"/>
        </w:numPr>
        <w:pStyle w:val="Compact"/>
      </w:pPr>
      <w:r>
        <w:t xml:space="preserve">bajo:</w:t>
      </w:r>
      <w:r>
        <w:t xml:space="preserve"> </w:t>
      </w:r>
      <w:r>
        <w:rPr>
          <w:bCs/>
          <w:b/>
        </w:rPr>
        <w:t xml:space="preserve">CAD $16.00/hora</w:t>
      </w:r>
      <w:r>
        <w:t xml:space="preserve">;</w:t>
      </w:r>
    </w:p>
    <w:p>
      <w:pPr>
        <w:numPr>
          <w:ilvl w:val="0"/>
          <w:numId w:val="1007"/>
        </w:numPr>
        <w:pStyle w:val="Compact"/>
      </w:pPr>
      <w:r>
        <w:t xml:space="preserve">mediano:</w:t>
      </w:r>
      <w:r>
        <w:t xml:space="preserve"> </w:t>
      </w:r>
      <w:r>
        <w:rPr>
          <w:bCs/>
          <w:b/>
        </w:rPr>
        <w:t xml:space="preserve">CAD $20.50/hora</w:t>
      </w:r>
      <w:r>
        <w:t xml:space="preserve">;</w:t>
      </w:r>
    </w:p>
    <w:p>
      <w:pPr>
        <w:numPr>
          <w:ilvl w:val="0"/>
          <w:numId w:val="1007"/>
        </w:numPr>
        <w:pStyle w:val="Compact"/>
      </w:pPr>
      <w:r>
        <w:t xml:space="preserve">alto:</w:t>
      </w:r>
      <w:r>
        <w:t xml:space="preserve"> </w:t>
      </w:r>
      <w:r>
        <w:rPr>
          <w:bCs/>
          <w:b/>
        </w:rPr>
        <w:t xml:space="preserve">CAD $27.00/hora</w:t>
      </w:r>
      <w:r>
        <w:t xml:space="preserve">.</w:t>
      </w:r>
    </w:p>
    <w:p>
      <w:pPr>
        <w:pStyle w:val="FirstParagraph"/>
      </w:pPr>
      <w:r>
        <w:t xml:space="preserve">Son cifras por hora en dólares canadienses y pueden variar considerablemente por provincia y región.</w:t>
      </w:r>
    </w:p>
    <w:p>
      <w:pPr>
        <w:pStyle w:val="BodyText"/>
      </w:pPr>
      <w:hyperlink r:id="rId38">
        <w:hyperlink r:id="rId38">
          <w:r>
            <w:rPr>
              <w:rStyle w:val="Hyperlink"/>
            </w:rPr>
            <w:t xml:space="preserve">Source link</w:t>
          </w:r>
        </w:hyperlink>
      </w:hyperlink>
    </w:p>
    <w:bookmarkEnd w:id="39"/>
    <w:bookmarkStart w:id="41" w:name="perspectivas-en-canadá"/>
    <w:p>
      <w:pPr>
        <w:pStyle w:val="Heading3"/>
      </w:pPr>
      <w:r>
        <w:t xml:space="preserve">Perspectivas en Canadá</w:t>
      </w:r>
    </w:p>
    <w:p>
      <w:pPr>
        <w:pStyle w:val="FirstParagraph"/>
      </w:pPr>
      <w:r>
        <w:t xml:space="preserve">Job Bank informa que las perspectivas para NOC 44101</w:t>
      </w:r>
      <w:r>
        <w:t xml:space="preserve"> </w:t>
      </w:r>
      <w:r>
        <w:rPr>
          <w:bCs/>
          <w:b/>
        </w:rPr>
        <w:t xml:space="preserve">varían en Canadá</w:t>
      </w:r>
      <w:r>
        <w:t xml:space="preserve">. No use la calificación de una provincia como si fuera el panorama nacional. Consulte la perspectiva provincial y regional vigente donde planea trabajar.</w:t>
      </w:r>
    </w:p>
    <w:p>
      <w:pPr>
        <w:pStyle w:val="BodyText"/>
      </w:pPr>
      <w:hyperlink r:id="rId40">
        <w:hyperlink r:id="rId40">
          <w:r>
            <w:rPr>
              <w:rStyle w:val="Hyperlink"/>
            </w:rPr>
            <w:t xml:space="preserve">Source link</w:t>
          </w:r>
        </w:hyperlink>
      </w:hyperlink>
    </w:p>
    <w:bookmarkEnd w:id="41"/>
    <w:bookmarkEnd w:id="42"/>
    <w:bookmarkStart w:id="47" w:name="X4aa148041bbb0a8a363127c31733f196a04dde6"/>
    <w:p>
      <w:pPr>
        <w:pStyle w:val="Heading2"/>
      </w:pPr>
      <w:r>
        <w:t xml:space="preserve">9. Estrategia de capacitación y financiamiento en Canadá</w:t>
      </w:r>
    </w:p>
    <w:p>
      <w:pPr>
        <w:pStyle w:val="FirstParagraph"/>
      </w:pPr>
      <w:r>
        <w:t xml:space="preserve">Comience con recursos públicos antes de pagar a un proveedor privado:</w:t>
      </w:r>
    </w:p>
    <w:p>
      <w:pPr>
        <w:numPr>
          <w:ilvl w:val="0"/>
          <w:numId w:val="1008"/>
        </w:numPr>
        <w:pStyle w:val="Compact"/>
      </w:pPr>
      <w:r>
        <w:t xml:space="preserve">Portal de capacitación de Canadá:</w:t>
      </w:r>
      <w:r>
        <w:t xml:space="preserve"> </w:t>
      </w:r>
      <w:hyperlink r:id="rId43">
        <w:hyperlink r:id="rId43">
          <w:r>
            <w:rPr>
              <w:rStyle w:val="Hyperlink"/>
            </w:rPr>
            <w:t xml:space="preserve">Source link</w:t>
          </w:r>
        </w:hyperlink>
      </w:hyperlink>
    </w:p>
    <w:p>
      <w:pPr>
        <w:numPr>
          <w:ilvl w:val="0"/>
          <w:numId w:val="1008"/>
        </w:numPr>
        <w:pStyle w:val="Compact"/>
      </w:pPr>
      <w:r>
        <w:t xml:space="preserve">Labour Market Agreements del Gobierno de Canadá:</w:t>
      </w:r>
      <w:r>
        <w:t xml:space="preserve"> </w:t>
      </w:r>
      <w:hyperlink r:id="rId44">
        <w:hyperlink r:id="rId44">
          <w:r>
            <w:rPr>
              <w:rStyle w:val="Hyperlink"/>
            </w:rPr>
            <w:t xml:space="preserve">Source link</w:t>
          </w:r>
        </w:hyperlink>
      </w:hyperlink>
    </w:p>
    <w:p>
      <w:pPr>
        <w:numPr>
          <w:ilvl w:val="0"/>
          <w:numId w:val="1008"/>
        </w:numPr>
        <w:pStyle w:val="Compact"/>
      </w:pPr>
      <w:r>
        <w:t xml:space="preserve">Skills for Success:</w:t>
      </w:r>
      <w:r>
        <w:t xml:space="preserve"> </w:t>
      </w:r>
      <w:hyperlink r:id="rId45">
        <w:hyperlink r:id="rId45">
          <w:r>
            <w:rPr>
              <w:rStyle w:val="Hyperlink"/>
            </w:rPr>
            <w:t xml:space="preserve">Source link</w:t>
          </w:r>
        </w:hyperlink>
      </w:hyperlink>
    </w:p>
    <w:p>
      <w:pPr>
        <w:numPr>
          <w:ilvl w:val="0"/>
          <w:numId w:val="1008"/>
        </w:numPr>
        <w:pStyle w:val="Compact"/>
      </w:pPr>
      <w:r>
        <w:t xml:space="preserve">Información ocupacional y de capacitación de Job Bank:</w:t>
      </w:r>
      <w:r>
        <w:t xml:space="preserve"> </w:t>
      </w:r>
      <w:hyperlink r:id="rId46">
        <w:r>
          <w:rPr>
            <w:rStyle w:val="Hyperlink"/>
          </w:rPr>
          <w:t xml:space="preserve">https://www.jobbank.gc.ca/</w:t>
        </w:r>
      </w:hyperlink>
    </w:p>
    <w:p>
      <w:pPr>
        <w:pStyle w:val="FirstParagraph"/>
      </w:pPr>
      <w:r>
        <w:t xml:space="preserve">Los Labour Market Development Agreements y Workforce Development Agreements de Canadá financian programas de capacitación y apoyo laboral administrados por provincias y territorios. La elegibilidad y disponibilidad varían. Skills for Success también ofrece recursos gratuitos de evaluación y aprendizaje de habilidades fundamentales para el trabajo.</w:t>
      </w:r>
    </w:p>
    <w:p>
      <w:pPr>
        <w:pStyle w:val="BodyText"/>
      </w:pPr>
      <w:r>
        <w:t xml:space="preserve">Pregunte a la provincia o territorio, proveedor de capacitación y empleador potencial si un programa específico cumple requisitos locales de contratación o regulación.</w:t>
      </w:r>
    </w:p>
    <w:bookmarkEnd w:id="47"/>
    <w:bookmarkStart w:id="56" w:name="Xf297146c2b856ccabb7a673fe09ae2de4a173a4"/>
    <w:p>
      <w:pPr>
        <w:pStyle w:val="Heading2"/>
      </w:pPr>
      <w:r>
        <w:t xml:space="preserve">10. Ruta en Colombia</w:t>
      </w:r>
    </w:p>
    <w:p>
      <w:pPr>
        <w:pStyle w:val="FirstParagraph"/>
      </w:pPr>
      <w:r>
        <w:t xml:space="preserve">En Colombia es esencial distinguir entre</w:t>
      </w:r>
      <w:r>
        <w:t xml:space="preserve"> </w:t>
      </w:r>
      <w:r>
        <w:rPr>
          <w:bCs/>
          <w:b/>
        </w:rPr>
        <w:t xml:space="preserve">cuidado general o asistencia personal</w:t>
      </w:r>
      <w:r>
        <w:t xml:space="preserve"> </w:t>
      </w:r>
      <w:r>
        <w:t xml:space="preserve">y el ejercicio regulado de un</w:t>
      </w:r>
      <w:r>
        <w:t xml:space="preserve"> </w:t>
      </w:r>
      <w:r>
        <w:rPr>
          <w:bCs/>
          <w:b/>
        </w:rPr>
        <w:t xml:space="preserve">auxiliar del área de la salud</w:t>
      </w:r>
      <w:r>
        <w:t xml:space="preserve">.</w:t>
      </w:r>
    </w:p>
    <w:bookmarkStart w:id="49" w:name="ruta-de-cuidador-o-asistente-personal"/>
    <w:p>
      <w:pPr>
        <w:pStyle w:val="Heading3"/>
      </w:pPr>
      <w:r>
        <w:t xml:space="preserve">Ruta de cuidador o asistente personal</w:t>
      </w:r>
    </w:p>
    <w:p>
      <w:pPr>
        <w:pStyle w:val="FirstParagraph"/>
      </w:pPr>
      <w:r>
        <w:t xml:space="preserve">Una persona cuidadora puede apoyar actividades de la vida diaria, autonomía, compañía y asistencia personal de acuerdo con las necesidades de la persona y el acuerdo laboral o de servicio aplicable.</w:t>
      </w:r>
    </w:p>
    <w:p>
      <w:pPr>
        <w:pStyle w:val="BodyText"/>
      </w:pPr>
      <w:r>
        <w:t xml:space="preserve">La</w:t>
      </w:r>
      <w:r>
        <w:t xml:space="preserve"> </w:t>
      </w:r>
      <w:r>
        <w:rPr>
          <w:bCs/>
          <w:b/>
        </w:rPr>
        <w:t xml:space="preserve">Ley 2297 de 2023</w:t>
      </w:r>
      <w:r>
        <w:t xml:space="preserve"> </w:t>
      </w:r>
      <w:r>
        <w:t xml:space="preserve">creó un marco nacional relacionado con cuidadores o asistentes personales de personas con discapacidad, incluida orientación/formación y evaluación/certificación de competencias dentro del marco colombiano de cualificaciones.</w:t>
      </w:r>
    </w:p>
    <w:p>
      <w:pPr>
        <w:pStyle w:val="BodyText"/>
      </w:pPr>
      <w:r>
        <w:t xml:space="preserve">Normograma SENA — Ley 2297 de 2023:</w:t>
      </w:r>
      <w:r>
        <w:br/>
      </w:r>
      <w:hyperlink r:id="rId48">
        <w:hyperlink r:id="rId48">
          <w:r>
            <w:rPr>
              <w:rStyle w:val="Hyperlink"/>
            </w:rPr>
            <w:t xml:space="preserve">Source link</w:t>
          </w:r>
        </w:hyperlink>
      </w:hyperlink>
    </w:p>
    <w:bookmarkEnd w:id="49"/>
    <w:bookmarkStart w:id="52" w:name="X143205b5702ce6164d9de5f8fd2af8876578cd9"/>
    <w:p>
      <w:pPr>
        <w:pStyle w:val="Heading3"/>
      </w:pPr>
      <w:r>
        <w:t xml:space="preserve">Certificación de competencias de cuidadores por el SENA</w:t>
      </w:r>
    </w:p>
    <w:p>
      <w:pPr>
        <w:pStyle w:val="FirstParagraph"/>
      </w:pPr>
      <w:r>
        <w:t xml:space="preserve">El SENA ha continuado reconociendo habilidades de cuidadores mediante su proceso de</w:t>
      </w:r>
      <w:r>
        <w:t xml:space="preserve"> </w:t>
      </w:r>
      <w:r>
        <w:rPr>
          <w:bCs/>
          <w:b/>
        </w:rPr>
        <w:t xml:space="preserve">Evaluación y Certificación de Competencias Laborales (ECCL)</w:t>
      </w:r>
      <w:r>
        <w:t xml:space="preserve">. En marzo de 2026 anunció la Certificatón “Manos que Cuidan”, que incluyó normas relacionadas con:</w:t>
      </w:r>
    </w:p>
    <w:p>
      <w:pPr>
        <w:numPr>
          <w:ilvl w:val="0"/>
          <w:numId w:val="1009"/>
        </w:numPr>
        <w:pStyle w:val="Compact"/>
      </w:pPr>
      <w:r>
        <w:t xml:space="preserve">cuidar personas según protocolos de actividades básicas cotidianas y grado de autonomía; y</w:t>
      </w:r>
    </w:p>
    <w:p>
      <w:pPr>
        <w:numPr>
          <w:ilvl w:val="0"/>
          <w:numId w:val="1009"/>
        </w:numPr>
        <w:pStyle w:val="Compact"/>
      </w:pPr>
      <w:r>
        <w:t xml:space="preserve">atender necesidades de acompañamiento según preferencias espirituales y emocionales.</w:t>
      </w:r>
    </w:p>
    <w:p>
      <w:pPr>
        <w:pStyle w:val="FirstParagraph"/>
      </w:pPr>
      <w:r>
        <w:t xml:space="preserve">La ventana de inscripción de esa convocatoria específica ya cerró. Debe considerarse evidencia de que existe una ruta de certificación de competencias, no una oferta actualmente abierta.</w:t>
      </w:r>
    </w:p>
    <w:p>
      <w:pPr>
        <w:pStyle w:val="BodyText"/>
      </w:pPr>
      <w:r>
        <w:t xml:space="preserve">Anuncio del SENA del 20 de marzo de 2026:</w:t>
      </w:r>
      <w:r>
        <w:br/>
      </w:r>
      <w:hyperlink r:id="rId50">
        <w:hyperlink r:id="rId50">
          <w:r>
            <w:rPr>
              <w:rStyle w:val="Hyperlink"/>
            </w:rPr>
            <w:t xml:space="preserve">Source link</w:t>
          </w:r>
        </w:hyperlink>
      </w:hyperlink>
    </w:p>
    <w:p>
      <w:pPr>
        <w:pStyle w:val="BodyText"/>
      </w:pPr>
      <w:r>
        <w:t xml:space="preserve">El SENA también reportó certificaciones adicionales de cuidadores en julio de 2026, lo que confirma la continuidad de esta labor de reconocimiento de competencias durante 2026:</w:t>
      </w:r>
      <w:r>
        <w:br/>
      </w:r>
      <w:hyperlink r:id="rId51">
        <w:hyperlink r:id="rId51">
          <w:r>
            <w:rPr>
              <w:rStyle w:val="Hyperlink"/>
            </w:rPr>
            <w:t xml:space="preserve">Source link</w:t>
          </w:r>
        </w:hyperlink>
      </w:hyperlink>
    </w:p>
    <w:p>
      <w:pPr>
        <w:pStyle w:val="BodyText"/>
      </w:pPr>
      <w:r>
        <w:t xml:space="preserve">Consulte la oferta vigente del SENA y las oportunidades ECCL actuales en lugar de depender de una convocatoria vencida.</w:t>
      </w:r>
    </w:p>
    <w:bookmarkEnd w:id="52"/>
    <w:bookmarkStart w:id="55" w:name="Xe92c065b9c4fa3a202dfb5916fde56dfcdf5faf"/>
    <w:p>
      <w:pPr>
        <w:pStyle w:val="Heading3"/>
      </w:pPr>
      <w:r>
        <w:t xml:space="preserve">Límite con el ejercicio regulado de auxiliares en salud</w:t>
      </w:r>
    </w:p>
    <w:p>
      <w:pPr>
        <w:pStyle w:val="FirstParagraph"/>
      </w:pPr>
      <w:r>
        <w:t xml:space="preserve">El Ministerio de Salud de Colombia indica que la</w:t>
      </w:r>
      <w:r>
        <w:t xml:space="preserve"> </w:t>
      </w:r>
      <w:r>
        <w:rPr>
          <w:bCs/>
          <w:b/>
        </w:rPr>
        <w:t xml:space="preserve">Educación para el Trabajo y el Desarrollo Humano</w:t>
      </w:r>
      <w:r>
        <w:t xml:space="preserve"> </w:t>
      </w:r>
      <w:r>
        <w:t xml:space="preserve">en el área de salud está sujeta a las reglas del</w:t>
      </w:r>
      <w:r>
        <w:t xml:space="preserve"> </w:t>
      </w:r>
      <w:r>
        <w:rPr>
          <w:bCs/>
          <w:b/>
        </w:rPr>
        <w:t xml:space="preserve">Talento Humano en Salud</w:t>
      </w:r>
      <w:r>
        <w:t xml:space="preserve">, y que los perfiles ocupacionales de Auxiliares en Salud apoyan y complementan la atención integral en salud.</w:t>
      </w:r>
    </w:p>
    <w:p>
      <w:pPr>
        <w:pStyle w:val="BodyText"/>
      </w:pPr>
      <w:r>
        <w:t xml:space="preserve">Por lo tanto, la experiencia como cuidador o un certificado de competencias de cuidador</w:t>
      </w:r>
      <w:r>
        <w:t xml:space="preserve"> </w:t>
      </w:r>
      <w:r>
        <w:rPr>
          <w:bCs/>
          <w:b/>
        </w:rPr>
        <w:t xml:space="preserve">no</w:t>
      </w:r>
      <w:r>
        <w:t xml:space="preserve"> </w:t>
      </w:r>
      <w:r>
        <w:t xml:space="preserve">autoriza automáticamente a realizar funciones reguladas de un</w:t>
      </w:r>
      <w:r>
        <w:t xml:space="preserve"> </w:t>
      </w:r>
      <w:r>
        <w:rPr>
          <w:bCs/>
          <w:b/>
        </w:rPr>
        <w:t xml:space="preserve">Auxiliar en Salud</w:t>
      </w:r>
      <w:r>
        <w:t xml:space="preserve">, como procedimientos clínicos reservados a personal de salud debidamente formado y autorizado.</w:t>
      </w:r>
    </w:p>
    <w:p>
      <w:pPr>
        <w:pStyle w:val="BodyText"/>
      </w:pPr>
      <w:r>
        <w:t xml:space="preserve">Ministerio de Salud — Formación Talento Humano en Salud:</w:t>
      </w:r>
      <w:r>
        <w:br/>
      </w:r>
      <w:hyperlink r:id="rId53">
        <w:hyperlink r:id="rId53">
          <w:r>
            <w:rPr>
              <w:rStyle w:val="Hyperlink"/>
            </w:rPr>
            <w:t xml:space="preserve">Source link</w:t>
          </w:r>
        </w:hyperlink>
      </w:hyperlink>
    </w:p>
    <w:p>
      <w:pPr>
        <w:pStyle w:val="BodyText"/>
      </w:pPr>
      <w:r>
        <w:t xml:space="preserve">Ministerio de Salud — Profesiones y ocupaciones:</w:t>
      </w:r>
      <w:r>
        <w:br/>
      </w:r>
      <w:hyperlink r:id="rId54">
        <w:hyperlink r:id="rId54">
          <w:r>
            <w:rPr>
              <w:rStyle w:val="Hyperlink"/>
            </w:rPr>
            <w:t xml:space="preserve">Source link</w:t>
          </w:r>
        </w:hyperlink>
      </w:hyperlink>
    </w:p>
    <w:bookmarkEnd w:id="55"/>
    <w:bookmarkEnd w:id="56"/>
    <w:bookmarkStart w:id="58" w:name="X92ad78bf073e929b0e2c032b5f4d95c7895bf5d"/>
    <w:p>
      <w:pPr>
        <w:pStyle w:val="Heading2"/>
      </w:pPr>
      <w:r>
        <w:t xml:space="preserve">11. Estrategia gratuita o de bajo costo en Colombia</w:t>
      </w:r>
    </w:p>
    <w:p>
      <w:pPr>
        <w:numPr>
          <w:ilvl w:val="0"/>
          <w:numId w:val="1010"/>
        </w:numPr>
        <w:pStyle w:val="Compact"/>
      </w:pPr>
      <w:r>
        <w:t xml:space="preserve">Defina si busca un puesto de cuidador/asistente personal o una ruta regulada como Auxiliar en Salud.</w:t>
      </w:r>
    </w:p>
    <w:p>
      <w:pPr>
        <w:numPr>
          <w:ilvl w:val="0"/>
          <w:numId w:val="1010"/>
        </w:numPr>
        <w:pStyle w:val="Compact"/>
      </w:pPr>
      <w:r>
        <w:t xml:space="preserve">Para cuidado general, consulte oportunidades actuales de certificación ECCL para cuidadores y la oferta vigente de formación del</w:t>
      </w:r>
      <w:r>
        <w:t xml:space="preserve"> </w:t>
      </w:r>
      <w:r>
        <w:rPr>
          <w:bCs/>
          <w:b/>
        </w:rPr>
        <w:t xml:space="preserve">SENA</w:t>
      </w:r>
      <w:r>
        <w:t xml:space="preserve">.</w:t>
      </w:r>
    </w:p>
    <w:p>
      <w:pPr>
        <w:numPr>
          <w:ilvl w:val="0"/>
          <w:numId w:val="1010"/>
        </w:numPr>
        <w:pStyle w:val="Compact"/>
      </w:pPr>
      <w:r>
        <w:t xml:space="preserve">Si busca una ruta de Auxiliar en Salud, verifique que el programa y la institución cumplan los requisitos colombianos vigentes de formación en salud antes de inscribirse.</w:t>
      </w:r>
    </w:p>
    <w:p>
      <w:pPr>
        <w:numPr>
          <w:ilvl w:val="0"/>
          <w:numId w:val="1010"/>
        </w:numPr>
        <w:pStyle w:val="Compact"/>
      </w:pPr>
      <w:r>
        <w:t xml:space="preserve">Pida al empleador que especifique las funciones exactas esperadas y si exige registro ocupacional/profesional o una credencial determinada de salud.</w:t>
      </w:r>
    </w:p>
    <w:p>
      <w:pPr>
        <w:numPr>
          <w:ilvl w:val="0"/>
          <w:numId w:val="1010"/>
        </w:numPr>
        <w:pStyle w:val="Compact"/>
      </w:pPr>
      <w:r>
        <w:t xml:space="preserve">No pague por un curso solo porque su publicidad use palabras como “salud”, “clínico” o “domiciliario”. Verifique primero su reconocimiento.</w:t>
      </w:r>
    </w:p>
    <w:p>
      <w:pPr>
        <w:pStyle w:val="FirstParagraph"/>
      </w:pPr>
      <w:r>
        <w:t xml:space="preserve">SENA:</w:t>
      </w:r>
      <w:r>
        <w:t xml:space="preserve"> </w:t>
      </w:r>
      <w:hyperlink r:id="rId57">
        <w:r>
          <w:rPr>
            <w:rStyle w:val="Hyperlink"/>
          </w:rPr>
          <w:t xml:space="preserve">https://www.sena.edu.co/</w:t>
        </w:r>
      </w:hyperlink>
    </w:p>
    <w:bookmarkEnd w:id="58"/>
    <w:bookmarkStart w:id="65" w:name="X94179a334da18be381e7cc57b98e3cd5a6cf5da"/>
    <w:p>
      <w:pPr>
        <w:pStyle w:val="Heading2"/>
      </w:pPr>
      <w:r>
        <w:t xml:space="preserve">12. Habilidades que valoran los empleadores</w:t>
      </w:r>
    </w:p>
    <w:bookmarkStart w:id="59" w:name="confiabilidad"/>
    <w:p>
      <w:pPr>
        <w:pStyle w:val="Heading3"/>
      </w:pPr>
      <w:r>
        <w:t xml:space="preserve">Confiabilidad</w:t>
      </w:r>
    </w:p>
    <w:p>
      <w:pPr>
        <w:pStyle w:val="FirstParagraph"/>
      </w:pPr>
      <w:r>
        <w:t xml:space="preserve">Los clientes pueden depender de usted para rutinas esenciales. La puntualidad, continuidad, entregas de turno correctas y cumplimiento del plan de cuidado importan.</w:t>
      </w:r>
    </w:p>
    <w:bookmarkEnd w:id="59"/>
    <w:bookmarkStart w:id="60" w:name="observación"/>
    <w:p>
      <w:pPr>
        <w:pStyle w:val="Heading3"/>
      </w:pPr>
      <w:r>
        <w:t xml:space="preserve">Observación</w:t>
      </w:r>
    </w:p>
    <w:p>
      <w:pPr>
        <w:pStyle w:val="FirstParagraph"/>
      </w:pPr>
      <w:r>
        <w:t xml:space="preserve">Identifique cambios relevantes y repórtelos por el canal correcto. No convierta una observación en un diagnóstico no autorizado.</w:t>
      </w:r>
    </w:p>
    <w:bookmarkEnd w:id="60"/>
    <w:bookmarkStart w:id="61" w:name="comunicación"/>
    <w:p>
      <w:pPr>
        <w:pStyle w:val="Heading3"/>
      </w:pPr>
      <w:r>
        <w:t xml:space="preserve">Comunicación</w:t>
      </w:r>
    </w:p>
    <w:p>
      <w:pPr>
        <w:pStyle w:val="FirstParagraph"/>
      </w:pPr>
      <w:r>
        <w:t xml:space="preserve">Use lenguaje claro y respetuoso con el cliente y su familia. Confirme las instrucciones cuando no sean claras.</w:t>
      </w:r>
    </w:p>
    <w:bookmarkEnd w:id="61"/>
    <w:bookmarkStart w:id="62" w:name="documentación"/>
    <w:p>
      <w:pPr>
        <w:pStyle w:val="Heading3"/>
      </w:pPr>
      <w:r>
        <w:t xml:space="preserve">Documentación</w:t>
      </w:r>
    </w:p>
    <w:p>
      <w:pPr>
        <w:pStyle w:val="FirstParagraph"/>
      </w:pPr>
      <w:r>
        <w:t xml:space="preserve">Registre lo que realmente observó e hizo. Evite suposiciones, exageraciones, texto genérico copiado o conclusiones clínicas no documentadas.</w:t>
      </w:r>
    </w:p>
    <w:bookmarkEnd w:id="62"/>
    <w:bookmarkStart w:id="63" w:name="límites-profesionales"/>
    <w:p>
      <w:pPr>
        <w:pStyle w:val="Heading3"/>
      </w:pPr>
      <w:r>
        <w:t xml:space="preserve">Límites profesionales</w:t>
      </w:r>
    </w:p>
    <w:p>
      <w:pPr>
        <w:pStyle w:val="FirstParagraph"/>
      </w:pPr>
      <w:r>
        <w:t xml:space="preserve">No pida dinero prestado, acepte regalos inapropiados, se convierta en responsable de decisiones financieras sin autorización legal, comparta contraseñas, publique información del cliente en internet ni amplíe en privado sus funciones más allá del acuerdo aprobado.</w:t>
      </w:r>
    </w:p>
    <w:bookmarkEnd w:id="63"/>
    <w:bookmarkStart w:id="64" w:name="dignidad-y-autonomía"/>
    <w:p>
      <w:pPr>
        <w:pStyle w:val="Heading3"/>
      </w:pPr>
      <w:r>
        <w:t xml:space="preserve">Dignidad y autonomía</w:t>
      </w:r>
    </w:p>
    <w:p>
      <w:pPr>
        <w:pStyle w:val="FirstParagraph"/>
      </w:pPr>
      <w:r>
        <w:t xml:space="preserve">Pida permiso antes de tocar, explique lo que hará, proteja la privacidad y apoye la capacidad de la persona para tomar decisiones siempre que sea posible.</w:t>
      </w:r>
    </w:p>
    <w:bookmarkEnd w:id="64"/>
    <w:bookmarkEnd w:id="65"/>
    <w:bookmarkStart w:id="71" w:name="X74a75ac4411e1fabc4f671ee20111fe6a1567f1"/>
    <w:p>
      <w:pPr>
        <w:pStyle w:val="Heading2"/>
      </w:pPr>
      <w:r>
        <w:t xml:space="preserve">13. Fundamentos de seguridad</w:t>
      </w:r>
    </w:p>
    <w:bookmarkStart w:id="66" w:name="traslados-y-mecánica-corporal"/>
    <w:p>
      <w:pPr>
        <w:pStyle w:val="Heading3"/>
      </w:pPr>
      <w:r>
        <w:t xml:space="preserve">Traslados y mecánica corporal</w:t>
      </w:r>
    </w:p>
    <w:p>
      <w:pPr>
        <w:pStyle w:val="FirstParagraph"/>
      </w:pPr>
      <w:r>
        <w:t xml:space="preserve">Use el equipo y la técnica para los cuales recibió capacitación. Un traslado apresurado e inseguro puede lesionar tanto al trabajador como al cliente.</w:t>
      </w:r>
    </w:p>
    <w:bookmarkEnd w:id="66"/>
    <w:bookmarkStart w:id="67" w:name="prevención-de-caídas"/>
    <w:p>
      <w:pPr>
        <w:pStyle w:val="Heading3"/>
      </w:pPr>
      <w:r>
        <w:t xml:space="preserve">Prevención de caídas</w:t>
      </w:r>
    </w:p>
    <w:p>
      <w:pPr>
        <w:pStyle w:val="FirstParagraph"/>
      </w:pPr>
      <w:r>
        <w:t xml:space="preserve">Mantenga despejadas las rutas de paso, use correctamente los dispositivos de movilidad prescritos, reporte nueva inestabilidad y siga el plan de cuidado en lugar de improvisar.</w:t>
      </w:r>
    </w:p>
    <w:bookmarkEnd w:id="67"/>
    <w:bookmarkStart w:id="68" w:name="prevención-de-infecciones"/>
    <w:p>
      <w:pPr>
        <w:pStyle w:val="Heading3"/>
      </w:pPr>
      <w:r>
        <w:t xml:space="preserve">Prevención de infecciones</w:t>
      </w:r>
    </w:p>
    <w:p>
      <w:pPr>
        <w:pStyle w:val="FirstParagraph"/>
      </w:pPr>
      <w:r>
        <w:t xml:space="preserve">Siga las normas de higiene de manos, equipo de protección personal, limpieza, exposición y reporte requeridas por el empleador y el entorno.</w:t>
      </w:r>
    </w:p>
    <w:bookmarkEnd w:id="68"/>
    <w:bookmarkStart w:id="69" w:name="emergencias"/>
    <w:p>
      <w:pPr>
        <w:pStyle w:val="Heading3"/>
      </w:pPr>
      <w:r>
        <w:t xml:space="preserve">Emergencias</w:t>
      </w:r>
    </w:p>
    <w:p>
      <w:pPr>
        <w:pStyle w:val="FirstParagraph"/>
      </w:pPr>
      <w:r>
        <w:t xml:space="preserve">Sepa a quién llamar, cuándo activar servicios médicos de emergencia, dónde se conserva la información de emergencia y qué está autorizado y capacitado para hacer mientras llega ayuda.</w:t>
      </w:r>
    </w:p>
    <w:bookmarkEnd w:id="69"/>
    <w:bookmarkStart w:id="70" w:name="violencia-y-hogares-inseguros"/>
    <w:p>
      <w:pPr>
        <w:pStyle w:val="Heading3"/>
      </w:pPr>
      <w:r>
        <w:t xml:space="preserve">Violencia y hogares inseguros</w:t>
      </w:r>
    </w:p>
    <w:p>
      <w:pPr>
        <w:pStyle w:val="FirstParagraph"/>
      </w:pPr>
      <w:r>
        <w:t xml:space="preserve">Un hogar también es un lugar de trabajo. Reporte amenazas, preocupación por armas, animales agresivos, condiciones ambientales inseguras, acoso o situaciones en las que no pueda brindar cuidado de manera segura.</w:t>
      </w:r>
    </w:p>
    <w:bookmarkEnd w:id="70"/>
    <w:bookmarkEnd w:id="71"/>
    <w:bookmarkStart w:id="72" w:name="X4e7485233e9229be56c0650e4e865db9a078eb1"/>
    <w:p>
      <w:pPr>
        <w:pStyle w:val="Heading2"/>
      </w:pPr>
      <w:r>
        <w:t xml:space="preserve">14. Límite con medicamentos</w:t>
      </w:r>
    </w:p>
    <w:p>
      <w:pPr>
        <w:pStyle w:val="FirstParagraph"/>
      </w:pPr>
      <w:r>
        <w:t xml:space="preserve">Las reglas sobre medicamentos varían ampliamente. “Recordar” a un cliente que tome un medicamento no necesariamente es la misma actividad legal que administrar un medicamento.</w:t>
      </w:r>
    </w:p>
    <w:p>
      <w:pPr>
        <w:pStyle w:val="BodyText"/>
      </w:pPr>
      <w:r>
        <w:t xml:space="preserve">Nunca asuma que la administración está permitida. Verifique:</w:t>
      </w:r>
    </w:p>
    <w:p>
      <w:pPr>
        <w:numPr>
          <w:ilvl w:val="0"/>
          <w:numId w:val="1011"/>
        </w:numPr>
        <w:pStyle w:val="Compact"/>
      </w:pPr>
      <w:r>
        <w:t xml:space="preserve">la ley aplicable;</w:t>
      </w:r>
    </w:p>
    <w:p>
      <w:pPr>
        <w:numPr>
          <w:ilvl w:val="0"/>
          <w:numId w:val="1011"/>
        </w:numPr>
        <w:pStyle w:val="Compact"/>
      </w:pPr>
      <w:r>
        <w:t xml:space="preserve">su credencial y capacitación;</w:t>
      </w:r>
    </w:p>
    <w:p>
      <w:pPr>
        <w:numPr>
          <w:ilvl w:val="0"/>
          <w:numId w:val="1011"/>
        </w:numPr>
        <w:pStyle w:val="Compact"/>
      </w:pPr>
      <w:r>
        <w:t xml:space="preserve">la política del empleador;</w:t>
      </w:r>
    </w:p>
    <w:p>
      <w:pPr>
        <w:numPr>
          <w:ilvl w:val="0"/>
          <w:numId w:val="1011"/>
        </w:numPr>
        <w:pStyle w:val="Compact"/>
      </w:pPr>
      <w:r>
        <w:t xml:space="preserve">el plan de cuidado u orden escrita;</w:t>
      </w:r>
    </w:p>
    <w:p>
      <w:pPr>
        <w:numPr>
          <w:ilvl w:val="0"/>
          <w:numId w:val="1011"/>
        </w:numPr>
        <w:pStyle w:val="Compact"/>
      </w:pPr>
      <w:r>
        <w:t xml:space="preserve">la supervisión y documentación requeridas.</w:t>
      </w:r>
    </w:p>
    <w:p>
      <w:pPr>
        <w:pStyle w:val="FirstParagraph"/>
      </w:pPr>
      <w:r>
        <w:t xml:space="preserve">Si no está seguro, deténgase y escale la situación al supervisor o profesional clínico autorizado.</w:t>
      </w:r>
    </w:p>
    <w:bookmarkEnd w:id="72"/>
    <w:bookmarkStart w:id="73" w:name="Xf21ae7f1a64d63cff7d60919a6ec507701cdaad"/>
    <w:p>
      <w:pPr>
        <w:pStyle w:val="Heading2"/>
      </w:pPr>
      <w:r>
        <w:t xml:space="preserve">15. Privacidad y confidencialidad</w:t>
      </w:r>
    </w:p>
    <w:p>
      <w:pPr>
        <w:pStyle w:val="FirstParagraph"/>
      </w:pPr>
      <w:r>
        <w:t xml:space="preserve">Puede tener acceso a información muy sensible sobre salud, discapacidad, finanzas, relaciones familiares, medicamentos, condiciones de vivienda o identidad.</w:t>
      </w:r>
    </w:p>
    <w:p>
      <w:pPr>
        <w:pStyle w:val="BodyText"/>
      </w:pPr>
      <w:r>
        <w:t xml:space="preserve">Las buenas prácticas incluyen:</w:t>
      </w:r>
    </w:p>
    <w:p>
      <w:pPr>
        <w:numPr>
          <w:ilvl w:val="0"/>
          <w:numId w:val="1012"/>
        </w:numPr>
        <w:pStyle w:val="Compact"/>
      </w:pPr>
      <w:r>
        <w:t xml:space="preserve">usar únicamente sistemas y canales de comunicación aprobados;</w:t>
      </w:r>
    </w:p>
    <w:p>
      <w:pPr>
        <w:numPr>
          <w:ilvl w:val="0"/>
          <w:numId w:val="1012"/>
        </w:numPr>
        <w:pStyle w:val="Compact"/>
      </w:pPr>
      <w:r>
        <w:t xml:space="preserve">acceder solo a la información necesaria para el trabajo;</w:t>
      </w:r>
    </w:p>
    <w:p>
      <w:pPr>
        <w:numPr>
          <w:ilvl w:val="0"/>
          <w:numId w:val="1012"/>
        </w:numPr>
        <w:pStyle w:val="Compact"/>
      </w:pPr>
      <w:r>
        <w:t xml:space="preserve">no fotografiar registros o clientes con un dispositivo personal salvo autorización expresa;</w:t>
      </w:r>
    </w:p>
    <w:p>
      <w:pPr>
        <w:numPr>
          <w:ilvl w:val="0"/>
          <w:numId w:val="1012"/>
        </w:numPr>
        <w:pStyle w:val="Compact"/>
      </w:pPr>
      <w:r>
        <w:t xml:space="preserve">no hablar de clientes en lugares públicos o redes sociales;</w:t>
      </w:r>
    </w:p>
    <w:p>
      <w:pPr>
        <w:numPr>
          <w:ilvl w:val="0"/>
          <w:numId w:val="1012"/>
        </w:numPr>
        <w:pStyle w:val="Compact"/>
      </w:pPr>
      <w:r>
        <w:t xml:space="preserve">verificar destinatarios antes de enviar mensajes;</w:t>
      </w:r>
    </w:p>
    <w:p>
      <w:pPr>
        <w:numPr>
          <w:ilvl w:val="0"/>
          <w:numId w:val="1012"/>
        </w:numPr>
        <w:pStyle w:val="Compact"/>
      </w:pPr>
      <w:r>
        <w:t xml:space="preserve">reportar rápidamente errores de privacidad mediante los procedimientos del empleador.</w:t>
      </w:r>
    </w:p>
    <w:bookmarkEnd w:id="73"/>
    <w:bookmarkStart w:id="75" w:name="X5ac09ade1d6c78fb9b992ede91b3f4782284459"/>
    <w:p>
      <w:pPr>
        <w:pStyle w:val="Heading2"/>
      </w:pPr>
      <w:r>
        <w:t xml:space="preserve">16. Uso responsable de inteligencia artificial</w:t>
      </w:r>
    </w:p>
    <w:p>
      <w:pPr>
        <w:pStyle w:val="FirstParagraph"/>
      </w:pPr>
      <w:r>
        <w:t xml:space="preserve">La IA puede ser útil para</w:t>
      </w:r>
      <w:r>
        <w:t xml:space="preserve"> </w:t>
      </w:r>
      <w:r>
        <w:rPr>
          <w:bCs/>
          <w:b/>
        </w:rPr>
        <w:t xml:space="preserve">aprendizaje y preparación administrativa</w:t>
      </w:r>
      <w:r>
        <w:t xml:space="preserve">, por ejemplo:</w:t>
      </w:r>
    </w:p>
    <w:p>
      <w:pPr>
        <w:numPr>
          <w:ilvl w:val="0"/>
          <w:numId w:val="1013"/>
        </w:numPr>
        <w:pStyle w:val="Compact"/>
      </w:pPr>
      <w:r>
        <w:t xml:space="preserve">explicar terminología general que no incluya información de un cliente;</w:t>
      </w:r>
    </w:p>
    <w:p>
      <w:pPr>
        <w:numPr>
          <w:ilvl w:val="0"/>
          <w:numId w:val="1013"/>
        </w:numPr>
        <w:pStyle w:val="Compact"/>
      </w:pPr>
      <w:r>
        <w:t xml:space="preserve">crear cuestionarios de estudio a partir de material público;</w:t>
      </w:r>
    </w:p>
    <w:p>
      <w:pPr>
        <w:numPr>
          <w:ilvl w:val="0"/>
          <w:numId w:val="1013"/>
        </w:numPr>
        <w:pStyle w:val="Compact"/>
      </w:pPr>
      <w:r>
        <w:t xml:space="preserve">practicar respuestas de entrevista;</w:t>
      </w:r>
    </w:p>
    <w:p>
      <w:pPr>
        <w:numPr>
          <w:ilvl w:val="0"/>
          <w:numId w:val="1013"/>
        </w:numPr>
        <w:pStyle w:val="Compact"/>
      </w:pPr>
      <w:r>
        <w:t xml:space="preserve">mejorar un currículum o carta de presentación usando experiencia verdadera;</w:t>
      </w:r>
    </w:p>
    <w:p>
      <w:pPr>
        <w:numPr>
          <w:ilvl w:val="0"/>
          <w:numId w:val="1013"/>
        </w:numPr>
        <w:pStyle w:val="Compact"/>
      </w:pPr>
      <w:r>
        <w:t xml:space="preserve">crear listas de verificación genéricas o plantillas de horario;</w:t>
      </w:r>
    </w:p>
    <w:p>
      <w:pPr>
        <w:numPr>
          <w:ilvl w:val="0"/>
          <w:numId w:val="1013"/>
        </w:numPr>
        <w:pStyle w:val="Compact"/>
      </w:pPr>
      <w:r>
        <w:t xml:space="preserve">traducir material de práctica no confidencial para fines de aprendizaje, seguido de revisión humana.</w:t>
      </w:r>
    </w:p>
    <w:bookmarkStart w:id="74" w:name="X50b7dbd3734862b3b4c848a043753631552212a"/>
    <w:p>
      <w:pPr>
        <w:pStyle w:val="Heading3"/>
      </w:pPr>
      <w:r>
        <w:t xml:space="preserve">No introduzca datos identificables de clientes en herramientas públicas de IA</w:t>
      </w:r>
    </w:p>
    <w:p>
      <w:pPr>
        <w:pStyle w:val="FirstParagraph"/>
      </w:pPr>
      <w:r>
        <w:t xml:space="preserve">No ingrese nombres, diagnósticos, direcciones, fotografías, notas de atención, listas de medicamentos, fechas de nacimiento, datos de seguro u otra información identificable de clientes o pacientes en un sistema público de IA generativa, salvo que su empleador haya aprobado expresamente un sistema compatible y ese caso de uso específico.</w:t>
      </w:r>
    </w:p>
    <w:p>
      <w:pPr>
        <w:pStyle w:val="BodyText"/>
      </w:pPr>
      <w:r>
        <w:t xml:space="preserve">La IA no debe sustituir:</w:t>
      </w:r>
    </w:p>
    <w:p>
      <w:pPr>
        <w:numPr>
          <w:ilvl w:val="0"/>
          <w:numId w:val="1014"/>
        </w:numPr>
        <w:pStyle w:val="Compact"/>
      </w:pPr>
      <w:r>
        <w:t xml:space="preserve">procedimientos de emergencia;</w:t>
      </w:r>
    </w:p>
    <w:p>
      <w:pPr>
        <w:numPr>
          <w:ilvl w:val="0"/>
          <w:numId w:val="1014"/>
        </w:numPr>
        <w:pStyle w:val="Compact"/>
      </w:pPr>
      <w:r>
        <w:t xml:space="preserve">el plan de cuidado del cliente;</w:t>
      </w:r>
    </w:p>
    <w:p>
      <w:pPr>
        <w:numPr>
          <w:ilvl w:val="0"/>
          <w:numId w:val="1014"/>
        </w:numPr>
        <w:pStyle w:val="Compact"/>
      </w:pPr>
      <w:r>
        <w:t xml:space="preserve">instrucciones del supervisor;</w:t>
      </w:r>
    </w:p>
    <w:p>
      <w:pPr>
        <w:numPr>
          <w:ilvl w:val="0"/>
          <w:numId w:val="1014"/>
        </w:numPr>
        <w:pStyle w:val="Compact"/>
      </w:pPr>
      <w:r>
        <w:t xml:space="preserve">juicio clínico de profesionales licenciados;</w:t>
      </w:r>
    </w:p>
    <w:p>
      <w:pPr>
        <w:numPr>
          <w:ilvl w:val="0"/>
          <w:numId w:val="1014"/>
        </w:numPr>
        <w:pStyle w:val="Compact"/>
      </w:pPr>
      <w:r>
        <w:t xml:space="preserve">órdenes de medicamentos;</w:t>
      </w:r>
    </w:p>
    <w:p>
      <w:pPr>
        <w:numPr>
          <w:ilvl w:val="0"/>
          <w:numId w:val="1014"/>
        </w:numPr>
        <w:pStyle w:val="Compact"/>
      </w:pPr>
      <w:r>
        <w:t xml:space="preserve">sistemas obligatorios de documentación;</w:t>
      </w:r>
    </w:p>
    <w:p>
      <w:pPr>
        <w:numPr>
          <w:ilvl w:val="0"/>
          <w:numId w:val="1014"/>
        </w:numPr>
        <w:pStyle w:val="Compact"/>
      </w:pPr>
      <w:r>
        <w:t xml:space="preserve">verificación legal o regulatoria.</w:t>
      </w:r>
    </w:p>
    <w:p>
      <w:pPr>
        <w:pStyle w:val="FirstParagraph"/>
      </w:pPr>
      <w:r>
        <w:t xml:space="preserve">Si una respuesta de IA contradice el plan de cuidado, la ley, la política del empleador o el supervisor, siga la fuente autorizada, no la IA.</w:t>
      </w:r>
    </w:p>
    <w:bookmarkEnd w:id="74"/>
    <w:bookmarkEnd w:id="75"/>
    <w:bookmarkStart w:id="76" w:name="X2e188c051cf815ba112e018638388121048ca57"/>
    <w:p>
      <w:pPr>
        <w:pStyle w:val="Heading2"/>
      </w:pPr>
      <w:r>
        <w:t xml:space="preserve">17. Accesibilidad y planificación para discapacidad</w:t>
      </w:r>
    </w:p>
    <w:p>
      <w:pPr>
        <w:pStyle w:val="FirstParagraph"/>
      </w:pPr>
      <w:r>
        <w:t xml:space="preserve">Una discapacidad o neurodivergencia no excluye automáticamente esta carrera, pero importan las funciones esenciales reales.</w:t>
      </w:r>
    </w:p>
    <w:p>
      <w:pPr>
        <w:pStyle w:val="BodyText"/>
      </w:pPr>
      <w:r>
        <w:t xml:space="preserve">Considere:</w:t>
      </w:r>
    </w:p>
    <w:p>
      <w:pPr>
        <w:numPr>
          <w:ilvl w:val="0"/>
          <w:numId w:val="1015"/>
        </w:numPr>
        <w:pStyle w:val="Compact"/>
      </w:pPr>
      <w:r>
        <w:t xml:space="preserve">requisitos de levantamiento y traslado;</w:t>
      </w:r>
    </w:p>
    <w:p>
      <w:pPr>
        <w:numPr>
          <w:ilvl w:val="0"/>
          <w:numId w:val="1015"/>
        </w:numPr>
        <w:pStyle w:val="Compact"/>
      </w:pPr>
      <w:r>
        <w:t xml:space="preserve">tolerancia para estar de pie y caminar;</w:t>
      </w:r>
    </w:p>
    <w:p>
      <w:pPr>
        <w:numPr>
          <w:ilvl w:val="0"/>
          <w:numId w:val="1015"/>
        </w:numPr>
        <w:pStyle w:val="Compact"/>
      </w:pPr>
      <w:r>
        <w:t xml:space="preserve">conducción o transporte público entre clientes;</w:t>
      </w:r>
    </w:p>
    <w:p>
      <w:pPr>
        <w:numPr>
          <w:ilvl w:val="0"/>
          <w:numId w:val="1015"/>
        </w:numPr>
        <w:pStyle w:val="Compact"/>
      </w:pPr>
      <w:r>
        <w:t xml:space="preserve">exposición sensorial a ruido, olores, contacto físico o ambientes impredecibles;</w:t>
      </w:r>
    </w:p>
    <w:p>
      <w:pPr>
        <w:numPr>
          <w:ilvl w:val="0"/>
          <w:numId w:val="1015"/>
        </w:numPr>
        <w:pStyle w:val="Compact"/>
      </w:pPr>
      <w:r>
        <w:t xml:space="preserve">lectura de planes de cuidado e instrucciones relacionadas con medicamentos;</w:t>
      </w:r>
    </w:p>
    <w:p>
      <w:pPr>
        <w:numPr>
          <w:ilvl w:val="0"/>
          <w:numId w:val="1015"/>
        </w:numPr>
        <w:pStyle w:val="Compact"/>
      </w:pPr>
      <w:r>
        <w:t xml:space="preserve">documentación escrita o electrónica;</w:t>
      </w:r>
    </w:p>
    <w:p>
      <w:pPr>
        <w:numPr>
          <w:ilvl w:val="0"/>
          <w:numId w:val="1015"/>
        </w:numPr>
        <w:pStyle w:val="Compact"/>
      </w:pPr>
      <w:r>
        <w:t xml:space="preserve">comunicación rápida durante emergencias;</w:t>
      </w:r>
    </w:p>
    <w:p>
      <w:pPr>
        <w:numPr>
          <w:ilvl w:val="0"/>
          <w:numId w:val="1015"/>
        </w:numPr>
        <w:pStyle w:val="Compact"/>
      </w:pPr>
      <w:r>
        <w:t xml:space="preserve">cambios de horario y exigencias de funciones ejecutivas.</w:t>
      </w:r>
    </w:p>
    <w:p>
      <w:pPr>
        <w:pStyle w:val="FirstParagraph"/>
      </w:pPr>
      <w:r>
        <w:t xml:space="preserve">Posibles apoyos, cuando sean compatibles con las funciones esenciales y políticas del empleador, pueden incluir:</w:t>
      </w:r>
    </w:p>
    <w:p>
      <w:pPr>
        <w:numPr>
          <w:ilvl w:val="0"/>
          <w:numId w:val="1016"/>
        </w:numPr>
        <w:pStyle w:val="Compact"/>
      </w:pPr>
      <w:r>
        <w:t xml:space="preserve">voz a texto o dictado para notas;</w:t>
      </w:r>
    </w:p>
    <w:p>
      <w:pPr>
        <w:numPr>
          <w:ilvl w:val="0"/>
          <w:numId w:val="1016"/>
        </w:numPr>
        <w:pStyle w:val="Compact"/>
      </w:pPr>
      <w:r>
        <w:t xml:space="preserve">apoyo de ortografía y gramática en sistemas aprobados;</w:t>
      </w:r>
    </w:p>
    <w:p>
      <w:pPr>
        <w:numPr>
          <w:ilvl w:val="0"/>
          <w:numId w:val="1016"/>
        </w:numPr>
        <w:pStyle w:val="Compact"/>
      </w:pPr>
      <w:r>
        <w:t xml:space="preserve">listas de verificación y rutinas estructuradas;</w:t>
      </w:r>
    </w:p>
    <w:p>
      <w:pPr>
        <w:numPr>
          <w:ilvl w:val="0"/>
          <w:numId w:val="1016"/>
        </w:numPr>
        <w:pStyle w:val="Compact"/>
      </w:pPr>
      <w:r>
        <w:t xml:space="preserve">texto ampliado o aumento de pantalla;</w:t>
      </w:r>
    </w:p>
    <w:p>
      <w:pPr>
        <w:numPr>
          <w:ilvl w:val="0"/>
          <w:numId w:val="1016"/>
        </w:numPr>
        <w:pStyle w:val="Compact"/>
      </w:pPr>
      <w:r>
        <w:t xml:space="preserve">dispositivos de asistencia auditiva;</w:t>
      </w:r>
    </w:p>
    <w:p>
      <w:pPr>
        <w:numPr>
          <w:ilvl w:val="0"/>
          <w:numId w:val="1016"/>
        </w:numPr>
        <w:pStyle w:val="Compact"/>
      </w:pPr>
      <w:r>
        <w:t xml:space="preserve">equipos ergonómicos o de traslado;</w:t>
      </w:r>
    </w:p>
    <w:p>
      <w:pPr>
        <w:numPr>
          <w:ilvl w:val="0"/>
          <w:numId w:val="1016"/>
        </w:numPr>
        <w:pStyle w:val="Compact"/>
      </w:pPr>
      <w:r>
        <w:t xml:space="preserve">seguimiento escrito de instrucciones verbales;</w:t>
      </w:r>
    </w:p>
    <w:p>
      <w:pPr>
        <w:numPr>
          <w:ilvl w:val="0"/>
          <w:numId w:val="1016"/>
        </w:numPr>
        <w:pStyle w:val="Compact"/>
      </w:pPr>
      <w:r>
        <w:t xml:space="preserve">horarios predecibles cuando sea viable.</w:t>
      </w:r>
    </w:p>
    <w:p>
      <w:pPr>
        <w:pStyle w:val="FirstParagraph"/>
      </w:pPr>
      <w:r>
        <w:t xml:space="preserve">Para disgrafía, practique documentación breve y factual y use dictado o plantillas aprobadas por el empleador cuando se permita. Para autismo o TDAH, listas estructuradas, reglas claras de escalamiento, instrucciones escritas de cuidado y rutinas predecibles de entrega de turno pueden reducir ambigüedad.</w:t>
      </w:r>
    </w:p>
    <w:p>
      <w:pPr>
        <w:pStyle w:val="BodyText"/>
      </w:pPr>
      <w:r>
        <w:t xml:space="preserve">No revele más información médica de la necesaria al solicitar una adaptación. Siga el proceso de acomodación aplicable en su jurisdicción.</w:t>
      </w:r>
    </w:p>
    <w:bookmarkEnd w:id="76"/>
    <w:bookmarkStart w:id="83" w:name="X4c949f57be3b1a7ecf8242a6c0a3dd60666b364"/>
    <w:p>
      <w:pPr>
        <w:pStyle w:val="Heading2"/>
      </w:pPr>
      <w:r>
        <w:t xml:space="preserve">18. Plan de exploración de 30 días</w:t>
      </w:r>
    </w:p>
    <w:bookmarkStart w:id="77" w:name="días-15-comprobar-la-realidad"/>
    <w:p>
      <w:pPr>
        <w:pStyle w:val="Heading3"/>
      </w:pPr>
      <w:r>
        <w:t xml:space="preserve">Días 1–5: comprobar la realidad</w:t>
      </w:r>
    </w:p>
    <w:p>
      <w:pPr>
        <w:numPr>
          <w:ilvl w:val="0"/>
          <w:numId w:val="1017"/>
        </w:numPr>
        <w:pStyle w:val="Compact"/>
      </w:pPr>
      <w:r>
        <w:t xml:space="preserve">Lea 10 ofertas laborales actuales de su zona.</w:t>
      </w:r>
    </w:p>
    <w:p>
      <w:pPr>
        <w:numPr>
          <w:ilvl w:val="0"/>
          <w:numId w:val="1017"/>
        </w:numPr>
        <w:pStyle w:val="Compact"/>
      </w:pPr>
      <w:r>
        <w:t xml:space="preserve">Enumere requisitos repetidos, turnos, expectativas de viaje y funciones.</w:t>
      </w:r>
    </w:p>
    <w:p>
      <w:pPr>
        <w:numPr>
          <w:ilvl w:val="0"/>
          <w:numId w:val="1017"/>
        </w:numPr>
        <w:pStyle w:val="Compact"/>
      </w:pPr>
      <w:r>
        <w:t xml:space="preserve">Separe funciones de “cuidado personal” de tareas clínicas.</w:t>
      </w:r>
    </w:p>
    <w:p>
      <w:pPr>
        <w:numPr>
          <w:ilvl w:val="0"/>
          <w:numId w:val="1017"/>
        </w:numPr>
        <w:pStyle w:val="Compact"/>
      </w:pPr>
      <w:r>
        <w:t xml:space="preserve">Anote qué empleadores proporcionan capacitación.</w:t>
      </w:r>
    </w:p>
    <w:bookmarkEnd w:id="77"/>
    <w:bookmarkStart w:id="78" w:name="días-610-verificar-la-ruta"/>
    <w:p>
      <w:pPr>
        <w:pStyle w:val="Heading3"/>
      </w:pPr>
      <w:r>
        <w:t xml:space="preserve">Días 6–10: verificar la ruta</w:t>
      </w:r>
    </w:p>
    <w:p>
      <w:pPr>
        <w:numPr>
          <w:ilvl w:val="0"/>
          <w:numId w:val="1018"/>
        </w:numPr>
        <w:pStyle w:val="Compact"/>
      </w:pPr>
      <w:r>
        <w:t xml:space="preserve">EE. UU.: revise requisitos estatales y contacte un American Job Center.</w:t>
      </w:r>
    </w:p>
    <w:p>
      <w:pPr>
        <w:numPr>
          <w:ilvl w:val="0"/>
          <w:numId w:val="1018"/>
        </w:numPr>
        <w:pStyle w:val="Compact"/>
      </w:pPr>
      <w:r>
        <w:t xml:space="preserve">Canadá: revise Job Bank y normas provinciales/territoriales de capacitación.</w:t>
      </w:r>
    </w:p>
    <w:p>
      <w:pPr>
        <w:numPr>
          <w:ilvl w:val="0"/>
          <w:numId w:val="1018"/>
        </w:numPr>
        <w:pStyle w:val="Compact"/>
      </w:pPr>
      <w:r>
        <w:t xml:space="preserve">Colombia: defina cuidador versus Auxiliar en Salud regulado y consulte información vigente del SENA/MinSalud.</w:t>
      </w:r>
    </w:p>
    <w:bookmarkEnd w:id="78"/>
    <w:bookmarkStart w:id="79" w:name="Xabf71386ef97e333cf359b83bfe4f9f75ed86f0"/>
    <w:p>
      <w:pPr>
        <w:pStyle w:val="Heading3"/>
      </w:pPr>
      <w:r>
        <w:t xml:space="preserve">Días 11–15: desarrollar conocimientos de seguridad</w:t>
      </w:r>
    </w:p>
    <w:p>
      <w:pPr>
        <w:pStyle w:val="FirstParagraph"/>
      </w:pPr>
      <w:r>
        <w:t xml:space="preserve">Estudie prevención básica de infecciones, respuesta a emergencias, traslados seguros, comunicación, privacidad y límites profesionales mediante fuentes reconocidas.</w:t>
      </w:r>
    </w:p>
    <w:bookmarkEnd w:id="79"/>
    <w:bookmarkStart w:id="80" w:name="días-1620-probar-el-trabajo"/>
    <w:p>
      <w:pPr>
        <w:pStyle w:val="Heading3"/>
      </w:pPr>
      <w:r>
        <w:t xml:space="preserve">Días 16–20: probar el trabajo</w:t>
      </w:r>
    </w:p>
    <w:p>
      <w:pPr>
        <w:pStyle w:val="FirstParagraph"/>
      </w:pPr>
      <w:r>
        <w:t xml:space="preserve">Cuando sea legal y seguro, busque voluntariado supervisado, orientación de cuidador, observación laboral, entrevista informativa o jornada abierta de un empleador. No realice cuidado clínico solo para “practicar”.</w:t>
      </w:r>
    </w:p>
    <w:bookmarkEnd w:id="80"/>
    <w:bookmarkStart w:id="81" w:name="días-2125-preparar-evidencia"/>
    <w:p>
      <w:pPr>
        <w:pStyle w:val="Heading3"/>
      </w:pPr>
      <w:r>
        <w:t xml:space="preserve">Días 21–25: preparar evidencia</w:t>
      </w:r>
    </w:p>
    <w:p>
      <w:pPr>
        <w:pStyle w:val="FirstParagraph"/>
      </w:pPr>
      <w:r>
        <w:t xml:space="preserve">Cree un archivo sencillo con:</w:t>
      </w:r>
    </w:p>
    <w:p>
      <w:pPr>
        <w:numPr>
          <w:ilvl w:val="0"/>
          <w:numId w:val="1019"/>
        </w:numPr>
        <w:pStyle w:val="Compact"/>
      </w:pPr>
      <w:r>
        <w:t xml:space="preserve">capacitaciones y certificados;</w:t>
      </w:r>
    </w:p>
    <w:p>
      <w:pPr>
        <w:numPr>
          <w:ilvl w:val="0"/>
          <w:numId w:val="1019"/>
        </w:numPr>
        <w:pStyle w:val="Compact"/>
      </w:pPr>
      <w:r>
        <w:t xml:space="preserve">documentación de RCP/primeros auxilios si la obtuvo y es relevante;</w:t>
      </w:r>
    </w:p>
    <w:p>
      <w:pPr>
        <w:numPr>
          <w:ilvl w:val="0"/>
          <w:numId w:val="1019"/>
        </w:numPr>
        <w:pStyle w:val="Compact"/>
      </w:pPr>
      <w:r>
        <w:t xml:space="preserve">referencias;</w:t>
      </w:r>
    </w:p>
    <w:p>
      <w:pPr>
        <w:numPr>
          <w:ilvl w:val="0"/>
          <w:numId w:val="1019"/>
        </w:numPr>
        <w:pStyle w:val="Compact"/>
      </w:pPr>
      <w:r>
        <w:t xml:space="preserve">fechas y descripción de experiencia de cuidado;</w:t>
      </w:r>
    </w:p>
    <w:p>
      <w:pPr>
        <w:numPr>
          <w:ilvl w:val="0"/>
          <w:numId w:val="1019"/>
        </w:numPr>
        <w:pStyle w:val="Compact"/>
      </w:pPr>
      <w:r>
        <w:t xml:space="preserve">disponibilidad de transporte;</w:t>
      </w:r>
    </w:p>
    <w:p>
      <w:pPr>
        <w:numPr>
          <w:ilvl w:val="0"/>
          <w:numId w:val="1019"/>
        </w:numPr>
        <w:pStyle w:val="Compact"/>
      </w:pPr>
      <w:r>
        <w:t xml:space="preserve">idiomas;</w:t>
      </w:r>
    </w:p>
    <w:p>
      <w:pPr>
        <w:numPr>
          <w:ilvl w:val="0"/>
          <w:numId w:val="1019"/>
        </w:numPr>
        <w:pStyle w:val="Compact"/>
      </w:pPr>
      <w:r>
        <w:t xml:space="preserve">ejemplos de confiabilidad, comunicación y solución segura de problemas.</w:t>
      </w:r>
    </w:p>
    <w:bookmarkEnd w:id="81"/>
    <w:bookmarkStart w:id="82" w:name="días-2630-postularse-selectivamente"/>
    <w:p>
      <w:pPr>
        <w:pStyle w:val="Heading3"/>
      </w:pPr>
      <w:r>
        <w:t xml:space="preserve">Días 26–30: postularse selectivamente</w:t>
      </w:r>
    </w:p>
    <w:p>
      <w:pPr>
        <w:pStyle w:val="FirstParagraph"/>
      </w:pPr>
      <w:r>
        <w:t xml:space="preserve">Postúlese a empleadores cuyas funciones y expectativas de capacitación correspondan con su alcance legal y capacidad física. Lleve un registro de cada solicitud y haga seguimiento profesional.</w:t>
      </w:r>
    </w:p>
    <w:bookmarkEnd w:id="82"/>
    <w:bookmarkEnd w:id="83"/>
    <w:bookmarkStart w:id="84" w:name="Xa43eb03b157de7e8c0b2849f415f6713420c3e2"/>
    <w:p>
      <w:pPr>
        <w:pStyle w:val="Heading2"/>
      </w:pPr>
      <w:r>
        <w:t xml:space="preserve">19. Orientación para el currículum</w:t>
      </w:r>
    </w:p>
    <w:p>
      <w:pPr>
        <w:pStyle w:val="FirstParagraph"/>
      </w:pPr>
      <w:r>
        <w:t xml:space="preserve">Un currículum de cuidador debe destacar evidencia verificable, no lenguaje clínico exagerado.</w:t>
      </w:r>
    </w:p>
    <w:p>
      <w:pPr>
        <w:pStyle w:val="BodyText"/>
      </w:pPr>
      <w:r>
        <w:t xml:space="preserve">Temas útiles incluyen:</w:t>
      </w:r>
    </w:p>
    <w:p>
      <w:pPr>
        <w:numPr>
          <w:ilvl w:val="0"/>
          <w:numId w:val="1020"/>
        </w:numPr>
        <w:pStyle w:val="Compact"/>
      </w:pPr>
      <w:r>
        <w:t xml:space="preserve">apoyo en actividades de la vida diaria;</w:t>
      </w:r>
    </w:p>
    <w:p>
      <w:pPr>
        <w:numPr>
          <w:ilvl w:val="0"/>
          <w:numId w:val="1020"/>
        </w:numPr>
        <w:pStyle w:val="Compact"/>
      </w:pPr>
      <w:r>
        <w:t xml:space="preserve">compañía y dignidad del cliente;</w:t>
      </w:r>
    </w:p>
    <w:p>
      <w:pPr>
        <w:numPr>
          <w:ilvl w:val="0"/>
          <w:numId w:val="1020"/>
        </w:numPr>
        <w:pStyle w:val="Compact"/>
      </w:pPr>
      <w:r>
        <w:t xml:space="preserve">apoyo seguro a la movilidad dentro de la capacitación;</w:t>
      </w:r>
    </w:p>
    <w:p>
      <w:pPr>
        <w:numPr>
          <w:ilvl w:val="0"/>
          <w:numId w:val="1020"/>
        </w:numPr>
        <w:pStyle w:val="Compact"/>
      </w:pPr>
      <w:r>
        <w:t xml:space="preserve">preparación de alimentos y apoyo de hidratación;</w:t>
      </w:r>
    </w:p>
    <w:p>
      <w:pPr>
        <w:numPr>
          <w:ilvl w:val="0"/>
          <w:numId w:val="1020"/>
        </w:numPr>
        <w:pStyle w:val="Compact"/>
      </w:pPr>
      <w:r>
        <w:t xml:space="preserve">observación y reporte precisos;</w:t>
      </w:r>
    </w:p>
    <w:p>
      <w:pPr>
        <w:numPr>
          <w:ilvl w:val="0"/>
          <w:numId w:val="1020"/>
        </w:numPr>
        <w:pStyle w:val="Compact"/>
      </w:pPr>
      <w:r>
        <w:t xml:space="preserve">confiabilidad de horarios y asistencia;</w:t>
      </w:r>
    </w:p>
    <w:p>
      <w:pPr>
        <w:numPr>
          <w:ilvl w:val="0"/>
          <w:numId w:val="1020"/>
        </w:numPr>
        <w:pStyle w:val="Compact"/>
      </w:pPr>
      <w:r>
        <w:t xml:space="preserve">prácticas de prevención de infecciones;</w:t>
      </w:r>
    </w:p>
    <w:p>
      <w:pPr>
        <w:numPr>
          <w:ilvl w:val="0"/>
          <w:numId w:val="1020"/>
        </w:numPr>
        <w:pStyle w:val="Compact"/>
      </w:pPr>
      <w:r>
        <w:t xml:space="preserve">privacidad y confidencialidad;</w:t>
      </w:r>
    </w:p>
    <w:p>
      <w:pPr>
        <w:numPr>
          <w:ilvl w:val="0"/>
          <w:numId w:val="1020"/>
        </w:numPr>
        <w:pStyle w:val="Compact"/>
      </w:pPr>
      <w:r>
        <w:t xml:space="preserve">comunicación multilingüe;</w:t>
      </w:r>
    </w:p>
    <w:p>
      <w:pPr>
        <w:numPr>
          <w:ilvl w:val="0"/>
          <w:numId w:val="1020"/>
        </w:numPr>
        <w:pStyle w:val="Compact"/>
      </w:pPr>
      <w:r>
        <w:t xml:space="preserve">formación en demencia o discapacidad, si realmente se completó;</w:t>
      </w:r>
    </w:p>
    <w:p>
      <w:pPr>
        <w:numPr>
          <w:ilvl w:val="0"/>
          <w:numId w:val="1020"/>
        </w:numPr>
        <w:pStyle w:val="Compact"/>
      </w:pPr>
      <w:r>
        <w:t xml:space="preserve">RCP/primeros auxilios, si están vigentes y son verificables;</w:t>
      </w:r>
    </w:p>
    <w:p>
      <w:pPr>
        <w:numPr>
          <w:ilvl w:val="0"/>
          <w:numId w:val="1020"/>
        </w:numPr>
        <w:pStyle w:val="Compact"/>
      </w:pPr>
      <w:r>
        <w:t xml:space="preserve">credenciales formales de cuidador, home health aide o auxiliar de salud, solo cuando realmente se posean.</w:t>
      </w:r>
    </w:p>
    <w:p>
      <w:pPr>
        <w:pStyle w:val="FirstParagraph"/>
      </w:pPr>
      <w:r>
        <w:t xml:space="preserve">No se presente como enfermero, auxiliar de enfermería, home health aide, Auxiliar en Salud u otro título regulado o sujeto a credencial a menos que cumpla los requisitos del lugar donde utiliza ese título.</w:t>
      </w:r>
    </w:p>
    <w:bookmarkEnd w:id="84"/>
    <w:bookmarkStart w:id="85" w:name="X0752168d94105093d2ec53e3a7b3a625eb15cba"/>
    <w:p>
      <w:pPr>
        <w:pStyle w:val="Heading2"/>
      </w:pPr>
      <w:r>
        <w:t xml:space="preserve">20. Preguntas para hacer al empleador en una entrevista</w:t>
      </w:r>
    </w:p>
    <w:p>
      <w:pPr>
        <w:pStyle w:val="FirstParagraph"/>
      </w:pPr>
      <w:r>
        <w:t xml:space="preserve">Formule preguntas que revelen el trabajo real:</w:t>
      </w:r>
    </w:p>
    <w:p>
      <w:pPr>
        <w:numPr>
          <w:ilvl w:val="0"/>
          <w:numId w:val="1021"/>
        </w:numPr>
        <w:pStyle w:val="Compact"/>
      </w:pPr>
      <w:r>
        <w:t xml:space="preserve">¿Qué tareas se espera que realicen los auxiliares o cuidadores?</w:t>
      </w:r>
    </w:p>
    <w:p>
      <w:pPr>
        <w:numPr>
          <w:ilvl w:val="0"/>
          <w:numId w:val="1021"/>
        </w:numPr>
        <w:pStyle w:val="Compact"/>
      </w:pPr>
      <w:r>
        <w:t xml:space="preserve">¿Qué tareas están prohibidas si no tengo una credencial adicional?</w:t>
      </w:r>
    </w:p>
    <w:p>
      <w:pPr>
        <w:numPr>
          <w:ilvl w:val="0"/>
          <w:numId w:val="1021"/>
        </w:numPr>
        <w:pStyle w:val="Compact"/>
      </w:pPr>
      <w:r>
        <w:t xml:space="preserve">¿La capacitación es pagada?</w:t>
      </w:r>
    </w:p>
    <w:p>
      <w:pPr>
        <w:numPr>
          <w:ilvl w:val="0"/>
          <w:numId w:val="1021"/>
        </w:numPr>
        <w:pStyle w:val="Compact"/>
      </w:pPr>
      <w:r>
        <w:t xml:space="preserve">¿Se paga el tiempo de viaje entre clientes?</w:t>
      </w:r>
    </w:p>
    <w:p>
      <w:pPr>
        <w:numPr>
          <w:ilvl w:val="0"/>
          <w:numId w:val="1021"/>
        </w:numPr>
        <w:pStyle w:val="Compact"/>
      </w:pPr>
      <w:r>
        <w:t xml:space="preserve">¿Se reembolsa kilometraje?</w:t>
      </w:r>
    </w:p>
    <w:p>
      <w:pPr>
        <w:numPr>
          <w:ilvl w:val="0"/>
          <w:numId w:val="1021"/>
        </w:numPr>
        <w:pStyle w:val="Compact"/>
      </w:pPr>
      <w:r>
        <w:t xml:space="preserve">¿Hay horas garantizadas?</w:t>
      </w:r>
    </w:p>
    <w:p>
      <w:pPr>
        <w:numPr>
          <w:ilvl w:val="0"/>
          <w:numId w:val="1021"/>
        </w:numPr>
        <w:pStyle w:val="Compact"/>
      </w:pPr>
      <w:r>
        <w:t xml:space="preserve">¿Qué sucede cuando un cliente cancela?</w:t>
      </w:r>
    </w:p>
    <w:p>
      <w:pPr>
        <w:numPr>
          <w:ilvl w:val="0"/>
          <w:numId w:val="1021"/>
        </w:numPr>
        <w:pStyle w:val="Compact"/>
      </w:pPr>
      <w:r>
        <w:t xml:space="preserve">¿Qué requisitos de levantamiento o traslado son comunes?</w:t>
      </w:r>
    </w:p>
    <w:p>
      <w:pPr>
        <w:numPr>
          <w:ilvl w:val="0"/>
          <w:numId w:val="1021"/>
        </w:numPr>
        <w:pStyle w:val="Compact"/>
      </w:pPr>
      <w:r>
        <w:t xml:space="preserve">¿Qué equipo se proporciona para traslados?</w:t>
      </w:r>
    </w:p>
    <w:p>
      <w:pPr>
        <w:numPr>
          <w:ilvl w:val="0"/>
          <w:numId w:val="1021"/>
        </w:numPr>
        <w:pStyle w:val="Compact"/>
      </w:pPr>
      <w:r>
        <w:t xml:space="preserve">¿Cómo se manejan hogares inseguros o conductas agresivas?</w:t>
      </w:r>
    </w:p>
    <w:p>
      <w:pPr>
        <w:numPr>
          <w:ilvl w:val="0"/>
          <w:numId w:val="1021"/>
        </w:numPr>
        <w:pStyle w:val="Compact"/>
      </w:pPr>
      <w:r>
        <w:t xml:space="preserve">¿Quién está disponible fuera de horario para escalar problemas clínicos o de seguridad?</w:t>
      </w:r>
    </w:p>
    <w:p>
      <w:pPr>
        <w:numPr>
          <w:ilvl w:val="0"/>
          <w:numId w:val="1021"/>
        </w:numPr>
        <w:pStyle w:val="Compact"/>
      </w:pPr>
      <w:r>
        <w:t xml:space="preserve">¿Qué sistema de documentación se utiliza?</w:t>
      </w:r>
    </w:p>
    <w:p>
      <w:pPr>
        <w:numPr>
          <w:ilvl w:val="0"/>
          <w:numId w:val="1021"/>
        </w:numPr>
        <w:pStyle w:val="Compact"/>
      </w:pPr>
      <w:r>
        <w:t xml:space="preserve">¿Qué verificaciones de antecedentes, vacunas, exámenes de salud, historial de conducción o credenciales se requieren?</w:t>
      </w:r>
    </w:p>
    <w:p>
      <w:pPr>
        <w:numPr>
          <w:ilvl w:val="0"/>
          <w:numId w:val="1021"/>
        </w:numPr>
        <w:pStyle w:val="Compact"/>
      </w:pPr>
      <w:r>
        <w:t xml:space="preserve">¿Con qué frecuencia se realizan evaluaciones de desempeño y competencia?</w:t>
      </w:r>
    </w:p>
    <w:bookmarkEnd w:id="85"/>
    <w:bookmarkStart w:id="86" w:name="X2e1754b9771a45f395b2e7c76205e5a47813296"/>
    <w:p>
      <w:pPr>
        <w:pStyle w:val="Heading2"/>
      </w:pPr>
      <w:r>
        <w:t xml:space="preserve">21. Evaluar la compensación más allá de la tarifa por hora</w:t>
      </w:r>
    </w:p>
    <w:p>
      <w:pPr>
        <w:pStyle w:val="FirstParagraph"/>
      </w:pPr>
      <w:r>
        <w:t xml:space="preserve">Compare:</w:t>
      </w:r>
    </w:p>
    <w:p>
      <w:pPr>
        <w:numPr>
          <w:ilvl w:val="0"/>
          <w:numId w:val="1022"/>
        </w:numPr>
        <w:pStyle w:val="Compact"/>
      </w:pPr>
      <w:r>
        <w:t xml:space="preserve">viaje pagado versus no pagado;</w:t>
      </w:r>
    </w:p>
    <w:p>
      <w:pPr>
        <w:numPr>
          <w:ilvl w:val="0"/>
          <w:numId w:val="1022"/>
        </w:numPr>
        <w:pStyle w:val="Compact"/>
      </w:pPr>
      <w:r>
        <w:t xml:space="preserve">reembolso de kilometraje;</w:t>
      </w:r>
    </w:p>
    <w:p>
      <w:pPr>
        <w:numPr>
          <w:ilvl w:val="0"/>
          <w:numId w:val="1022"/>
        </w:numPr>
        <w:pStyle w:val="Compact"/>
      </w:pPr>
      <w:r>
        <w:t xml:space="preserve">horas garantizadas;</w:t>
      </w:r>
    </w:p>
    <w:p>
      <w:pPr>
        <w:numPr>
          <w:ilvl w:val="0"/>
          <w:numId w:val="1022"/>
        </w:numPr>
        <w:pStyle w:val="Compact"/>
      </w:pPr>
      <w:r>
        <w:t xml:space="preserve">política de cancelaciones;</w:t>
      </w:r>
    </w:p>
    <w:p>
      <w:pPr>
        <w:numPr>
          <w:ilvl w:val="0"/>
          <w:numId w:val="1022"/>
        </w:numPr>
        <w:pStyle w:val="Compact"/>
      </w:pPr>
      <w:r>
        <w:t xml:space="preserve">elegibilidad para horas extra;</w:t>
      </w:r>
    </w:p>
    <w:p>
      <w:pPr>
        <w:numPr>
          <w:ilvl w:val="0"/>
          <w:numId w:val="1022"/>
        </w:numPr>
        <w:pStyle w:val="Compact"/>
      </w:pPr>
      <w:r>
        <w:t xml:space="preserve">diferenciales nocturnos o de fin de semana;</w:t>
      </w:r>
    </w:p>
    <w:p>
      <w:pPr>
        <w:numPr>
          <w:ilvl w:val="0"/>
          <w:numId w:val="1022"/>
        </w:numPr>
        <w:pStyle w:val="Compact"/>
      </w:pPr>
      <w:r>
        <w:t xml:space="preserve">beneficios;</w:t>
      </w:r>
    </w:p>
    <w:p>
      <w:pPr>
        <w:numPr>
          <w:ilvl w:val="0"/>
          <w:numId w:val="1022"/>
        </w:numPr>
        <w:pStyle w:val="Compact"/>
      </w:pPr>
      <w:r>
        <w:t xml:space="preserve">capacitación pagada;</w:t>
      </w:r>
    </w:p>
    <w:p>
      <w:pPr>
        <w:numPr>
          <w:ilvl w:val="0"/>
          <w:numId w:val="1022"/>
        </w:numPr>
        <w:pStyle w:val="Compact"/>
      </w:pPr>
      <w:r>
        <w:t xml:space="preserve">licencia por enfermedad y vacaciones pagadas;</w:t>
      </w:r>
    </w:p>
    <w:p>
      <w:pPr>
        <w:numPr>
          <w:ilvl w:val="0"/>
          <w:numId w:val="1022"/>
        </w:numPr>
        <w:pStyle w:val="Compact"/>
      </w:pPr>
      <w:r>
        <w:t xml:space="preserve">costos de uniforme y EPP;</w:t>
      </w:r>
    </w:p>
    <w:p>
      <w:pPr>
        <w:numPr>
          <w:ilvl w:val="0"/>
          <w:numId w:val="1022"/>
        </w:numPr>
        <w:pStyle w:val="Compact"/>
      </w:pPr>
      <w:r>
        <w:t xml:space="preserve">costos de renovación de credenciales;</w:t>
      </w:r>
    </w:p>
    <w:p>
      <w:pPr>
        <w:numPr>
          <w:ilvl w:val="0"/>
          <w:numId w:val="1022"/>
        </w:numPr>
        <w:pStyle w:val="Compact"/>
      </w:pPr>
      <w:r>
        <w:t xml:space="preserve">transporte y estacionamiento;</w:t>
      </w:r>
    </w:p>
    <w:p>
      <w:pPr>
        <w:numPr>
          <w:ilvl w:val="0"/>
          <w:numId w:val="1022"/>
        </w:numPr>
        <w:pStyle w:val="Compact"/>
      </w:pPr>
      <w:r>
        <w:t xml:space="preserve">tiempos no pagados entre clientes.</w:t>
      </w:r>
    </w:p>
    <w:p>
      <w:pPr>
        <w:pStyle w:val="FirstParagraph"/>
      </w:pPr>
      <w:r>
        <w:t xml:space="preserve">Una tarifa por hora anunciada más alta puede producir ingresos reales menores si el horario contiene viajes no pagados o cancelaciones frecuentes.</w:t>
      </w:r>
    </w:p>
    <w:bookmarkEnd w:id="86"/>
    <w:bookmarkStart w:id="87" w:name="X8088ab03356dcb3ac803e7febc492bae77ccf59"/>
    <w:p>
      <w:pPr>
        <w:pStyle w:val="Heading2"/>
      </w:pPr>
      <w:r>
        <w:t xml:space="preserve">22. Rutas de avance</w:t>
      </w:r>
    </w:p>
    <w:p>
      <w:pPr>
        <w:pStyle w:val="FirstParagraph"/>
      </w:pPr>
      <w:r>
        <w:t xml:space="preserve">Según la jurisdicción y educación, la experiencia puede conducir a funciones como:</w:t>
      </w:r>
    </w:p>
    <w:p>
      <w:pPr>
        <w:numPr>
          <w:ilvl w:val="0"/>
          <w:numId w:val="1023"/>
        </w:numPr>
        <w:pStyle w:val="Compact"/>
      </w:pPr>
      <w:r>
        <w:t xml:space="preserve">cuidador sénior o líder de auxiliares;</w:t>
      </w:r>
    </w:p>
    <w:p>
      <w:pPr>
        <w:numPr>
          <w:ilvl w:val="0"/>
          <w:numId w:val="1023"/>
        </w:numPr>
        <w:pStyle w:val="Compact"/>
      </w:pPr>
      <w:r>
        <w:t xml:space="preserve">programador de servicios o coordinador de cuidado;</w:t>
      </w:r>
    </w:p>
    <w:p>
      <w:pPr>
        <w:numPr>
          <w:ilvl w:val="0"/>
          <w:numId w:val="1023"/>
        </w:numPr>
        <w:pStyle w:val="Compact"/>
      </w:pPr>
      <w:r>
        <w:t xml:space="preserve">supervisor de atención domiciliaria cuando las cualificaciones lo permitan;</w:t>
      </w:r>
    </w:p>
    <w:p>
      <w:pPr>
        <w:numPr>
          <w:ilvl w:val="0"/>
          <w:numId w:val="1023"/>
        </w:numPr>
        <w:pStyle w:val="Compact"/>
      </w:pPr>
      <w:r>
        <w:t xml:space="preserve">trabajador de apoyo comunitario;</w:t>
      </w:r>
    </w:p>
    <w:p>
      <w:pPr>
        <w:numPr>
          <w:ilvl w:val="0"/>
          <w:numId w:val="1023"/>
        </w:numPr>
        <w:pStyle w:val="Compact"/>
      </w:pPr>
      <w:r>
        <w:t xml:space="preserve">especialización como personal support worker;</w:t>
      </w:r>
    </w:p>
    <w:p>
      <w:pPr>
        <w:numPr>
          <w:ilvl w:val="0"/>
          <w:numId w:val="1023"/>
        </w:numPr>
        <w:pStyle w:val="Compact"/>
      </w:pPr>
      <w:r>
        <w:t xml:space="preserve">ruta hacia nursing assistant;</w:t>
      </w:r>
    </w:p>
    <w:p>
      <w:pPr>
        <w:numPr>
          <w:ilvl w:val="0"/>
          <w:numId w:val="1023"/>
        </w:numPr>
        <w:pStyle w:val="Compact"/>
      </w:pPr>
      <w:r>
        <w:t xml:space="preserve">ruta de Auxiliar en Salud en Colombia mediante formación reconocida;</w:t>
      </w:r>
    </w:p>
    <w:p>
      <w:pPr>
        <w:numPr>
          <w:ilvl w:val="0"/>
          <w:numId w:val="1023"/>
        </w:numPr>
        <w:pStyle w:val="Compact"/>
      </w:pPr>
      <w:r>
        <w:t xml:space="preserve">enfermería práctica o vocacional;</w:t>
      </w:r>
    </w:p>
    <w:p>
      <w:pPr>
        <w:numPr>
          <w:ilvl w:val="0"/>
          <w:numId w:val="1023"/>
        </w:numPr>
        <w:pStyle w:val="Compact"/>
      </w:pPr>
      <w:r>
        <w:t xml:space="preserve">enfermería profesional;</w:t>
      </w:r>
    </w:p>
    <w:p>
      <w:pPr>
        <w:numPr>
          <w:ilvl w:val="0"/>
          <w:numId w:val="1023"/>
        </w:numPr>
        <w:pStyle w:val="Compact"/>
      </w:pPr>
      <w:r>
        <w:t xml:space="preserve">carreras de apoyo en terapia ocupacional o física;</w:t>
      </w:r>
    </w:p>
    <w:p>
      <w:pPr>
        <w:numPr>
          <w:ilvl w:val="0"/>
          <w:numId w:val="1023"/>
        </w:numPr>
        <w:pStyle w:val="Compact"/>
      </w:pPr>
      <w:r>
        <w:t xml:space="preserve">funciones sociales o de servicios comunitarios;</w:t>
      </w:r>
    </w:p>
    <w:p>
      <w:pPr>
        <w:numPr>
          <w:ilvl w:val="0"/>
          <w:numId w:val="1023"/>
        </w:numPr>
        <w:pStyle w:val="Compact"/>
      </w:pPr>
      <w:r>
        <w:t xml:space="preserve">especialización en demencia, discapacidad, hospice o cuidados paliativos.</w:t>
      </w:r>
    </w:p>
    <w:p>
      <w:pPr>
        <w:pStyle w:val="FirstParagraph"/>
      </w:pPr>
      <w:r>
        <w:t xml:space="preserve">Cada paso puede requerir educación, licencia, registro o autorización del empleador por separado. La experiencia por sí sola no confiere una credencial regulada.</w:t>
      </w:r>
    </w:p>
    <w:bookmarkEnd w:id="87"/>
    <w:bookmarkStart w:id="88" w:name="Xab86b02bc3b66fd18a9d76a729b5339b00dd137"/>
    <w:p>
      <w:pPr>
        <w:pStyle w:val="Heading2"/>
      </w:pPr>
      <w:r>
        <w:t xml:space="preserve">23. Señales de alerta en programas de capacitación</w:t>
      </w:r>
    </w:p>
    <w:p>
      <w:pPr>
        <w:pStyle w:val="FirstParagraph"/>
      </w:pPr>
      <w:r>
        <w:t xml:space="preserve">Tenga precaución si una institución o reclutador:</w:t>
      </w:r>
    </w:p>
    <w:p>
      <w:pPr>
        <w:numPr>
          <w:ilvl w:val="0"/>
          <w:numId w:val="1024"/>
        </w:numPr>
        <w:pStyle w:val="Compact"/>
      </w:pPr>
      <w:r>
        <w:t xml:space="preserve">garantiza empleo o un salario específico;</w:t>
      </w:r>
    </w:p>
    <w:p>
      <w:pPr>
        <w:numPr>
          <w:ilvl w:val="0"/>
          <w:numId w:val="1024"/>
        </w:numPr>
        <w:pStyle w:val="Compact"/>
      </w:pPr>
      <w:r>
        <w:t xml:space="preserve">afirma que un certificado corto autoriza automáticamente trabajo clínico en cualquier lugar;</w:t>
      </w:r>
    </w:p>
    <w:p>
      <w:pPr>
        <w:numPr>
          <w:ilvl w:val="0"/>
          <w:numId w:val="1024"/>
        </w:numPr>
        <w:pStyle w:val="Compact"/>
      </w:pPr>
      <w:r>
        <w:t xml:space="preserve">se niega a identificar acreditador, regulador, empleadores asociados o estado de aprobación del programa;</w:t>
      </w:r>
    </w:p>
    <w:p>
      <w:pPr>
        <w:numPr>
          <w:ilvl w:val="0"/>
          <w:numId w:val="1024"/>
        </w:numPr>
        <w:pStyle w:val="Compact"/>
      </w:pPr>
      <w:r>
        <w:t xml:space="preserve">presiona para pagar inmediatamente;</w:t>
      </w:r>
    </w:p>
    <w:p>
      <w:pPr>
        <w:numPr>
          <w:ilvl w:val="0"/>
          <w:numId w:val="1024"/>
        </w:numPr>
        <w:pStyle w:val="Compact"/>
      </w:pPr>
      <w:r>
        <w:t xml:space="preserve">no puede explicar el costo total;</w:t>
      </w:r>
    </w:p>
    <w:p>
      <w:pPr>
        <w:numPr>
          <w:ilvl w:val="0"/>
          <w:numId w:val="1024"/>
        </w:numPr>
        <w:pStyle w:val="Compact"/>
      </w:pPr>
      <w:r>
        <w:t xml:space="preserve">promociona un programa gubernamental vencido como si estuviera abierto;</w:t>
      </w:r>
    </w:p>
    <w:p>
      <w:pPr>
        <w:numPr>
          <w:ilvl w:val="0"/>
          <w:numId w:val="1024"/>
        </w:numPr>
        <w:pStyle w:val="Compact"/>
      </w:pPr>
      <w:r>
        <w:t xml:space="preserve">dice que ignore requisitos estatales, provinciales o nacionales;</w:t>
      </w:r>
    </w:p>
    <w:p>
      <w:pPr>
        <w:numPr>
          <w:ilvl w:val="0"/>
          <w:numId w:val="1024"/>
        </w:numPr>
        <w:pStyle w:val="Compact"/>
      </w:pPr>
      <w:r>
        <w:t xml:space="preserve">promete estatus migratorio o aprobación de visa a cambio de matrícula.</w:t>
      </w:r>
    </w:p>
    <w:p>
      <w:pPr>
        <w:pStyle w:val="FirstParagraph"/>
      </w:pPr>
      <w:r>
        <w:t xml:space="preserve">Verifique antes de pagar.</w:t>
      </w:r>
    </w:p>
    <w:bookmarkEnd w:id="88"/>
    <w:bookmarkStart w:id="92" w:name="X1b88682069b4b99565ed734ba261404a6e2826f"/>
    <w:p>
      <w:pPr>
        <w:pStyle w:val="Heading2"/>
      </w:pPr>
      <w:r>
        <w:t xml:space="preserve">24. Lista de verificación de fuentes</w:t>
      </w:r>
    </w:p>
    <w:p>
      <w:pPr>
        <w:pStyle w:val="FirstParagraph"/>
      </w:pPr>
      <w:r>
        <w:t xml:space="preserve">Como las reglas y salarios cambian, vuelva a consultar estas fuentes antes de tomar una decisión:</w:t>
      </w:r>
    </w:p>
    <w:bookmarkStart w:id="89" w:name="estados-unidos"/>
    <w:p>
      <w:pPr>
        <w:pStyle w:val="Heading3"/>
      </w:pPr>
      <w:r>
        <w:t xml:space="preserve">Estados Unidos</w:t>
      </w:r>
    </w:p>
    <w:p>
      <w:pPr>
        <w:numPr>
          <w:ilvl w:val="0"/>
          <w:numId w:val="1025"/>
        </w:numPr>
        <w:pStyle w:val="Compact"/>
      </w:pPr>
      <w:r>
        <w:t xml:space="preserve">Perfil ocupacional BLS:</w:t>
      </w:r>
      <w:r>
        <w:t xml:space="preserve"> </w:t>
      </w:r>
      <w:hyperlink r:id="rId27">
        <w:hyperlink r:id="rId27">
          <w:r>
            <w:rPr>
              <w:rStyle w:val="Hyperlink"/>
            </w:rPr>
            <w:t xml:space="preserve">Source link</w:t>
          </w:r>
        </w:hyperlink>
      </w:hyperlink>
    </w:p>
    <w:p>
      <w:pPr>
        <w:numPr>
          <w:ilvl w:val="0"/>
          <w:numId w:val="1025"/>
        </w:numPr>
        <w:pStyle w:val="Compact"/>
      </w:pPr>
      <w:r>
        <w:t xml:space="preserve">Reglamento federal para home health aides:</w:t>
      </w:r>
      <w:r>
        <w:t xml:space="preserve"> </w:t>
      </w:r>
      <w:hyperlink r:id="rId30">
        <w:hyperlink r:id="rId30">
          <w:r>
            <w:rPr>
              <w:rStyle w:val="Hyperlink"/>
            </w:rPr>
            <w:t xml:space="preserve">Source link</w:t>
          </w:r>
        </w:hyperlink>
      </w:hyperlink>
    </w:p>
    <w:p>
      <w:pPr>
        <w:numPr>
          <w:ilvl w:val="0"/>
          <w:numId w:val="1025"/>
        </w:numPr>
        <w:pStyle w:val="Compact"/>
      </w:pPr>
      <w:r>
        <w:t xml:space="preserve">WIOA del Departamento de Trabajo:</w:t>
      </w:r>
      <w:r>
        <w:t xml:space="preserve"> </w:t>
      </w:r>
      <w:hyperlink r:id="rId33">
        <w:hyperlink r:id="rId33">
          <w:r>
            <w:rPr>
              <w:rStyle w:val="Hyperlink"/>
            </w:rPr>
            <w:t xml:space="preserve">Source link</w:t>
          </w:r>
        </w:hyperlink>
      </w:hyperlink>
    </w:p>
    <w:p>
      <w:pPr>
        <w:numPr>
          <w:ilvl w:val="0"/>
          <w:numId w:val="1025"/>
        </w:numPr>
        <w:pStyle w:val="Compact"/>
      </w:pPr>
      <w:r>
        <w:t xml:space="preserve">American Job Centers:</w:t>
      </w:r>
      <w:r>
        <w:t xml:space="preserve"> </w:t>
      </w:r>
      <w:hyperlink r:id="rId34">
        <w:hyperlink r:id="rId34">
          <w:r>
            <w:rPr>
              <w:rStyle w:val="Hyperlink"/>
            </w:rPr>
            <w:t xml:space="preserve">Source link</w:t>
          </w:r>
        </w:hyperlink>
      </w:hyperlink>
    </w:p>
    <w:bookmarkEnd w:id="89"/>
    <w:bookmarkStart w:id="90" w:name="canadá"/>
    <w:p>
      <w:pPr>
        <w:pStyle w:val="Heading3"/>
      </w:pPr>
      <w:r>
        <w:t xml:space="preserve">Canadá</w:t>
      </w:r>
    </w:p>
    <w:p>
      <w:pPr>
        <w:numPr>
          <w:ilvl w:val="0"/>
          <w:numId w:val="1026"/>
        </w:numPr>
        <w:pStyle w:val="Compact"/>
      </w:pPr>
      <w:r>
        <w:t xml:space="preserve">Resumen Job Bank NOC 44101:</w:t>
      </w:r>
      <w:r>
        <w:t xml:space="preserve"> </w:t>
      </w:r>
      <w:hyperlink r:id="rId37">
        <w:hyperlink r:id="rId37">
          <w:r>
            <w:rPr>
              <w:rStyle w:val="Hyperlink"/>
            </w:rPr>
            <w:t xml:space="preserve">Source link</w:t>
          </w:r>
        </w:hyperlink>
      </w:hyperlink>
    </w:p>
    <w:p>
      <w:pPr>
        <w:numPr>
          <w:ilvl w:val="0"/>
          <w:numId w:val="1026"/>
        </w:numPr>
        <w:pStyle w:val="Compact"/>
      </w:pPr>
      <w:r>
        <w:t xml:space="preserve">Salarios Job Bank:</w:t>
      </w:r>
      <w:r>
        <w:t xml:space="preserve"> </w:t>
      </w:r>
      <w:hyperlink r:id="rId38">
        <w:hyperlink r:id="rId38">
          <w:r>
            <w:rPr>
              <w:rStyle w:val="Hyperlink"/>
            </w:rPr>
            <w:t xml:space="preserve">Source link</w:t>
          </w:r>
        </w:hyperlink>
      </w:hyperlink>
    </w:p>
    <w:p>
      <w:pPr>
        <w:numPr>
          <w:ilvl w:val="0"/>
          <w:numId w:val="1026"/>
        </w:numPr>
        <w:pStyle w:val="Compact"/>
      </w:pPr>
      <w:r>
        <w:t xml:space="preserve">Perspectivas Job Bank:</w:t>
      </w:r>
      <w:r>
        <w:t xml:space="preserve"> </w:t>
      </w:r>
      <w:hyperlink r:id="rId40">
        <w:hyperlink r:id="rId40">
          <w:r>
            <w:rPr>
              <w:rStyle w:val="Hyperlink"/>
            </w:rPr>
            <w:t xml:space="preserve">Source link</w:t>
          </w:r>
        </w:hyperlink>
      </w:hyperlink>
    </w:p>
    <w:p>
      <w:pPr>
        <w:numPr>
          <w:ilvl w:val="0"/>
          <w:numId w:val="1026"/>
        </w:numPr>
        <w:pStyle w:val="Compact"/>
      </w:pPr>
      <w:r>
        <w:t xml:space="preserve">Portal de capacitación de Canadá:</w:t>
      </w:r>
      <w:r>
        <w:t xml:space="preserve"> </w:t>
      </w:r>
      <w:hyperlink r:id="rId43">
        <w:hyperlink r:id="rId43">
          <w:r>
            <w:rPr>
              <w:rStyle w:val="Hyperlink"/>
            </w:rPr>
            <w:t xml:space="preserve">Source link</w:t>
          </w:r>
        </w:hyperlink>
      </w:hyperlink>
    </w:p>
    <w:p>
      <w:pPr>
        <w:numPr>
          <w:ilvl w:val="0"/>
          <w:numId w:val="1026"/>
        </w:numPr>
        <w:pStyle w:val="Compact"/>
      </w:pPr>
      <w:r>
        <w:t xml:space="preserve">Labour Market Agreements:</w:t>
      </w:r>
      <w:r>
        <w:t xml:space="preserve"> </w:t>
      </w:r>
      <w:hyperlink r:id="rId44">
        <w:hyperlink r:id="rId44">
          <w:r>
            <w:rPr>
              <w:rStyle w:val="Hyperlink"/>
            </w:rPr>
            <w:t xml:space="preserve">Source link</w:t>
          </w:r>
        </w:hyperlink>
      </w:hyperlink>
    </w:p>
    <w:bookmarkEnd w:id="90"/>
    <w:bookmarkStart w:id="91" w:name="colombia"/>
    <w:p>
      <w:pPr>
        <w:pStyle w:val="Heading3"/>
      </w:pPr>
      <w:r>
        <w:t xml:space="preserve">Colombia</w:t>
      </w:r>
    </w:p>
    <w:p>
      <w:pPr>
        <w:numPr>
          <w:ilvl w:val="0"/>
          <w:numId w:val="1027"/>
        </w:numPr>
        <w:pStyle w:val="Compact"/>
      </w:pPr>
      <w:r>
        <w:t xml:space="preserve">MinSalud — formación de talento humano en salud:</w:t>
      </w:r>
      <w:r>
        <w:t xml:space="preserve"> </w:t>
      </w:r>
      <w:hyperlink r:id="rId53">
        <w:hyperlink r:id="rId53">
          <w:r>
            <w:rPr>
              <w:rStyle w:val="Hyperlink"/>
            </w:rPr>
            <w:t xml:space="preserve">Source link</w:t>
          </w:r>
        </w:hyperlink>
      </w:hyperlink>
    </w:p>
    <w:p>
      <w:pPr>
        <w:numPr>
          <w:ilvl w:val="0"/>
          <w:numId w:val="1027"/>
        </w:numPr>
        <w:pStyle w:val="Compact"/>
      </w:pPr>
      <w:r>
        <w:t xml:space="preserve">MinSalud — profesiones y ocupaciones:</w:t>
      </w:r>
      <w:r>
        <w:t xml:space="preserve"> </w:t>
      </w:r>
      <w:hyperlink r:id="rId54">
        <w:hyperlink r:id="rId54">
          <w:r>
            <w:rPr>
              <w:rStyle w:val="Hyperlink"/>
            </w:rPr>
            <w:t xml:space="preserve">Source link</w:t>
          </w:r>
        </w:hyperlink>
      </w:hyperlink>
    </w:p>
    <w:p>
      <w:pPr>
        <w:numPr>
          <w:ilvl w:val="0"/>
          <w:numId w:val="1027"/>
        </w:numPr>
        <w:pStyle w:val="Compact"/>
      </w:pPr>
      <w:r>
        <w:t xml:space="preserve">Ley 2297 de 2023 vía Normograma SENA:</w:t>
      </w:r>
      <w:r>
        <w:t xml:space="preserve"> </w:t>
      </w:r>
      <w:hyperlink r:id="rId48">
        <w:hyperlink r:id="rId48">
          <w:r>
            <w:rPr>
              <w:rStyle w:val="Hyperlink"/>
            </w:rPr>
            <w:t xml:space="preserve">Source link</w:t>
          </w:r>
        </w:hyperlink>
      </w:hyperlink>
    </w:p>
    <w:p>
      <w:pPr>
        <w:numPr>
          <w:ilvl w:val="0"/>
          <w:numId w:val="1027"/>
        </w:numPr>
        <w:pStyle w:val="Compact"/>
      </w:pPr>
      <w:r>
        <w:t xml:space="preserve">SENA:</w:t>
      </w:r>
      <w:r>
        <w:t xml:space="preserve"> </w:t>
      </w:r>
      <w:hyperlink r:id="rId57">
        <w:r>
          <w:rPr>
            <w:rStyle w:val="Hyperlink"/>
          </w:rPr>
          <w:t xml:space="preserve">https://www.sena.edu.co/</w:t>
        </w:r>
      </w:hyperlink>
    </w:p>
    <w:bookmarkEnd w:id="91"/>
    <w:bookmarkEnd w:id="92"/>
    <w:bookmarkStart w:id="93" w:name="Xbb74cee20a4fd86ac9a903f05f959ba87fb22d5"/>
    <w:p>
      <w:pPr>
        <w:pStyle w:val="Heading2"/>
      </w:pPr>
      <w:r>
        <w:t xml:space="preserve">25. Prueba final de decisión</w:t>
      </w:r>
    </w:p>
    <w:p>
      <w:pPr>
        <w:pStyle w:val="FirstParagraph"/>
      </w:pPr>
      <w:r>
        <w:t xml:space="preserve">Antes de comprometer dinero o aceptar una oferta, debe poder responder:</w:t>
      </w:r>
    </w:p>
    <w:p>
      <w:pPr>
        <w:numPr>
          <w:ilvl w:val="0"/>
          <w:numId w:val="1028"/>
        </w:numPr>
        <w:pStyle w:val="Compact"/>
      </w:pPr>
      <w:r>
        <w:t xml:space="preserve">¿Qué título de puesto exacto busco en esta jurisdicción?</w:t>
      </w:r>
    </w:p>
    <w:p>
      <w:pPr>
        <w:numPr>
          <w:ilvl w:val="0"/>
          <w:numId w:val="1028"/>
        </w:numPr>
        <w:pStyle w:val="Compact"/>
      </w:pPr>
      <w:r>
        <w:t xml:space="preserve">¿Qué funciones puedo realizar legalmente y de manera segura?</w:t>
      </w:r>
    </w:p>
    <w:p>
      <w:pPr>
        <w:numPr>
          <w:ilvl w:val="0"/>
          <w:numId w:val="1028"/>
        </w:numPr>
        <w:pStyle w:val="Compact"/>
      </w:pPr>
      <w:r>
        <w:t xml:space="preserve">¿Qué capacitación, credencial, verificación de antecedentes o registro se requiere realmente?</w:t>
      </w:r>
    </w:p>
    <w:p>
      <w:pPr>
        <w:numPr>
          <w:ilvl w:val="0"/>
          <w:numId w:val="1028"/>
        </w:numPr>
        <w:pStyle w:val="Compact"/>
      </w:pPr>
      <w:r>
        <w:t xml:space="preserve">¿Quién confirmó que el programa de capacitación que considero es aceptado?</w:t>
      </w:r>
    </w:p>
    <w:p>
      <w:pPr>
        <w:numPr>
          <w:ilvl w:val="0"/>
          <w:numId w:val="1028"/>
        </w:numPr>
        <w:pStyle w:val="Compact"/>
      </w:pPr>
      <w:r>
        <w:t xml:space="preserve">¿Cuáles son todos los costos?</w:t>
      </w:r>
    </w:p>
    <w:p>
      <w:pPr>
        <w:numPr>
          <w:ilvl w:val="0"/>
          <w:numId w:val="1028"/>
        </w:numPr>
        <w:pStyle w:val="Compact"/>
      </w:pPr>
      <w:r>
        <w:t xml:space="preserve">¿Cuál es el salario local realista después de viajes y tiempo no pagado?</w:t>
      </w:r>
    </w:p>
    <w:p>
      <w:pPr>
        <w:numPr>
          <w:ilvl w:val="0"/>
          <w:numId w:val="1028"/>
        </w:numPr>
        <w:pStyle w:val="Compact"/>
      </w:pPr>
      <w:r>
        <w:t xml:space="preserve">¿Puedo realizar con seguridad las funciones físicas y emocionales esenciales?</w:t>
      </w:r>
    </w:p>
    <w:p>
      <w:pPr>
        <w:numPr>
          <w:ilvl w:val="0"/>
          <w:numId w:val="1028"/>
        </w:numPr>
        <w:pStyle w:val="Compact"/>
      </w:pPr>
      <w:r>
        <w:t xml:space="preserve">¿Qué supervisión y apoyo de escalamiento recibiré?</w:t>
      </w:r>
    </w:p>
    <w:p>
      <w:pPr>
        <w:numPr>
          <w:ilvl w:val="0"/>
          <w:numId w:val="1028"/>
        </w:numPr>
        <w:pStyle w:val="Compact"/>
      </w:pPr>
      <w:r>
        <w:t xml:space="preserve">¿Qué normas de privacidad aplican?</w:t>
      </w:r>
    </w:p>
    <w:p>
      <w:pPr>
        <w:numPr>
          <w:ilvl w:val="0"/>
          <w:numId w:val="1028"/>
        </w:numPr>
        <w:pStyle w:val="Compact"/>
      </w:pPr>
      <w:r>
        <w:t xml:space="preserve">¿Cuál es mi siguiente opción de avance si disfruto el trabajo?</w:t>
      </w:r>
    </w:p>
    <w:p>
      <w:pPr>
        <w:pStyle w:val="FirstParagraph"/>
      </w:pPr>
      <w:r>
        <w:t xml:space="preserve">Si varias respuestas siguen sin estar claras, verifíquelas antes de pagar por capacitación o comprometerse con el puesto.</w:t>
      </w:r>
    </w:p>
    <w:bookmarkEnd w:id="93"/>
    <w:bookmarkStart w:id="94" w:name="X81b01d7d4e05fc16444d4ccf8b0100166c5769d"/>
    <w:p>
      <w:pPr>
        <w:pStyle w:val="Heading2"/>
      </w:pPr>
      <w:r>
        <w:t xml:space="preserve">26. Limitaciones importantes</w:t>
      </w:r>
    </w:p>
    <w:p>
      <w:pPr>
        <w:pStyle w:val="FirstParagraph"/>
      </w:pPr>
      <w:r>
        <w:t xml:space="preserve">Esta guía no garantiza empleo, ingresos, admisión, financiamiento, acomodación, certificación, licencia, estatus migratorio ni ascenso.</w:t>
      </w:r>
    </w:p>
    <w:p>
      <w:pPr>
        <w:pStyle w:val="BodyText"/>
      </w:pPr>
      <w:r>
        <w:t xml:space="preserve">Los datos nacionales de salarios y perspectivas no son pronósticos para una persona individual. Los programas gubernamentales de financiamiento tienen reglas de elegibilidad y disponibilidad local. Los títulos y alcances de funciones no son automáticamente equivalentes entre países.</w:t>
      </w:r>
    </w:p>
    <w:p>
      <w:pPr>
        <w:pStyle w:val="BodyText"/>
      </w:pPr>
      <w:r>
        <w:t xml:space="preserve">El trabajo de salud y cuidado personal implica responsabilidades reales de seguridad y privacidad. Cumpla la ley aplicable, las políticas del empleador, el plan de cuidado autorizado, la supervisión requerida y su alcance de práctica verificado.</w:t>
      </w:r>
    </w:p>
    <w:p>
      <w:r>
        <w:pict>
          <v:rect style="width:0;height:1.5pt" o:hralign="center" o:hrstd="t" o:hr="t"/>
        </w:pict>
      </w:r>
    </w:p>
    <w:p>
      <w:pPr>
        <w:pStyle w:val="FirstParagraph"/>
      </w:pPr>
      <w:r>
        <w:rPr>
          <w:bCs/>
          <w:b/>
        </w:rPr>
        <w:t xml:space="preserve">Nota de control de fuente:</w:t>
      </w:r>
      <w:r>
        <w:t xml:space="preserve"> </w:t>
      </w:r>
      <w:r>
        <w:t xml:space="preserve">Esta edición</w:t>
      </w:r>
      <w:r>
        <w:t xml:space="preserve"> </w:t>
      </w:r>
      <w:r>
        <w:rPr>
          <w:rStyle w:val="VerbatimChar"/>
        </w:rPr>
        <w:t xml:space="preserve">es-419</w:t>
      </w:r>
      <w:r>
        <w:t xml:space="preserve"> </w:t>
      </w:r>
      <w:r>
        <w:t xml:space="preserve">se localizó directamente desde el maestro inglés v2 congelado de Guide 55. Conserva la estructura, los valores controlados, las URL de fuentes, los límites jurisdiccionales y las advertencias de seguridad y alcance del original. No constituye una traducción profesional certificada ni una certificación regulatoria.</w:t>
      </w:r>
    </w:p>
    <w:bookmarkEnd w:id="94"/>
    <w:bookmarkEnd w:id="9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48" Target="https://normograma.sena.edu.co/compilacion/docs/ley_2297_2023.htm" TargetMode="External" /><Relationship Type="http://schemas.openxmlformats.org/officeDocument/2006/relationships/hyperlink" Id="rId27" Target="https://www.bls.gov/ooh/healthcare/home-health-aides-and-personal-care-aides.htm" TargetMode="External" /><Relationship Type="http://schemas.openxmlformats.org/officeDocument/2006/relationships/hyperlink" Id="rId44" Target="https://www.canada.ca/en/employment-social-development/programs/training-agreements.html" TargetMode="External" /><Relationship Type="http://schemas.openxmlformats.org/officeDocument/2006/relationships/hyperlink" Id="rId43" Target="https://www.canada.ca/en/services/jobs/training.html" TargetMode="External" /><Relationship Type="http://schemas.openxmlformats.org/officeDocument/2006/relationships/hyperlink" Id="rId45" Target="https://www.canada.ca/en/services/jobs/training/initiatives/skills-success.html" TargetMode="External" /><Relationship Type="http://schemas.openxmlformats.org/officeDocument/2006/relationships/hyperlink" Id="rId34" Target="https://www.dol.gov/agencies/eta/american-job-centers" TargetMode="External" /><Relationship Type="http://schemas.openxmlformats.org/officeDocument/2006/relationships/hyperlink" Id="rId33" Target="https://www.dol.gov/agencies/eta/wioa/programs" TargetMode="External" /><Relationship Type="http://schemas.openxmlformats.org/officeDocument/2006/relationships/hyperlink" Id="rId35" Target="https://www.dol.gov/agencies/eta/workforce-investment/adult" TargetMode="External" /><Relationship Type="http://schemas.openxmlformats.org/officeDocument/2006/relationships/hyperlink" Id="rId30" Target="https://www.ecfr.gov/current/title-42/chapter-IV/subchapter-G/part-484/subpart-B/section-484.80" TargetMode="External" /><Relationship Type="http://schemas.openxmlformats.org/officeDocument/2006/relationships/hyperlink" Id="rId46" Target="https://www.jobbank.gc.ca/" TargetMode="External" /><Relationship Type="http://schemas.openxmlformats.org/officeDocument/2006/relationships/hyperlink" Id="rId37" Target="https://www.jobbank.gc.ca/marketreport/summary-occupation/20667/ca" TargetMode="External" /><Relationship Type="http://schemas.openxmlformats.org/officeDocument/2006/relationships/hyperlink" Id="rId40" Target="https://www.jobbank.gc.ca/outlookreport/occupation/20667" TargetMode="External" /><Relationship Type="http://schemas.openxmlformats.org/officeDocument/2006/relationships/hyperlink" Id="rId38" Target="https://www.jobbank.gc.ca/wagereport/occupation/20667" TargetMode="External" /><Relationship Type="http://schemas.openxmlformats.org/officeDocument/2006/relationships/hyperlink" Id="rId54" Target="https://www.minsalud.gov.co/salud/PO/Paginas/talento-humano-salud.aspx" TargetMode="External" /><Relationship Type="http://schemas.openxmlformats.org/officeDocument/2006/relationships/hyperlink" Id="rId57" Target="https://www.sena.edu.co/" TargetMode="External" /><Relationship Type="http://schemas.openxmlformats.org/officeDocument/2006/relationships/hyperlink" Id="rId50" Target="https://www.sena.edu.co/es-co/Noticias/Paginas/noticia.aspx?IdNoticia=9127" TargetMode="External" /><Relationship Type="http://schemas.openxmlformats.org/officeDocument/2006/relationships/hyperlink" Id="rId51" Target="https://www.sena.edu.co/es-co/Noticias/Paginas/noticia.aspx?IdNoticia=9692" TargetMode="External" /><Relationship Type="http://schemas.openxmlformats.org/officeDocument/2006/relationships/hyperlink" Id="rId53" Target="https://www2.minsalud.gov.co/salud/PO/Paginas/formacion-talento-humano-salud.aspx" TargetMode="External" /></Relationships>
</file>

<file path=word/_rels/footnotes.xml.rels><?xml version="1.0" encoding="UTF-8"?><Relationships xmlns="http://schemas.openxmlformats.org/package/2006/relationships"><Relationship Type="http://schemas.openxmlformats.org/officeDocument/2006/relationships/hyperlink" Id="rId48" Target="https://normograma.sena.edu.co/compilacion/docs/ley_2297_2023.htm" TargetMode="External" /><Relationship Type="http://schemas.openxmlformats.org/officeDocument/2006/relationships/hyperlink" Id="rId27" Target="https://www.bls.gov/ooh/healthcare/home-health-aides-and-personal-care-aides.htm" TargetMode="External" /><Relationship Type="http://schemas.openxmlformats.org/officeDocument/2006/relationships/hyperlink" Id="rId44" Target="https://www.canada.ca/en/employment-social-development/programs/training-agreements.html" TargetMode="External" /><Relationship Type="http://schemas.openxmlformats.org/officeDocument/2006/relationships/hyperlink" Id="rId43" Target="https://www.canada.ca/en/services/jobs/training.html" TargetMode="External" /><Relationship Type="http://schemas.openxmlformats.org/officeDocument/2006/relationships/hyperlink" Id="rId45" Target="https://www.canada.ca/en/services/jobs/training/initiatives/skills-success.html" TargetMode="External" /><Relationship Type="http://schemas.openxmlformats.org/officeDocument/2006/relationships/hyperlink" Id="rId34" Target="https://www.dol.gov/agencies/eta/american-job-centers" TargetMode="External" /><Relationship Type="http://schemas.openxmlformats.org/officeDocument/2006/relationships/hyperlink" Id="rId33" Target="https://www.dol.gov/agencies/eta/wioa/programs" TargetMode="External" /><Relationship Type="http://schemas.openxmlformats.org/officeDocument/2006/relationships/hyperlink" Id="rId35" Target="https://www.dol.gov/agencies/eta/workforce-investment/adult" TargetMode="External" /><Relationship Type="http://schemas.openxmlformats.org/officeDocument/2006/relationships/hyperlink" Id="rId30" Target="https://www.ecfr.gov/current/title-42/chapter-IV/subchapter-G/part-484/subpart-B/section-484.80" TargetMode="External" /><Relationship Type="http://schemas.openxmlformats.org/officeDocument/2006/relationships/hyperlink" Id="rId46" Target="https://www.jobbank.gc.ca/" TargetMode="External" /><Relationship Type="http://schemas.openxmlformats.org/officeDocument/2006/relationships/hyperlink" Id="rId37" Target="https://www.jobbank.gc.ca/marketreport/summary-occupation/20667/ca" TargetMode="External" /><Relationship Type="http://schemas.openxmlformats.org/officeDocument/2006/relationships/hyperlink" Id="rId40" Target="https://www.jobbank.gc.ca/outlookreport/occupation/20667" TargetMode="External" /><Relationship Type="http://schemas.openxmlformats.org/officeDocument/2006/relationships/hyperlink" Id="rId38" Target="https://www.jobbank.gc.ca/wagereport/occupation/20667" TargetMode="External" /><Relationship Type="http://schemas.openxmlformats.org/officeDocument/2006/relationships/hyperlink" Id="rId54" Target="https://www.minsalud.gov.co/salud/PO/Paginas/talento-humano-salud.aspx" TargetMode="External" /><Relationship Type="http://schemas.openxmlformats.org/officeDocument/2006/relationships/hyperlink" Id="rId57" Target="https://www.sena.edu.co/" TargetMode="External" /><Relationship Type="http://schemas.openxmlformats.org/officeDocument/2006/relationships/hyperlink" Id="rId50" Target="https://www.sena.edu.co/es-co/Noticias/Paginas/noticia.aspx?IdNoticia=9127" TargetMode="External" /><Relationship Type="http://schemas.openxmlformats.org/officeDocument/2006/relationships/hyperlink" Id="rId51" Target="https://www.sena.edu.co/es-co/Noticias/Paginas/noticia.aspx?IdNoticia=9692" TargetMode="External" /><Relationship Type="http://schemas.openxmlformats.org/officeDocument/2006/relationships/hyperlink" Id="rId53" Target="https://www2.minsalud.gov.co/salud/PO/Paginas/formacion-talento-humano-salud.aspx"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2026-08-20T01:58:38Z</dcterms:created>
  <dcterms:modified xsi:type="dcterms:W3CDTF">2026-08-20T01:58:38Z</dcterms:modified>
</cp:coreProperties>
</file>

<file path=docProps/custom.xml><?xml version="1.0" encoding="utf-8"?>
<Properties xmlns="http://schemas.openxmlformats.org/officeDocument/2006/custom-properties" xmlns:vt="http://schemas.openxmlformats.org/officeDocument/2006/docPropsVTypes"/>
</file>