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59a11ccf7ac19a5e1dd1d2ad809cf0fc6a62714"/>
    <w:p>
      <w:pPr>
        <w:pStyle w:val="Heading1"/>
      </w:pPr>
      <w:r>
        <w:t xml:space="preserve">Guía 56 — Auxiliar de enfermería y técnico de atención al paciente</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19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auxiliares de enfermería brindan cuidados básicos y ayudan a pacientes o residentes con actividades de la vida diaria dentro de reglas definidas de supervisión, delegación y seguridad. Según el entorno, los empleadores pueden usar títulos como auxiliar de enfermería, nurse aide, certified nursing assistant (CNA), patient care technician (PCT), asistente de atención al paciente, auxiliar hospitalario, cuidador u otros términos similares.</w:t>
      </w:r>
    </w:p>
    <w:p>
      <w:pPr>
        <w:pStyle w:val="BodyText"/>
      </w:pPr>
      <w:r>
        <w:t xml:space="preserve">El título</w:t>
      </w:r>
      <w:r>
        <w:t xml:space="preserve"> </w:t>
      </w:r>
      <w:r>
        <w:rPr>
          <w:bCs/>
          <w:b/>
        </w:rPr>
        <w:t xml:space="preserve">Patient Care Technician (PCT)</w:t>
      </w:r>
      <w:r>
        <w:t xml:space="preserve"> </w:t>
      </w:r>
      <w:r>
        <w:t xml:space="preserve">no corresponde a una única credencial estandarizada a nivel nacional o internacional. Algunos empleadores lo usan para funciones que se superponen con las de auxiliar de enfermería; otros agregan habilidades específicas del empleador, como flebotomía, electrocardiografía, manejo de muestras, apoyo a la movilidad o tareas propias de una unidad. Nunca suponga que el título PCT autoriza una tarea. Verifique la ley, las reglas de credenciales, la política del empleador, la formación exigida, la delegación y la supervisión para el lugar y entorno exactos.</w:t>
      </w:r>
    </w:p>
    <w:p>
      <w:pPr>
        <w:pStyle w:val="BodyText"/>
      </w:pPr>
      <w:r>
        <w:t xml:space="preserve">Es un trabajo de apoyo sanitario de primera línea. Puede ser física y emocionalmente exigente, pero también puede ser una vía práctica de entrada al sector salud para personas que valoran el contacto directo con pacientes, el trabajo en equipo, la confiabilidad y el servicio.</w:t>
      </w:r>
    </w:p>
    <w:bookmarkEnd w:id="20"/>
    <w:bookmarkStart w:id="21" w:name="qué-puede-hacer"/>
    <w:p>
      <w:pPr>
        <w:pStyle w:val="Heading2"/>
      </w:pPr>
      <w:r>
        <w:t xml:space="preserve">Qué puede hacer</w:t>
      </w:r>
    </w:p>
    <w:p>
      <w:pPr>
        <w:pStyle w:val="FirstParagraph"/>
      </w:pPr>
      <w:r>
        <w:t xml:space="preserve">Las responsabilidades típicas pueden incluir:</w:t>
      </w:r>
    </w:p>
    <w:p>
      <w:pPr>
        <w:numPr>
          <w:ilvl w:val="0"/>
          <w:numId w:val="1001"/>
        </w:numPr>
        <w:pStyle w:val="Compact"/>
      </w:pPr>
      <w:r>
        <w:t xml:space="preserve">ayudar a pacientes o residentes con baño, vestido, aseo personal, uso del baño, alimentación, movilidad, posicionamiento y otras actividades de la vida diaria;</w:t>
      </w:r>
    </w:p>
    <w:p>
      <w:pPr>
        <w:numPr>
          <w:ilvl w:val="0"/>
          <w:numId w:val="1001"/>
        </w:numPr>
        <w:pStyle w:val="Compact"/>
      </w:pPr>
      <w:r>
        <w:t xml:space="preserve">medir y registrar signos vitales cuando se cuenta con la formación y autorización correspondientes;</w:t>
      </w:r>
    </w:p>
    <w:p>
      <w:pPr>
        <w:numPr>
          <w:ilvl w:val="0"/>
          <w:numId w:val="1001"/>
        </w:numPr>
        <w:pStyle w:val="Compact"/>
      </w:pPr>
      <w:r>
        <w:t xml:space="preserve">observar cambios en apariencia, conducta, comodidad, movilidad, ingesta/eliminación, estado de la piel u otros indicadores asignados y reportar oportunamente las preocupaciones;</w:t>
      </w:r>
    </w:p>
    <w:p>
      <w:pPr>
        <w:numPr>
          <w:ilvl w:val="0"/>
          <w:numId w:val="1001"/>
        </w:numPr>
        <w:pStyle w:val="Compact"/>
      </w:pPr>
      <w:r>
        <w:t xml:space="preserve">ayudar con transferencias seguras, deambulación, cambios de posición y prevención de caídas;</w:t>
      </w:r>
    </w:p>
    <w:p>
      <w:pPr>
        <w:numPr>
          <w:ilvl w:val="0"/>
          <w:numId w:val="1001"/>
        </w:numPr>
        <w:pStyle w:val="Compact"/>
      </w:pPr>
      <w:r>
        <w:t xml:space="preserve">tender camas, mantener limpio el entorno de atención, reponer suministros rutinarios y apoyar el flujo de trabajo de la unidad;</w:t>
      </w:r>
    </w:p>
    <w:p>
      <w:pPr>
        <w:numPr>
          <w:ilvl w:val="0"/>
          <w:numId w:val="1001"/>
        </w:numPr>
        <w:pStyle w:val="Compact"/>
      </w:pPr>
      <w:r>
        <w:t xml:space="preserve">transportar pacientes, muestras, suministros o equipos cuando esté asignado y permitido;</w:t>
      </w:r>
    </w:p>
    <w:p>
      <w:pPr>
        <w:numPr>
          <w:ilvl w:val="0"/>
          <w:numId w:val="1001"/>
        </w:numPr>
        <w:pStyle w:val="Compact"/>
      </w:pPr>
      <w:r>
        <w:t xml:space="preserve">seguir procedimientos de prevención de infecciones, higiene de manos, equipo de protección personal, limpieza, aislamiento y control de exposiciones;</w:t>
      </w:r>
    </w:p>
    <w:p>
      <w:pPr>
        <w:numPr>
          <w:ilvl w:val="0"/>
          <w:numId w:val="1001"/>
        </w:numPr>
        <w:pStyle w:val="Compact"/>
      </w:pPr>
      <w:r>
        <w:t xml:space="preserve">documentar la atención asignada de manera exacta y oportuna según la política del empleador;</w:t>
      </w:r>
    </w:p>
    <w:p>
      <w:pPr>
        <w:numPr>
          <w:ilvl w:val="0"/>
          <w:numId w:val="1001"/>
        </w:numPr>
        <w:pStyle w:val="Compact"/>
      </w:pPr>
      <w:r>
        <w:t xml:space="preserve">apoyar una comunicación respetuosa con pacientes, familias, enfermeros, terapeutas y otros integrantes del equipo de atención; y</w:t>
      </w:r>
    </w:p>
    <w:p>
      <w:pPr>
        <w:numPr>
          <w:ilvl w:val="0"/>
          <w:numId w:val="1001"/>
        </w:numPr>
        <w:pStyle w:val="Compact"/>
      </w:pPr>
      <w:r>
        <w:t xml:space="preserve">escalar cambios en el estado, riesgos de seguridad, sospecha de abuso o negligencia, caídas, problemas de equipos, discrepancias de medicamentos u otros riesgos mediante la cadena de mando aprobada.</w:t>
      </w:r>
    </w:p>
    <w:p>
      <w:pPr>
        <w:pStyle w:val="FirstParagraph"/>
      </w:pPr>
      <w:r>
        <w:t xml:space="preserve">Algunos cargos PCT pueden incluir tareas técnicas adicionales. Esas funciones deben tratarse como</w:t>
      </w:r>
      <w:r>
        <w:t xml:space="preserve"> </w:t>
      </w:r>
      <w:r>
        <w:rPr>
          <w:bCs/>
          <w:b/>
        </w:rPr>
        <w:t xml:space="preserve">específicas del empleador y de la jurisdicción</w:t>
      </w:r>
      <w:r>
        <w:t xml:space="preserve">, no como permisos automáticos asociados al título del cargo.</w:t>
      </w:r>
    </w:p>
    <w:bookmarkEnd w:id="21"/>
    <w:bookmarkStart w:id="22" w:name="X6f9145b69779dc27492460e9589450344342855"/>
    <w:p>
      <w:pPr>
        <w:pStyle w:val="Heading2"/>
      </w:pPr>
      <w:r>
        <w:t xml:space="preserve">Qué no debe hacer de manera independiente</w:t>
      </w:r>
    </w:p>
    <w:p>
      <w:pPr>
        <w:pStyle w:val="FirstParagraph"/>
      </w:pPr>
      <w:r>
        <w:t xml:space="preserve">Un auxiliar de enfermería o PCT no debe, de manera independiente:</w:t>
      </w:r>
    </w:p>
    <w:p>
      <w:pPr>
        <w:numPr>
          <w:ilvl w:val="0"/>
          <w:numId w:val="1002"/>
        </w:numPr>
        <w:pStyle w:val="Compact"/>
      </w:pPr>
      <w:r>
        <w:t xml:space="preserve">diagnosticar ni determinar una condición médica;</w:t>
      </w:r>
    </w:p>
    <w:p>
      <w:pPr>
        <w:numPr>
          <w:ilvl w:val="0"/>
          <w:numId w:val="1002"/>
        </w:numPr>
        <w:pStyle w:val="Compact"/>
      </w:pPr>
      <w:r>
        <w:t xml:space="preserve">prescribir, seleccionar, cambiar o recomendar un tratamiento con medicamentos;</w:t>
      </w:r>
    </w:p>
    <w:p>
      <w:pPr>
        <w:numPr>
          <w:ilvl w:val="0"/>
          <w:numId w:val="1002"/>
        </w:numPr>
        <w:pStyle w:val="Compact"/>
      </w:pPr>
      <w:r>
        <w:t xml:space="preserve">realizar un procedimiento invasivo o clínico salvo que esté formado, autorizado, delegado cuando corresponda y actúe conforme al protocolo aplicable del empleador y de la jurisdicción;</w:t>
      </w:r>
    </w:p>
    <w:p>
      <w:pPr>
        <w:numPr>
          <w:ilvl w:val="0"/>
          <w:numId w:val="1002"/>
        </w:numPr>
        <w:pStyle w:val="Compact"/>
      </w:pPr>
      <w:r>
        <w:t xml:space="preserve">alterar, inventar, omitir o falsificar signos vitales, ingesta/eliminación, observaciones, información de muestras, registros de atención o eventos de seguridad;</w:t>
      </w:r>
    </w:p>
    <w:p>
      <w:pPr>
        <w:numPr>
          <w:ilvl w:val="0"/>
          <w:numId w:val="1002"/>
        </w:numPr>
        <w:pStyle w:val="Compact"/>
      </w:pPr>
      <w:r>
        <w:t xml:space="preserve">improvisar prácticas inseguras de levantamiento, transferencia, movilidad, restricción, control de infecciones, objetos cortopunzantes o fluidos corporales;</w:t>
      </w:r>
    </w:p>
    <w:p>
      <w:pPr>
        <w:numPr>
          <w:ilvl w:val="0"/>
          <w:numId w:val="1002"/>
        </w:numPr>
        <w:pStyle w:val="Compact"/>
      </w:pPr>
      <w:r>
        <w:t xml:space="preserve">exceder los límites del rol porque una tarea aparezca en una descripción en línea, video, publicación de redes sociales o respuesta de IA; ni</w:t>
      </w:r>
    </w:p>
    <w:p>
      <w:pPr>
        <w:numPr>
          <w:ilvl w:val="0"/>
          <w:numId w:val="1002"/>
        </w:numPr>
        <w:pStyle w:val="Compact"/>
      </w:pPr>
      <w:r>
        <w:t xml:space="preserve">usar IA generativa como sustituto del juicio clínico de profesionales autorizados, órdenes específicas del paciente, escalamiento de emergencias, requisitos de privacidad o política del empleador.</w:t>
      </w:r>
    </w:p>
    <w:p>
      <w:pPr>
        <w:pStyle w:val="FirstParagraph"/>
      </w:pPr>
      <w:r>
        <w:t xml:space="preserve">Si no está seguro de si una tarea está permitida, deténgase y consulte al profesional clínico supervisor o al gerente designado antes de continuar.</w:t>
      </w:r>
    </w:p>
    <w:bookmarkEnd w:id="22"/>
    <w:bookmarkStart w:id="23" w:name="entornos-de-trabajo"/>
    <w:p>
      <w:pPr>
        <w:pStyle w:val="Heading2"/>
      </w:pPr>
      <w:r>
        <w:t xml:space="preserve">Entornos de trabajo</w:t>
      </w:r>
    </w:p>
    <w:p>
      <w:pPr>
        <w:pStyle w:val="FirstParagraph"/>
      </w:pPr>
      <w:r>
        <w:t xml:space="preserve">Los auxiliares de enfermería y trabajadores relacionados de apoyo al paciente pueden trabajar en:</w:t>
      </w:r>
    </w:p>
    <w:p>
      <w:pPr>
        <w:numPr>
          <w:ilvl w:val="0"/>
          <w:numId w:val="1003"/>
        </w:numPr>
        <w:pStyle w:val="Compact"/>
      </w:pPr>
      <w:r>
        <w:t xml:space="preserve">hogares de ancianos y centros de enfermería especializada;</w:t>
      </w:r>
    </w:p>
    <w:p>
      <w:pPr>
        <w:numPr>
          <w:ilvl w:val="0"/>
          <w:numId w:val="1003"/>
        </w:numPr>
        <w:pStyle w:val="Compact"/>
      </w:pPr>
      <w:r>
        <w:t xml:space="preserve">hospitales y sistemas de salud;</w:t>
      </w:r>
    </w:p>
    <w:p>
      <w:pPr>
        <w:numPr>
          <w:ilvl w:val="0"/>
          <w:numId w:val="1003"/>
        </w:numPr>
        <w:pStyle w:val="Compact"/>
      </w:pPr>
      <w:r>
        <w:t xml:space="preserve">centros de rehabilitación;</w:t>
      </w:r>
    </w:p>
    <w:p>
      <w:pPr>
        <w:numPr>
          <w:ilvl w:val="0"/>
          <w:numId w:val="1003"/>
        </w:numPr>
        <w:pStyle w:val="Compact"/>
      </w:pPr>
      <w:r>
        <w:t xml:space="preserve">residencias con asistencia;</w:t>
      </w:r>
    </w:p>
    <w:p>
      <w:pPr>
        <w:numPr>
          <w:ilvl w:val="0"/>
          <w:numId w:val="1003"/>
        </w:numPr>
        <w:pStyle w:val="Compact"/>
      </w:pPr>
      <w:r>
        <w:t xml:space="preserve">organizaciones de atención domiciliaria o comunitaria;</w:t>
      </w:r>
    </w:p>
    <w:p>
      <w:pPr>
        <w:numPr>
          <w:ilvl w:val="0"/>
          <w:numId w:val="1003"/>
        </w:numPr>
        <w:pStyle w:val="Compact"/>
      </w:pPr>
      <w:r>
        <w:t xml:space="preserve">cuidados paliativos y hospice;</w:t>
      </w:r>
    </w:p>
    <w:p>
      <w:pPr>
        <w:numPr>
          <w:ilvl w:val="0"/>
          <w:numId w:val="1003"/>
        </w:numPr>
        <w:pStyle w:val="Compact"/>
      </w:pPr>
      <w:r>
        <w:t xml:space="preserve">cuidados de largo plazo;</w:t>
      </w:r>
    </w:p>
    <w:p>
      <w:pPr>
        <w:numPr>
          <w:ilvl w:val="0"/>
          <w:numId w:val="1003"/>
        </w:numPr>
        <w:pStyle w:val="Compact"/>
      </w:pPr>
      <w:r>
        <w:t xml:space="preserve">unidades especializadas; y</w:t>
      </w:r>
    </w:p>
    <w:p>
      <w:pPr>
        <w:numPr>
          <w:ilvl w:val="0"/>
          <w:numId w:val="1003"/>
        </w:numPr>
        <w:pStyle w:val="Compact"/>
      </w:pPr>
      <w:r>
        <w:t xml:space="preserve">otros entornos sanitarios regulados.</w:t>
      </w:r>
    </w:p>
    <w:p>
      <w:pPr>
        <w:pStyle w:val="FirstParagraph"/>
      </w:pPr>
      <w:r>
        <w:t xml:space="preserve">Los horarios pueden incluir días, noches, fines de semana, festivos, turnos rotativos o jornadas extendidas. La dotación, el alcance, las exigencias físicas y la complejidad de los pacientes varían ampliamente.</w:t>
      </w:r>
    </w:p>
    <w:bookmarkEnd w:id="23"/>
    <w:bookmarkStart w:id="24" w:name="exigencias-físicas-y-emocionales"/>
    <w:p>
      <w:pPr>
        <w:pStyle w:val="Heading2"/>
      </w:pPr>
      <w:r>
        <w:t xml:space="preserve">Exigencias físicas y emocionales</w:t>
      </w:r>
    </w:p>
    <w:p>
      <w:pPr>
        <w:pStyle w:val="FirstParagraph"/>
      </w:pPr>
      <w:r>
        <w:t xml:space="preserve">Este trabajo suele requerir permanecer de pie, caminar, agacharse, alcanzar objetos, cambiar de posición a pacientes, ayudar con transferencias y trabajar cerca de fluidos corporales, riesgos de infección, angustia, dolor, demencia, discapacidad, muerte o estrés familiar.</w:t>
      </w:r>
    </w:p>
    <w:p>
      <w:pPr>
        <w:pStyle w:val="BodyText"/>
      </w:pPr>
      <w:r>
        <w:t xml:space="preserve">La mecánica corporal segura, los dispositivos de transferencia, los procedimientos de prevención de caídas, los controles de infección, el EPP y las prácticas de levantamiento aprobadas por el empleador son esenciales. No intente una transferencia o levantamiento individual inseguro solo para ahorrar tiempo. Pida ayuda y use el equipo requerido.</w:t>
      </w:r>
    </w:p>
    <w:p>
      <w:pPr>
        <w:pStyle w:val="BodyText"/>
      </w:pPr>
      <w:r>
        <w:t xml:space="preserve">La resiliencia emocional también importa. La compasión no significa cargar solo con cada crisis. Use la supervisión, los recursos de apoyo al empleado, el apoyo entre pares, las sesiones de revisión y las prácticas de descanso disponibles a través del empleador.</w:t>
      </w:r>
    </w:p>
    <w:bookmarkEnd w:id="24"/>
    <w:bookmarkStart w:id="25" w:name="habilidades-que-valoran-los-empleadores"/>
    <w:p>
      <w:pPr>
        <w:pStyle w:val="Heading2"/>
      </w:pPr>
      <w:r>
        <w:t xml:space="preserve">Habilidades que valoran los empleadores</w:t>
      </w:r>
    </w:p>
    <w:p>
      <w:pPr>
        <w:pStyle w:val="FirstParagraph"/>
      </w:pPr>
      <w:r>
        <w:t xml:space="preserve">Entre las habilidades comúnmente valoradas se encuentran:</w:t>
      </w:r>
    </w:p>
    <w:p>
      <w:pPr>
        <w:numPr>
          <w:ilvl w:val="0"/>
          <w:numId w:val="1004"/>
        </w:numPr>
        <w:pStyle w:val="Compact"/>
      </w:pPr>
      <w:r>
        <w:t xml:space="preserve">asistencia y puntualidad confiables;</w:t>
      </w:r>
    </w:p>
    <w:p>
      <w:pPr>
        <w:numPr>
          <w:ilvl w:val="0"/>
          <w:numId w:val="1004"/>
        </w:numPr>
        <w:pStyle w:val="Compact"/>
      </w:pPr>
      <w:r>
        <w:t xml:space="preserve">comunicación respetuosa centrada en el paciente;</w:t>
      </w:r>
    </w:p>
    <w:p>
      <w:pPr>
        <w:numPr>
          <w:ilvl w:val="0"/>
          <w:numId w:val="1004"/>
        </w:numPr>
        <w:pStyle w:val="Compact"/>
      </w:pPr>
      <w:r>
        <w:t xml:space="preserve">observación cuidadosa;</w:t>
      </w:r>
    </w:p>
    <w:p>
      <w:pPr>
        <w:numPr>
          <w:ilvl w:val="0"/>
          <w:numId w:val="1004"/>
        </w:numPr>
        <w:pStyle w:val="Compact"/>
      </w:pPr>
      <w:r>
        <w:t xml:space="preserve">documentación exacta;</w:t>
      </w:r>
    </w:p>
    <w:p>
      <w:pPr>
        <w:numPr>
          <w:ilvl w:val="0"/>
          <w:numId w:val="1004"/>
        </w:numPr>
        <w:pStyle w:val="Compact"/>
      </w:pPr>
      <w:r>
        <w:t xml:space="preserve">medición y aritmética básicas;</w:t>
      </w:r>
    </w:p>
    <w:p>
      <w:pPr>
        <w:numPr>
          <w:ilvl w:val="0"/>
          <w:numId w:val="1004"/>
        </w:numPr>
        <w:pStyle w:val="Compact"/>
      </w:pPr>
      <w:r>
        <w:t xml:space="preserve">disciplina en prevención de infecciones;</w:t>
      </w:r>
    </w:p>
    <w:p>
      <w:pPr>
        <w:numPr>
          <w:ilvl w:val="0"/>
          <w:numId w:val="1004"/>
        </w:numPr>
        <w:pStyle w:val="Compact"/>
      </w:pPr>
      <w:r>
        <w:t xml:space="preserve">prácticas seguras de movilidad y transferencia;</w:t>
      </w:r>
    </w:p>
    <w:p>
      <w:pPr>
        <w:numPr>
          <w:ilvl w:val="0"/>
          <w:numId w:val="1004"/>
        </w:numPr>
        <w:pStyle w:val="Compact"/>
      </w:pPr>
      <w:r>
        <w:t xml:space="preserve">conciencia sobre privacidad y confidencialidad;</w:t>
      </w:r>
    </w:p>
    <w:p>
      <w:pPr>
        <w:numPr>
          <w:ilvl w:val="0"/>
          <w:numId w:val="1004"/>
        </w:numPr>
        <w:pStyle w:val="Compact"/>
      </w:pPr>
      <w:r>
        <w:t xml:space="preserve">trabajo en equipo y buen criterio para escalar problemas;</w:t>
      </w:r>
    </w:p>
    <w:p>
      <w:pPr>
        <w:numPr>
          <w:ilvl w:val="0"/>
          <w:numId w:val="1004"/>
        </w:numPr>
        <w:pStyle w:val="Compact"/>
      </w:pPr>
      <w:r>
        <w:t xml:space="preserve">autocontrol emocional en situaciones de estrés;</w:t>
      </w:r>
    </w:p>
    <w:p>
      <w:pPr>
        <w:numPr>
          <w:ilvl w:val="0"/>
          <w:numId w:val="1004"/>
        </w:numPr>
        <w:pStyle w:val="Compact"/>
      </w:pPr>
      <w:r>
        <w:t xml:space="preserve">capacidad de seguir instrucciones con precisión; y</w:t>
      </w:r>
    </w:p>
    <w:p>
      <w:pPr>
        <w:numPr>
          <w:ilvl w:val="0"/>
          <w:numId w:val="1004"/>
        </w:numPr>
        <w:pStyle w:val="Compact"/>
      </w:pPr>
      <w:r>
        <w:t xml:space="preserve">disposición para aprender flujos de trabajo y tecnología específicos del empleador.</w:t>
      </w:r>
    </w:p>
    <w:p>
      <w:pPr>
        <w:pStyle w:val="FirstParagraph"/>
      </w:pPr>
      <w:r>
        <w:t xml:space="preserve">Las habilidades digitales pueden incluir registros electrónicos, mensajería segura, programación, portales de capacitación, códigos de barras o identificación de pacientes y otros sistemas del empleador. Nunca comparta credenciales ni use el inicio de sesión de otro trabajador.</w:t>
      </w:r>
    </w:p>
    <w:bookmarkEnd w:id="25"/>
    <w:bookmarkStart w:id="26" w:name="estados-unidos--vía-de-entrada"/>
    <w:p>
      <w:pPr>
        <w:pStyle w:val="Heading2"/>
      </w:pPr>
      <w:r>
        <w:t xml:space="preserve">Estados Unidos — vía de entrada</w:t>
      </w:r>
    </w:p>
    <w:p>
      <w:pPr>
        <w:pStyle w:val="FirstParagraph"/>
      </w:pPr>
      <w:r>
        <w:t xml:space="preserve">La Oficina de Estadísticas Laborales de Estados Unidos describe a los auxiliares de enfermería como trabajadores que brindan cuidados básicos y ayudan a pacientes con actividades de la vida diaria. Los requisitos de entrada varían por estado y entorno. Con frecuencia se exige completar un</w:t>
      </w:r>
      <w:r>
        <w:t xml:space="preserve"> </w:t>
      </w:r>
      <w:r>
        <w:rPr>
          <w:bCs/>
          <w:b/>
        </w:rPr>
        <w:t xml:space="preserve">programa educativo aprobado por el estado</w:t>
      </w:r>
      <w:r>
        <w:t xml:space="preserve"> </w:t>
      </w:r>
      <w:r>
        <w:t xml:space="preserve">y aprobar un</w:t>
      </w:r>
      <w:r>
        <w:t xml:space="preserve"> </w:t>
      </w:r>
      <w:r>
        <w:rPr>
          <w:bCs/>
          <w:b/>
        </w:rPr>
        <w:t xml:space="preserve">examen estatal de competencia</w:t>
      </w:r>
      <w:r>
        <w:t xml:space="preserve"> </w:t>
      </w:r>
      <w:r>
        <w:t xml:space="preserve">para obtener licencia o certificación.</w:t>
      </w:r>
    </w:p>
    <w:p>
      <w:pPr>
        <w:pStyle w:val="BodyText"/>
      </w:pPr>
      <w:r>
        <w:t xml:space="preserve">Una vía práctica en Estados Unidos es:</w:t>
      </w:r>
    </w:p>
    <w:p>
      <w:pPr>
        <w:numPr>
          <w:ilvl w:val="0"/>
          <w:numId w:val="1005"/>
        </w:numPr>
        <w:pStyle w:val="Compact"/>
      </w:pPr>
      <w:r>
        <w:t xml:space="preserve">Revisar los requisitos estatales para nurse aide o nursing assistant.</w:t>
      </w:r>
    </w:p>
    <w:p>
      <w:pPr>
        <w:numPr>
          <w:ilvl w:val="0"/>
          <w:numId w:val="1005"/>
        </w:numPr>
        <w:pStyle w:val="Compact"/>
      </w:pPr>
      <w:r>
        <w:t xml:space="preserve">Identificar programas aprobados por el estado en lugar de asumir que todo curso privado es reconocido.</w:t>
      </w:r>
    </w:p>
    <w:p>
      <w:pPr>
        <w:numPr>
          <w:ilvl w:val="0"/>
          <w:numId w:val="1005"/>
        </w:numPr>
        <w:pStyle w:val="Compact"/>
      </w:pPr>
      <w:r>
        <w:t xml:space="preserve">Comparar matrícula, tarifas de examen, exámenes de salud, verificación de antecedentes, uniformes, transporte, práctica clínica y reglas de reembolso.</w:t>
      </w:r>
    </w:p>
    <w:p>
      <w:pPr>
        <w:numPr>
          <w:ilvl w:val="0"/>
          <w:numId w:val="1005"/>
        </w:numPr>
        <w:pStyle w:val="Compact"/>
      </w:pPr>
      <w:r>
        <w:t xml:space="preserve">Preguntar a empleadores locales si patrocinan formación aprobada o reembolsan costos de formación/examen.</w:t>
      </w:r>
    </w:p>
    <w:p>
      <w:pPr>
        <w:numPr>
          <w:ilvl w:val="0"/>
          <w:numId w:val="1005"/>
        </w:numPr>
        <w:pStyle w:val="Compact"/>
      </w:pPr>
      <w:r>
        <w:t xml:space="preserve">Completar la formación supervisada y las pruebas de competencia requeridas.</w:t>
      </w:r>
    </w:p>
    <w:p>
      <w:pPr>
        <w:numPr>
          <w:ilvl w:val="0"/>
          <w:numId w:val="1005"/>
        </w:numPr>
        <w:pStyle w:val="Compact"/>
      </w:pPr>
      <w:r>
        <w:t xml:space="preserve">Verificar el estado de registro o certificación antes de aceptar funciones que lo requieran.</w:t>
      </w:r>
    </w:p>
    <w:p>
      <w:pPr>
        <w:numPr>
          <w:ilvl w:val="0"/>
          <w:numId w:val="1005"/>
        </w:numPr>
        <w:pStyle w:val="Compact"/>
      </w:pPr>
      <w:r>
        <w:t xml:space="preserve">Completar la orientación específica del empleador antes de realizar tareas desconocidas.</w:t>
      </w:r>
    </w:p>
    <w:p>
      <w:pPr>
        <w:pStyle w:val="FirstParagraph"/>
      </w:pPr>
      <w:r>
        <w:t xml:space="preserve">CMS publicó en abril de 2026 una aclaración vigente sobre requisitos y flexibilidades permitidas de Nurse Aide Training Competency Evaluation Program (NATCEP) y Nurse Aide Competency Evaluation Program (CEP) en contextos de hogares de ancianos regulados a nivel federal. No suponga que esas reglas crean una credencial universal para todo puesto de auxiliar de enfermería o PCT en cualquier entorno de atención estadounidense.</w:t>
      </w:r>
    </w:p>
    <w:bookmarkEnd w:id="26"/>
    <w:bookmarkStart w:id="27" w:name="Xc868a08cfe9fb871bc340bb958a6abb5114edde"/>
    <w:p>
      <w:pPr>
        <w:pStyle w:val="Heading2"/>
      </w:pPr>
      <w:r>
        <w:t xml:space="preserve">Estados Unidos — formación gratuita o de menor costo y financiamiento</w:t>
      </w:r>
    </w:p>
    <w:p>
      <w:pPr>
        <w:pStyle w:val="FirstParagraph"/>
      </w:pPr>
      <w:r>
        <w:t xml:space="preserve">Antes de pagar a un proveedor privado, investigue opciones públicas y apoyadas por empleadores.</w:t>
      </w:r>
    </w:p>
    <w:p>
      <w:pPr>
        <w:pStyle w:val="BodyText"/>
      </w:pPr>
      <w:r>
        <w:t xml:space="preserve">CareerOneStop ofrece un</w:t>
      </w:r>
      <w:r>
        <w:t xml:space="preserve"> </w:t>
      </w:r>
      <w:r>
        <w:rPr>
          <w:bCs/>
          <w:b/>
        </w:rPr>
        <w:t xml:space="preserve">buscador de programas de formación elegibles para WIOA</w:t>
      </w:r>
      <w:r>
        <w:t xml:space="preserve"> </w:t>
      </w:r>
      <w:r>
        <w:t xml:space="preserve">que enlaza directorios estatales de proveedores aprobados. Los American Job Centers pueden ayudar a personas elegibles a comprender servicios de empleo y apoyo para formación. El financiamiento WIOA</w:t>
      </w:r>
      <w:r>
        <w:t xml:space="preserve"> </w:t>
      </w:r>
      <w:r>
        <w:rPr>
          <w:bCs/>
          <w:b/>
        </w:rPr>
        <w:t xml:space="preserve">no está garantizado</w:t>
      </w:r>
      <w:r>
        <w:t xml:space="preserve">; la elegibilidad depende de la persona, del área local, del proveedor y del programa.</w:t>
      </w:r>
    </w:p>
    <w:p>
      <w:pPr>
        <w:pStyle w:val="BodyText"/>
      </w:pPr>
      <w:r>
        <w:t xml:space="preserve">También pregunte a hospitales, centros de enfermería, organizaciones de atención domiciliaria, centros de rehabilitación y otros empleadores de salud si ofrecen:</w:t>
      </w:r>
    </w:p>
    <w:p>
      <w:pPr>
        <w:numPr>
          <w:ilvl w:val="0"/>
          <w:numId w:val="1006"/>
        </w:numPr>
        <w:pStyle w:val="Compact"/>
      </w:pPr>
      <w:r>
        <w:t xml:space="preserve">formación pagada de nurse aide;</w:t>
      </w:r>
    </w:p>
    <w:p>
      <w:pPr>
        <w:numPr>
          <w:ilvl w:val="0"/>
          <w:numId w:val="1006"/>
        </w:numPr>
        <w:pStyle w:val="Compact"/>
      </w:pPr>
      <w:r>
        <w:t xml:space="preserve">inducción u orientación clínica pagada;</w:t>
      </w:r>
    </w:p>
    <w:p>
      <w:pPr>
        <w:numPr>
          <w:ilvl w:val="0"/>
          <w:numId w:val="1006"/>
        </w:numPr>
        <w:pStyle w:val="Compact"/>
      </w:pPr>
      <w:r>
        <w:t xml:space="preserve">ayuda para matrícula;</w:t>
      </w:r>
    </w:p>
    <w:p>
      <w:pPr>
        <w:numPr>
          <w:ilvl w:val="0"/>
          <w:numId w:val="1006"/>
        </w:numPr>
        <w:pStyle w:val="Compact"/>
      </w:pPr>
      <w:r>
        <w:t xml:space="preserve">reembolso de certificación o examen;</w:t>
      </w:r>
    </w:p>
    <w:p>
      <w:pPr>
        <w:numPr>
          <w:ilvl w:val="0"/>
          <w:numId w:val="1006"/>
        </w:numPr>
        <w:pStyle w:val="Compact"/>
      </w:pPr>
      <w:r>
        <w:t xml:space="preserve">apoyo para uniformes o equipo;</w:t>
      </w:r>
    </w:p>
    <w:p>
      <w:pPr>
        <w:numPr>
          <w:ilvl w:val="0"/>
          <w:numId w:val="1006"/>
        </w:numPr>
        <w:pStyle w:val="Compact"/>
      </w:pPr>
      <w:r>
        <w:t xml:space="preserve">ayuda de transporte o diferenciales de turno;</w:t>
      </w:r>
    </w:p>
    <w:p>
      <w:pPr>
        <w:numPr>
          <w:ilvl w:val="0"/>
          <w:numId w:val="1006"/>
        </w:numPr>
        <w:pStyle w:val="Compact"/>
      </w:pPr>
      <w:r>
        <w:t xml:space="preserve">planes internos de carrera; o</w:t>
      </w:r>
    </w:p>
    <w:p>
      <w:pPr>
        <w:numPr>
          <w:ilvl w:val="0"/>
          <w:numId w:val="1006"/>
        </w:numPr>
        <w:pStyle w:val="Compact"/>
      </w:pPr>
      <w:r>
        <w:t xml:space="preserve">rutas hacia enfermería práctica, enfermería profesional, salud aliada u otros cargos.</w:t>
      </w:r>
    </w:p>
    <w:p>
      <w:pPr>
        <w:pStyle w:val="FirstParagraph"/>
      </w:pPr>
      <w:r>
        <w:t xml:space="preserve">Obtenga por escrito cualquier condición de reembolso o permanencia antes de aceptar educación financiada por el empleador.</w:t>
      </w:r>
    </w:p>
    <w:bookmarkEnd w:id="27"/>
    <w:bookmarkStart w:id="29" w:name="estados-unidos--salarios-y-perspectivas"/>
    <w:p>
      <w:pPr>
        <w:pStyle w:val="Heading2"/>
      </w:pPr>
      <w:r>
        <w:t xml:space="preserve">Estados Unidos — salarios y perspectivas</w:t>
      </w:r>
    </w:p>
    <w:p>
      <w:pPr>
        <w:pStyle w:val="FirstParagraph"/>
      </w:pPr>
      <w:r>
        <w:t xml:space="preserve">BLS informa las siguientes cifras nacionales para nursing assistants y orderlies:</w:t>
      </w:r>
    </w:p>
    <w:p>
      <w:pPr>
        <w:numPr>
          <w:ilvl w:val="0"/>
          <w:numId w:val="1007"/>
        </w:numPr>
        <w:pStyle w:val="Compact"/>
      </w:pPr>
      <w:r>
        <w:t xml:space="preserve">Salario mediano anual de nursing assistant, mayo de 2024:</w:t>
      </w:r>
      <w:r>
        <w:t xml:space="preserve"> </w:t>
      </w:r>
      <w:r>
        <w:rPr>
          <w:bCs/>
          <w:b/>
        </w:rPr>
        <w:t xml:space="preserve">USD $39,530</w:t>
      </w:r>
      <w:r>
        <w:t xml:space="preserve">.</w:t>
      </w:r>
    </w:p>
    <w:p>
      <w:pPr>
        <w:numPr>
          <w:ilvl w:val="0"/>
          <w:numId w:val="1007"/>
        </w:numPr>
        <w:pStyle w:val="Compact"/>
      </w:pPr>
      <w:r>
        <w:t xml:space="preserve">Salario mediano anual de orderly, mayo de 2024:</w:t>
      </w:r>
      <w:r>
        <w:t xml:space="preserve"> </w:t>
      </w:r>
      <w:r>
        <w:rPr>
          <w:bCs/>
          <w:b/>
        </w:rPr>
        <w:t xml:space="preserve">USD $37,700</w:t>
      </w:r>
      <w:r>
        <w:t xml:space="preserve">.</w:t>
      </w:r>
    </w:p>
    <w:p>
      <w:pPr>
        <w:numPr>
          <w:ilvl w:val="0"/>
          <w:numId w:val="1007"/>
        </w:numPr>
        <w:pStyle w:val="Compact"/>
      </w:pPr>
      <w:r>
        <w:t xml:space="preserve">Crecimiento combinado proyectado del empleo, 2024–2034:</w:t>
      </w:r>
      <w:r>
        <w:t xml:space="preserve"> </w:t>
      </w:r>
      <w:r>
        <w:rPr>
          <w:bCs/>
          <w:b/>
        </w:rPr>
        <w:t xml:space="preserve">2%</w:t>
      </w:r>
      <w:r>
        <w:t xml:space="preserve">.</w:t>
      </w:r>
    </w:p>
    <w:p>
      <w:pPr>
        <w:numPr>
          <w:ilvl w:val="0"/>
          <w:numId w:val="1007"/>
        </w:numPr>
        <w:pStyle w:val="Compact"/>
      </w:pPr>
      <w:r>
        <w:t xml:space="preserve">Se proyectan aproximadamente</w:t>
      </w:r>
      <w:r>
        <w:t xml:space="preserve"> </w:t>
      </w:r>
      <w:r>
        <w:rPr>
          <w:bCs/>
          <w:b/>
        </w:rPr>
        <w:t xml:space="preserve">211,800 vacantes por año</w:t>
      </w:r>
      <w:r>
        <w:t xml:space="preserve"> </w:t>
      </w:r>
      <w:r>
        <w:t xml:space="preserve">en promedio durante la década, principalmente por reemplazo de trabajadores.</w:t>
      </w:r>
    </w:p>
    <w:p>
      <w:pPr>
        <w:pStyle w:val="FirstParagraph"/>
      </w:pPr>
      <w:r>
        <w:t xml:space="preserve">Son estadísticas ocupacionales nacionales, no salarios iniciales garantizados. La remuneración varía por estado, tipo de institución, turno, situación sindical, experiencia, credencial, mercado laboral local y empleador.</w:t>
      </w:r>
    </w:p>
    <w:bookmarkStart w:id="28" w:name="Xda61236ffee0b5d8d058ad168b5a35e7031caea"/>
    <w:p>
      <w:pPr>
        <w:pStyle w:val="Heading3"/>
      </w:pPr>
      <w:r>
        <w:t xml:space="preserve">Estimación actual no gubernamental del mercado estadounidense</w:t>
      </w:r>
    </w:p>
    <w:p>
      <w:pPr>
        <w:pStyle w:val="FirstParagraph"/>
      </w:pPr>
      <w:r>
        <w:t xml:space="preserve">Salary.com informa un promedio aproximado de</w:t>
      </w:r>
      <w:r>
        <w:t xml:space="preserve"> </w:t>
      </w:r>
      <w:r>
        <w:rPr>
          <w:bCs/>
          <w:b/>
        </w:rPr>
        <w:t xml:space="preserve">USD $34,701 por año / $17 por hora</w:t>
      </w:r>
      <w:r>
        <w:t xml:space="preserve"> </w:t>
      </w:r>
      <w:r>
        <w:t xml:space="preserve">para Certified Nursing Assistant al 1 de agosto de 2026, con un rango declarado entre los percentiles 25 y 75 de aproximadamente</w:t>
      </w:r>
      <w:r>
        <w:t xml:space="preserve"> </w:t>
      </w:r>
      <w:r>
        <w:rPr>
          <w:bCs/>
          <w:b/>
        </w:rPr>
        <w:t xml:space="preserve">USD $31,120–$36,431</w:t>
      </w:r>
      <w:r>
        <w:t xml:space="preserve">.</w:t>
      </w:r>
    </w:p>
    <w:p>
      <w:pPr>
        <w:pStyle w:val="BodyText"/>
      </w:pPr>
      <w:r>
        <w:t xml:space="preserve">Es una</w:t>
      </w:r>
      <w:r>
        <w:t xml:space="preserve"> </w:t>
      </w:r>
      <w:r>
        <w:rPr>
          <w:bCs/>
          <w:b/>
        </w:rPr>
        <w:t xml:space="preserve">estimación de mercado no gubernamental</w:t>
      </w:r>
      <w:r>
        <w:t xml:space="preserve"> </w:t>
      </w:r>
      <w:r>
        <w:t xml:space="preserve">basada en una metodología y una definición de cargo distintas a BLS. No la promedie con la mediana oficial de BLS. Úsela solo como referencia secundaria del mercado y verifique vacantes locales antes de tomar decisiones financieras.</w:t>
      </w:r>
    </w:p>
    <w:bookmarkEnd w:id="28"/>
    <w:bookmarkEnd w:id="29"/>
    <w:bookmarkStart w:id="30" w:name="canadá--ocupación-y-vía-de-entrada"/>
    <w:p>
      <w:pPr>
        <w:pStyle w:val="Heading2"/>
      </w:pPr>
      <w:r>
        <w:t xml:space="preserve">Canadá — ocupación y vía de entrada</w:t>
      </w:r>
    </w:p>
    <w:p>
      <w:pPr>
        <w:pStyle w:val="FirstParagraph"/>
      </w:pPr>
      <w:r>
        <w:t xml:space="preserve">Job Bank del Gobierno de Canadá clasifica a nurse aides, orderlies y patient service associates bajo</w:t>
      </w:r>
      <w:r>
        <w:t xml:space="preserve"> </w:t>
      </w:r>
      <w:r>
        <w:rPr>
          <w:bCs/>
          <w:b/>
        </w:rPr>
        <w:t xml:space="preserve">NOC 33102</w:t>
      </w:r>
      <w:r>
        <w:t xml:space="preserve">. Estos trabajadores ayudan a enfermeros, personal hospitalario y médicos en la atención básica de pacientes en hospitales, hogares de ancianos, centros de asistencia y otros establecimientos de salud.</w:t>
      </w:r>
    </w:p>
    <w:p>
      <w:pPr>
        <w:pStyle w:val="BodyText"/>
      </w:pPr>
      <w:r>
        <w:t xml:space="preserve">El resumen nacional vigente de Job Bank señala que esta ocupación normalmente requiere un diploma universitario/colegial, un aprendizaje de menos de dos años o más de seis meses de formación en el trabajo. Los requisitos exactos, programas aceptados, expectativas lingüísticas, reglas de registro y preferencias del empleador varían por provincia, territorio, entorno y título.</w:t>
      </w:r>
    </w:p>
    <w:p>
      <w:pPr>
        <w:pStyle w:val="BodyText"/>
      </w:pPr>
      <w:r>
        <w:t xml:space="preserve">No suponga que una credencial CNA de Estados Unidos se transfiere automáticamente a Canadá. Verifique las reglas provinciales o territoriales del lugar donde pretende trabajar.</w:t>
      </w:r>
    </w:p>
    <w:bookmarkEnd w:id="30"/>
    <w:bookmarkStart w:id="31" w:name="canadá--salarios"/>
    <w:p>
      <w:pPr>
        <w:pStyle w:val="Heading2"/>
      </w:pPr>
      <w:r>
        <w:t xml:space="preserve">Canadá — salarios</w:t>
      </w:r>
    </w:p>
    <w:p>
      <w:pPr>
        <w:pStyle w:val="FirstParagraph"/>
      </w:pPr>
      <w:r>
        <w:t xml:space="preserve">Job Bank informa los siguientes salarios nacionales vigentes para NOC 33102, actualizados el 19 de noviembre de 2025 con un periodo de referencia 2023–2024:</w:t>
      </w:r>
    </w:p>
    <w:p>
      <w:pPr>
        <w:numPr>
          <w:ilvl w:val="0"/>
          <w:numId w:val="1008"/>
        </w:numPr>
        <w:pStyle w:val="Compact"/>
      </w:pPr>
      <w:r>
        <w:t xml:space="preserve">Bajo:</w:t>
      </w:r>
      <w:r>
        <w:t xml:space="preserve"> </w:t>
      </w:r>
      <w:r>
        <w:rPr>
          <w:bCs/>
          <w:b/>
        </w:rPr>
        <w:t xml:space="preserve">CAD $19.00/hora</w:t>
      </w:r>
    </w:p>
    <w:p>
      <w:pPr>
        <w:numPr>
          <w:ilvl w:val="0"/>
          <w:numId w:val="1008"/>
        </w:numPr>
        <w:pStyle w:val="Compact"/>
      </w:pPr>
      <w:r>
        <w:t xml:space="preserve">Mediano:</w:t>
      </w:r>
      <w:r>
        <w:t xml:space="preserve"> </w:t>
      </w:r>
      <w:r>
        <w:rPr>
          <w:bCs/>
          <w:b/>
        </w:rPr>
        <w:t xml:space="preserve">CAD $24.00/hora</w:t>
      </w:r>
    </w:p>
    <w:p>
      <w:pPr>
        <w:numPr>
          <w:ilvl w:val="0"/>
          <w:numId w:val="1008"/>
        </w:numPr>
        <w:pStyle w:val="Compact"/>
      </w:pPr>
      <w:r>
        <w:t xml:space="preserve">Alto:</w:t>
      </w:r>
      <w:r>
        <w:t xml:space="preserve"> </w:t>
      </w:r>
      <w:r>
        <w:rPr>
          <w:bCs/>
          <w:b/>
        </w:rPr>
        <w:t xml:space="preserve">CAD $28.84/hora</w:t>
      </w:r>
    </w:p>
    <w:p>
      <w:pPr>
        <w:pStyle w:val="FirstParagraph"/>
      </w:pPr>
      <w:r>
        <w:t xml:space="preserve">Use filtros provinciales y locales antes de comparar una oferta con el rango nacional.</w:t>
      </w:r>
    </w:p>
    <w:bookmarkEnd w:id="31"/>
    <w:bookmarkStart w:id="32" w:name="X1eab58ead969c7cc760a0d0c6aad19dcf4540c7"/>
    <w:p>
      <w:pPr>
        <w:pStyle w:val="Heading2"/>
      </w:pPr>
      <w:r>
        <w:t xml:space="preserve">Colombia — vía de Auxiliares en enfermería</w:t>
      </w:r>
    </w:p>
    <w:p>
      <w:pPr>
        <w:pStyle w:val="FirstParagraph"/>
      </w:pPr>
      <w:r>
        <w:t xml:space="preserve">En Colombia, la vía ocupacional regulada más cercana es más amplia y formal que un título genérico de cuidador no regulado. El Observatorio Laboral y Ocupacional del SENA clasifica a</w:t>
      </w:r>
      <w:r>
        <w:t xml:space="preserve"> </w:t>
      </w:r>
      <w:r>
        <w:rPr>
          <w:bCs/>
          <w:b/>
        </w:rPr>
        <w:t xml:space="preserve">Auxiliares en enfermería</w:t>
      </w:r>
      <w:r>
        <w:t xml:space="preserve"> </w:t>
      </w:r>
      <w:r>
        <w:t xml:space="preserve">bajo CNO</w:t>
      </w:r>
      <w:r>
        <w:t xml:space="preserve"> </w:t>
      </w:r>
      <w:r>
        <w:rPr>
          <w:bCs/>
          <w:b/>
        </w:rPr>
        <w:t xml:space="preserve">3311</w:t>
      </w:r>
      <w:r>
        <w:t xml:space="preserve">. La ocupación apoya bienestar, comodidad, promoción de salud, prevención, diagnóstico, tratamiento, rehabilitación y cuidado paliativo</w:t>
      </w:r>
      <w:r>
        <w:t xml:space="preserve"> </w:t>
      </w:r>
      <w:r>
        <w:rPr>
          <w:bCs/>
          <w:b/>
        </w:rPr>
        <w:t xml:space="preserve">bajo delegación, supervisión y control de un profesional de enfermería</w:t>
      </w:r>
      <w:r>
        <w:t xml:space="preserve">, conforme a políticas y regulación aplicables.</w:t>
      </w:r>
    </w:p>
    <w:p>
      <w:pPr>
        <w:pStyle w:val="BodyText"/>
      </w:pPr>
      <w:r>
        <w:t xml:space="preserve">SENA Betowa actualmente lista un programa técnico presencial titulado</w:t>
      </w:r>
      <w:r>
        <w:t xml:space="preserve"> </w:t>
      </w:r>
      <w:r>
        <w:rPr>
          <w:bCs/>
          <w:b/>
        </w:rPr>
        <w:t xml:space="preserve">Enfermería</w:t>
      </w:r>
      <w:r>
        <w:t xml:space="preserve"> </w:t>
      </w:r>
      <w:r>
        <w:t xml:space="preserve">de</w:t>
      </w:r>
      <w:r>
        <w:t xml:space="preserve"> </w:t>
      </w:r>
      <w:r>
        <w:rPr>
          <w:bCs/>
          <w:b/>
        </w:rPr>
        <w:t xml:space="preserve">2,640 horas</w:t>
      </w:r>
      <w:r>
        <w:t xml:space="preserve">, con edad mínima de 16 años, sujeto a selección de centro, requisitos de admisión, horario y disponibilidad de cupos. Las competencias clínicas del programa condicionan repetidamente las actividades a la delegación y regulación sanitaria.</w:t>
      </w:r>
    </w:p>
    <w:p>
      <w:pPr>
        <w:pStyle w:val="BodyText"/>
      </w:pPr>
      <w:r>
        <w:t xml:space="preserve">No suponga que un curso privado corto crea autorización para ejercer como auxiliar de enfermería. Verifique la ruta formativa reconocida, disponibilidad vigente en SENA/Betowa, requisitos del sector salud y reglas de elegibilidad del empleador.</w:t>
      </w:r>
    </w:p>
    <w:bookmarkEnd w:id="32"/>
    <w:bookmarkStart w:id="33" w:name="colombia--rethus"/>
    <w:p>
      <w:pPr>
        <w:pStyle w:val="Heading2"/>
      </w:pPr>
      <w:r>
        <w:t xml:space="preserve">Colombia — ReTHUS</w:t>
      </w:r>
    </w:p>
    <w:p>
      <w:pPr>
        <w:pStyle w:val="FirstParagraph"/>
      </w:pPr>
      <w:r>
        <w:t xml:space="preserve">El Ministerio de Salud de Colombia define</w:t>
      </w:r>
      <w:r>
        <w:t xml:space="preserve"> </w:t>
      </w:r>
      <w:r>
        <w:rPr>
          <w:bCs/>
          <w:b/>
        </w:rPr>
        <w:t xml:space="preserve">ReTHUS</w:t>
      </w:r>
      <w:r>
        <w:t xml:space="preserve"> </w:t>
      </w:r>
      <w:r>
        <w:t xml:space="preserve">como el registro nacional del talento humano en salud que cumple los requisitos establecidos para el ejercicio autorizado de una profesión u ocupación de salud.</w:t>
      </w:r>
    </w:p>
    <w:p>
      <w:pPr>
        <w:pStyle w:val="BodyText"/>
      </w:pPr>
      <w:r>
        <w:t xml:space="preserve">Antes de aceptar un cargo sanitario en Colombia, verifique si ReTHUS aplica a su cualificación exacta y si su estado de registro o autorización está vigente. No dependa únicamente de un anuncio del empleador o de afirmaciones de un proveedor de formación.</w:t>
      </w:r>
    </w:p>
    <w:bookmarkEnd w:id="33"/>
    <w:bookmarkStart w:id="34" w:name="américa-latina-y-el-caribe"/>
    <w:p>
      <w:pPr>
        <w:pStyle w:val="Heading2"/>
      </w:pPr>
      <w:r>
        <w:t xml:space="preserve">América Latina y el Caribe</w:t>
      </w:r>
    </w:p>
    <w:p>
      <w:pPr>
        <w:pStyle w:val="FirstParagraph"/>
      </w:pPr>
      <w:r>
        <w:t xml:space="preserve">Los sistemas de formación, licenciamiento, certificación de competencias, registro de trabajadores de salud y reglas del empleador varían por país.</w:t>
      </w:r>
    </w:p>
    <w:p>
      <w:pPr>
        <w:pStyle w:val="BodyText"/>
      </w:pPr>
      <w:r>
        <w:t xml:space="preserve">La</w:t>
      </w:r>
      <w:r>
        <w:t xml:space="preserve"> </w:t>
      </w:r>
      <w:r>
        <w:rPr>
          <w:bCs/>
          <w:b/>
        </w:rPr>
        <w:t xml:space="preserve">Red Saber Cuidar</w:t>
      </w:r>
      <w:r>
        <w:t xml:space="preserve"> </w:t>
      </w:r>
      <w:r>
        <w:t xml:space="preserve">de OIT/Cinterfor es una red regional enfocada en profesionalizar el trabajo de cuidados mediante formación profesional, certificación de competencias, reconocimiento de cualificaciones y estándares de calidad en América Latina y el Caribe. En 2026, la red inició trabajos hacia un marco regional de cualificaciones del cuidado.</w:t>
      </w:r>
    </w:p>
    <w:p>
      <w:pPr>
        <w:pStyle w:val="BodyText"/>
      </w:pPr>
      <w:r>
        <w:t xml:space="preserve">Use Red Saber Cuidar y OIT/Cinterfor como</w:t>
      </w:r>
      <w:r>
        <w:t xml:space="preserve"> </w:t>
      </w:r>
      <w:r>
        <w:rPr>
          <w:bCs/>
          <w:b/>
        </w:rPr>
        <w:t xml:space="preserve">localizadores institucionales y contexto de política</w:t>
      </w:r>
      <w:r>
        <w:t xml:space="preserve">, no como licencia o credencial. Luego identifique la autoridad sanitaria nacional, institución de formación profesional, organismo de competencias y requisitos del empleador de su país.</w:t>
      </w:r>
    </w:p>
    <w:bookmarkEnd w:id="34"/>
    <w:bookmarkStart w:id="35" w:name="cómo-comparar-programas-de-formación"/>
    <w:p>
      <w:pPr>
        <w:pStyle w:val="Heading2"/>
      </w:pPr>
      <w:r>
        <w:t xml:space="preserve">Cómo comparar programas de formación</w:t>
      </w:r>
    </w:p>
    <w:p>
      <w:pPr>
        <w:pStyle w:val="FirstParagraph"/>
      </w:pPr>
      <w:r>
        <w:t xml:space="preserve">Antes de matricularse, verifique:</w:t>
      </w:r>
    </w:p>
    <w:p>
      <w:pPr>
        <w:numPr>
          <w:ilvl w:val="0"/>
          <w:numId w:val="1009"/>
        </w:numPr>
        <w:pStyle w:val="Compact"/>
      </w:pPr>
      <w:r>
        <w:t xml:space="preserve">si el programa está oficialmente reconocido para el trabajo que desea;</w:t>
      </w:r>
    </w:p>
    <w:p>
      <w:pPr>
        <w:numPr>
          <w:ilvl w:val="0"/>
          <w:numId w:val="1009"/>
        </w:numPr>
        <w:pStyle w:val="Compact"/>
      </w:pPr>
      <w:r>
        <w:t xml:space="preserve">si incluye práctica clínica supervisada y dónde se realiza;</w:t>
      </w:r>
    </w:p>
    <w:p>
      <w:pPr>
        <w:numPr>
          <w:ilvl w:val="0"/>
          <w:numId w:val="1009"/>
        </w:numPr>
        <w:pStyle w:val="Compact"/>
      </w:pPr>
      <w:r>
        <w:t xml:space="preserve">si el proveedor cuenta con aprobación vigente de la autoridad correspondiente;</w:t>
      </w:r>
    </w:p>
    <w:p>
      <w:pPr>
        <w:numPr>
          <w:ilvl w:val="0"/>
          <w:numId w:val="1009"/>
        </w:numPr>
        <w:pStyle w:val="Compact"/>
      </w:pPr>
      <w:r>
        <w:t xml:space="preserve">matrícula total y todos los cargos adicionales;</w:t>
      </w:r>
    </w:p>
    <w:p>
      <w:pPr>
        <w:numPr>
          <w:ilvl w:val="0"/>
          <w:numId w:val="1009"/>
        </w:numPr>
        <w:pStyle w:val="Compact"/>
      </w:pPr>
      <w:r>
        <w:t xml:space="preserve">costos de examen, registro, uniformes, equipos, exámenes de salud y antecedentes;</w:t>
      </w:r>
    </w:p>
    <w:p>
      <w:pPr>
        <w:numPr>
          <w:ilvl w:val="0"/>
          <w:numId w:val="1009"/>
        </w:numPr>
        <w:pStyle w:val="Compact"/>
      </w:pPr>
      <w:r>
        <w:t xml:space="preserve">reglas de reembolso y retiro;</w:t>
      </w:r>
    </w:p>
    <w:p>
      <w:pPr>
        <w:numPr>
          <w:ilvl w:val="0"/>
          <w:numId w:val="1009"/>
        </w:numPr>
        <w:pStyle w:val="Compact"/>
      </w:pPr>
      <w:r>
        <w:t xml:space="preserve">horarios y requisitos de transporte;</w:t>
      </w:r>
    </w:p>
    <w:p>
      <w:pPr>
        <w:numPr>
          <w:ilvl w:val="0"/>
          <w:numId w:val="1009"/>
        </w:numPr>
        <w:pStyle w:val="Compact"/>
      </w:pPr>
      <w:r>
        <w:t xml:space="preserve">aceptación de la credencial por empleadores;</w:t>
      </w:r>
    </w:p>
    <w:p>
      <w:pPr>
        <w:numPr>
          <w:ilvl w:val="0"/>
          <w:numId w:val="1009"/>
        </w:numPr>
        <w:pStyle w:val="Compact"/>
      </w:pPr>
      <w:r>
        <w:t xml:space="preserve">afirmaciones de colocación laboral y cómo se miden; y</w:t>
      </w:r>
    </w:p>
    <w:p>
      <w:pPr>
        <w:numPr>
          <w:ilvl w:val="0"/>
          <w:numId w:val="1009"/>
        </w:numPr>
        <w:pStyle w:val="Compact"/>
      </w:pPr>
      <w:r>
        <w:t xml:space="preserve">si existen alternativas públicas o financiadas por empleadores.</w:t>
      </w:r>
    </w:p>
    <w:p>
      <w:pPr>
        <w:pStyle w:val="FirstParagraph"/>
      </w:pPr>
      <w:r>
        <w:t xml:space="preserve">Evite programas que garanticen empleo o salario, oculten costos totales, presionen para pagar inmediatamente o impliquen autorización legal que no puedan documentar.</w:t>
      </w:r>
    </w:p>
    <w:bookmarkEnd w:id="35"/>
    <w:bookmarkStart w:id="36" w:name="apoyo-del-empleador-y-avance-profesional"/>
    <w:p>
      <w:pPr>
        <w:pStyle w:val="Heading2"/>
      </w:pPr>
      <w:r>
        <w:t xml:space="preserve">Apoyo del empleador y avance profesional</w:t>
      </w:r>
    </w:p>
    <w:p>
      <w:pPr>
        <w:pStyle w:val="FirstParagraph"/>
      </w:pPr>
      <w:r>
        <w:t xml:space="preserve">Pregunte a empleadores sobre:</w:t>
      </w:r>
    </w:p>
    <w:p>
      <w:pPr>
        <w:numPr>
          <w:ilvl w:val="0"/>
          <w:numId w:val="1010"/>
        </w:numPr>
        <w:pStyle w:val="Compact"/>
      </w:pPr>
      <w:r>
        <w:t xml:space="preserve">orientación pagada;</w:t>
      </w:r>
    </w:p>
    <w:p>
      <w:pPr>
        <w:numPr>
          <w:ilvl w:val="0"/>
          <w:numId w:val="1010"/>
        </w:numPr>
        <w:pStyle w:val="Compact"/>
      </w:pPr>
      <w:r>
        <w:t xml:space="preserve">formación patrocinada para auxiliares o atención al paciente;</w:t>
      </w:r>
    </w:p>
    <w:p>
      <w:pPr>
        <w:numPr>
          <w:ilvl w:val="0"/>
          <w:numId w:val="1010"/>
        </w:numPr>
        <w:pStyle w:val="Compact"/>
      </w:pPr>
      <w:r>
        <w:t xml:space="preserve">ayuda para matrícula;</w:t>
      </w:r>
    </w:p>
    <w:p>
      <w:pPr>
        <w:numPr>
          <w:ilvl w:val="0"/>
          <w:numId w:val="1010"/>
        </w:numPr>
        <w:pStyle w:val="Compact"/>
      </w:pPr>
      <w:r>
        <w:t xml:space="preserve">reembolso de certificaciones;</w:t>
      </w:r>
    </w:p>
    <w:p>
      <w:pPr>
        <w:numPr>
          <w:ilvl w:val="0"/>
          <w:numId w:val="1010"/>
        </w:numPr>
        <w:pStyle w:val="Compact"/>
      </w:pPr>
      <w:r>
        <w:t xml:space="preserve">diferenciales de turno;</w:t>
      </w:r>
    </w:p>
    <w:p>
      <w:pPr>
        <w:numPr>
          <w:ilvl w:val="0"/>
          <w:numId w:val="1010"/>
        </w:numPr>
        <w:pStyle w:val="Compact"/>
      </w:pPr>
      <w:r>
        <w:t xml:space="preserve">mentoría o preceptoría;</w:t>
      </w:r>
    </w:p>
    <w:p>
      <w:pPr>
        <w:numPr>
          <w:ilvl w:val="0"/>
          <w:numId w:val="1010"/>
        </w:numPr>
        <w:pStyle w:val="Compact"/>
      </w:pPr>
      <w:r>
        <w:t xml:space="preserve">capacitación cruzada;</w:t>
      </w:r>
    </w:p>
    <w:p>
      <w:pPr>
        <w:numPr>
          <w:ilvl w:val="0"/>
          <w:numId w:val="1010"/>
        </w:numPr>
        <w:pStyle w:val="Compact"/>
      </w:pPr>
      <w:r>
        <w:t xml:space="preserve">promoción interna; y</w:t>
      </w:r>
    </w:p>
    <w:p>
      <w:pPr>
        <w:numPr>
          <w:ilvl w:val="0"/>
          <w:numId w:val="1010"/>
        </w:numPr>
        <w:pStyle w:val="Compact"/>
      </w:pPr>
      <w:r>
        <w:t xml:space="preserve">apoyo hacia enfermería práctica, enfermería profesional, flebotomía, EKG, rehabilitación, asistencia médica u otros cargos sanitarios cuando corresponda.</w:t>
      </w:r>
    </w:p>
    <w:p>
      <w:pPr>
        <w:pStyle w:val="FirstParagraph"/>
      </w:pPr>
      <w:r>
        <w:t xml:space="preserve">No tome un curso adicional solo porque parezca útil. Primero confirme que el empleador objetivo realmente lo reconoce y que la habilidad está legalmente dentro del rol que planea ejercer.</w:t>
      </w:r>
    </w:p>
    <w:bookmarkEnd w:id="36"/>
    <w:bookmarkStart w:id="37" w:name="plan-práctico-inicial-de-12-semanas"/>
    <w:p>
      <w:pPr>
        <w:pStyle w:val="Heading2"/>
      </w:pPr>
      <w:r>
        <w:t xml:space="preserve">Plan práctico inicial de 12 semanas</w:t>
      </w:r>
    </w:p>
    <w:p>
      <w:pPr>
        <w:pStyle w:val="FirstParagraph"/>
      </w:pPr>
      <w:r>
        <w:rPr>
          <w:bCs/>
          <w:b/>
        </w:rPr>
        <w:t xml:space="preserve">Semanas 1–2:</w:t>
      </w:r>
      <w:r>
        <w:t xml:space="preserve"> </w:t>
      </w:r>
      <w:r>
        <w:t xml:space="preserve">Revise 15–20 vacantes locales de auxiliar de enfermería, nurse aide, CNA, PCT, asistente de atención al paciente y cargos relacionados. Registre credenciales requeridas, horarios, salario, diferenciales de turno, exigencias físicas y formación patrocinada.</w:t>
      </w:r>
    </w:p>
    <w:p>
      <w:pPr>
        <w:pStyle w:val="BodyText"/>
      </w:pPr>
      <w:r>
        <w:rPr>
          <w:bCs/>
          <w:b/>
        </w:rPr>
        <w:t xml:space="preserve">Semanas 3–4:</w:t>
      </w:r>
      <w:r>
        <w:t xml:space="preserve"> </w:t>
      </w:r>
      <w:r>
        <w:t xml:space="preserve">Verifique requisitos de formación, examen, registro, antecedentes, exámenes de salud y autorización de su jurisdicción.</w:t>
      </w:r>
    </w:p>
    <w:p>
      <w:pPr>
        <w:pStyle w:val="BodyText"/>
      </w:pPr>
      <w:r>
        <w:rPr>
          <w:bCs/>
          <w:b/>
        </w:rPr>
        <w:t xml:space="preserve">Semanas 5–6:</w:t>
      </w:r>
      <w:r>
        <w:t xml:space="preserve"> </w:t>
      </w:r>
      <w:r>
        <w:t xml:space="preserve">Compare opciones de formación aprobadas, incluidos programas públicos y patrocinio del empleador. Calcule el costo total, no solo la matrícula.</w:t>
      </w:r>
    </w:p>
    <w:p>
      <w:pPr>
        <w:pStyle w:val="BodyText"/>
      </w:pPr>
      <w:r>
        <w:rPr>
          <w:bCs/>
          <w:b/>
        </w:rPr>
        <w:t xml:space="preserve">Semanas 7–8:</w:t>
      </w:r>
      <w:r>
        <w:t xml:space="preserve"> </w:t>
      </w:r>
      <w:r>
        <w:t xml:space="preserve">Desarrolle fundamentos de prevención de infecciones, signos vitales, comunicación, privacidad, documentación, seguridad en movilidad y reconocimiento de cuándo escalar.</w:t>
      </w:r>
    </w:p>
    <w:p>
      <w:pPr>
        <w:pStyle w:val="BodyText"/>
      </w:pPr>
      <w:r>
        <w:rPr>
          <w:bCs/>
          <w:b/>
        </w:rPr>
        <w:t xml:space="preserve">Semanas 9–10:</w:t>
      </w:r>
      <w:r>
        <w:t xml:space="preserve"> </w:t>
      </w:r>
      <w:r>
        <w:t xml:space="preserve">Complete únicamente prácticas de habilidades supervisadas y aprobadas. Nunca use pacientes reales para práctica no supervisada.</w:t>
      </w:r>
    </w:p>
    <w:p>
      <w:pPr>
        <w:pStyle w:val="BodyText"/>
      </w:pPr>
      <w:r>
        <w:rPr>
          <w:bCs/>
          <w:b/>
        </w:rPr>
        <w:t xml:space="preserve">Semanas 11–12:</w:t>
      </w:r>
      <w:r>
        <w:t xml:space="preserve"> </w:t>
      </w:r>
      <w:r>
        <w:t xml:space="preserve">Prepare solicitudes, ejemplos para entrevistas, planes de transporte, documentación para verificar registro/credenciales y preguntas sobre orientación, dotación, turnos, apoyo educativo y avance.</w:t>
      </w:r>
    </w:p>
    <w:bookmarkEnd w:id="37"/>
    <w:bookmarkStart w:id="38" w:name="construir-experiencia-con-honestidad"/>
    <w:p>
      <w:pPr>
        <w:pStyle w:val="Heading2"/>
      </w:pPr>
      <w:r>
        <w:t xml:space="preserve">Construir experiencia con honestidad</w:t>
      </w:r>
    </w:p>
    <w:p>
      <w:pPr>
        <w:pStyle w:val="FirstParagraph"/>
      </w:pPr>
      <w:r>
        <w:t xml:space="preserve">La experiencia transferible puede provenir de cuidado, servicio al cliente, hotelería, apoyo a personas con discapacidad, servicio comunitario, limpieza, alimentos, transporte u otros trabajos donde importen confiabilidad, dignidad, comunicación, seguridad y trabajo en equipo.</w:t>
      </w:r>
    </w:p>
    <w:p>
      <w:pPr>
        <w:pStyle w:val="BodyText"/>
      </w:pPr>
      <w:r>
        <w:t xml:space="preserve">Describa lo que realmente hizo. No afirme procedimientos clínicos, condición de CNA, habilidades PCT, flebotomía, experiencia EKG, responsabilidades de medicamentos ni credenciales de atención al paciente salvo que realmente las haya completado y estuviera autorizado.</w:t>
      </w:r>
    </w:p>
    <w:p>
      <w:pPr>
        <w:pStyle w:val="BodyText"/>
      </w:pPr>
      <w:r>
        <w:t xml:space="preserve">La evidencia sólida puede incluir:</w:t>
      </w:r>
    </w:p>
    <w:p>
      <w:pPr>
        <w:numPr>
          <w:ilvl w:val="0"/>
          <w:numId w:val="1011"/>
        </w:numPr>
        <w:pStyle w:val="Compact"/>
      </w:pPr>
      <w:r>
        <w:t xml:space="preserve">asistencia confiable;</w:t>
      </w:r>
    </w:p>
    <w:p>
      <w:pPr>
        <w:numPr>
          <w:ilvl w:val="0"/>
          <w:numId w:val="1011"/>
        </w:numPr>
        <w:pStyle w:val="Compact"/>
      </w:pPr>
      <w:r>
        <w:t xml:space="preserve">servicio respetuoso bajo presión;</w:t>
      </w:r>
    </w:p>
    <w:p>
      <w:pPr>
        <w:numPr>
          <w:ilvl w:val="0"/>
          <w:numId w:val="1011"/>
        </w:numPr>
        <w:pStyle w:val="Compact"/>
      </w:pPr>
      <w:r>
        <w:t xml:space="preserve">registros exactos;</w:t>
      </w:r>
    </w:p>
    <w:p>
      <w:pPr>
        <w:numPr>
          <w:ilvl w:val="0"/>
          <w:numId w:val="1011"/>
        </w:numPr>
        <w:pStyle w:val="Compact"/>
      </w:pPr>
      <w:r>
        <w:t xml:space="preserve">cumplimiento de procedimientos de seguridad;</w:t>
      </w:r>
    </w:p>
    <w:p>
      <w:pPr>
        <w:numPr>
          <w:ilvl w:val="0"/>
          <w:numId w:val="1011"/>
        </w:numPr>
        <w:pStyle w:val="Compact"/>
      </w:pPr>
      <w:r>
        <w:t xml:space="preserve">ayuda con movilidad o actividades diarias dentro de su rol real;</w:t>
      </w:r>
    </w:p>
    <w:p>
      <w:pPr>
        <w:numPr>
          <w:ilvl w:val="0"/>
          <w:numId w:val="1011"/>
        </w:numPr>
        <w:pStyle w:val="Compact"/>
      </w:pPr>
      <w:r>
        <w:t xml:space="preserve">escalamiento de problemas a supervisores;</w:t>
      </w:r>
    </w:p>
    <w:p>
      <w:pPr>
        <w:numPr>
          <w:ilvl w:val="0"/>
          <w:numId w:val="1011"/>
        </w:numPr>
        <w:pStyle w:val="Compact"/>
      </w:pPr>
      <w:r>
        <w:t xml:space="preserve">confidencialidad; y</w:t>
      </w:r>
    </w:p>
    <w:p>
      <w:pPr>
        <w:numPr>
          <w:ilvl w:val="0"/>
          <w:numId w:val="1011"/>
        </w:numPr>
        <w:pStyle w:val="Compact"/>
      </w:pPr>
      <w:r>
        <w:t xml:space="preserve">trabajo en equipo entre turnos o departamentos.</w:t>
      </w:r>
    </w:p>
    <w:bookmarkEnd w:id="38"/>
    <w:bookmarkStart w:id="39" w:name="Xea53a9a8e49faa15fd4d96baef2b7cb513b0602"/>
    <w:p>
      <w:pPr>
        <w:pStyle w:val="Heading2"/>
      </w:pPr>
      <w:r>
        <w:t xml:space="preserve">Prevención de infecciones y seguridad del paciente</w:t>
      </w:r>
    </w:p>
    <w:p>
      <w:pPr>
        <w:pStyle w:val="FirstParagraph"/>
      </w:pPr>
      <w:r>
        <w:t xml:space="preserve">Siga los procedimientos aprobados del empleador y de la jurisdicción para:</w:t>
      </w:r>
    </w:p>
    <w:p>
      <w:pPr>
        <w:numPr>
          <w:ilvl w:val="0"/>
          <w:numId w:val="1012"/>
        </w:numPr>
        <w:pStyle w:val="Compact"/>
      </w:pPr>
      <w:r>
        <w:t xml:space="preserve">higiene de manos;</w:t>
      </w:r>
    </w:p>
    <w:p>
      <w:pPr>
        <w:numPr>
          <w:ilvl w:val="0"/>
          <w:numId w:val="1012"/>
        </w:numPr>
        <w:pStyle w:val="Compact"/>
      </w:pPr>
      <w:r>
        <w:t xml:space="preserve">EPP;</w:t>
      </w:r>
    </w:p>
    <w:p>
      <w:pPr>
        <w:numPr>
          <w:ilvl w:val="0"/>
          <w:numId w:val="1012"/>
        </w:numPr>
        <w:pStyle w:val="Compact"/>
      </w:pPr>
      <w:r>
        <w:t xml:space="preserve">precauciones de aislamiento;</w:t>
      </w:r>
    </w:p>
    <w:p>
      <w:pPr>
        <w:numPr>
          <w:ilvl w:val="0"/>
          <w:numId w:val="1012"/>
        </w:numPr>
        <w:pStyle w:val="Compact"/>
      </w:pPr>
      <w:r>
        <w:t xml:space="preserve">limpieza y desinfección;</w:t>
      </w:r>
    </w:p>
    <w:p>
      <w:pPr>
        <w:numPr>
          <w:ilvl w:val="0"/>
          <w:numId w:val="1012"/>
        </w:numPr>
        <w:pStyle w:val="Compact"/>
      </w:pPr>
      <w:r>
        <w:t xml:space="preserve">prevención de lesiones con cortopunzantes y exposiciones;</w:t>
      </w:r>
    </w:p>
    <w:p>
      <w:pPr>
        <w:numPr>
          <w:ilvl w:val="0"/>
          <w:numId w:val="1012"/>
        </w:numPr>
        <w:pStyle w:val="Compact"/>
      </w:pPr>
      <w:r>
        <w:t xml:space="preserve">manejo de muestras;</w:t>
      </w:r>
    </w:p>
    <w:p>
      <w:pPr>
        <w:numPr>
          <w:ilvl w:val="0"/>
          <w:numId w:val="1012"/>
        </w:numPr>
        <w:pStyle w:val="Compact"/>
      </w:pPr>
      <w:r>
        <w:t xml:space="preserve">precauciones con fluidos corporales;</w:t>
      </w:r>
    </w:p>
    <w:p>
      <w:pPr>
        <w:numPr>
          <w:ilvl w:val="0"/>
          <w:numId w:val="1012"/>
        </w:numPr>
        <w:pStyle w:val="Compact"/>
      </w:pPr>
      <w:r>
        <w:t xml:space="preserve">transferencias y movilidad seguras;</w:t>
      </w:r>
    </w:p>
    <w:p>
      <w:pPr>
        <w:numPr>
          <w:ilvl w:val="0"/>
          <w:numId w:val="1012"/>
        </w:numPr>
        <w:pStyle w:val="Compact"/>
      </w:pPr>
      <w:r>
        <w:t xml:space="preserve">prevención de caídas;</w:t>
      </w:r>
    </w:p>
    <w:p>
      <w:pPr>
        <w:numPr>
          <w:ilvl w:val="0"/>
          <w:numId w:val="1012"/>
        </w:numPr>
        <w:pStyle w:val="Compact"/>
      </w:pPr>
      <w:r>
        <w:t xml:space="preserve">reglas de restricción;</w:t>
      </w:r>
    </w:p>
    <w:p>
      <w:pPr>
        <w:numPr>
          <w:ilvl w:val="0"/>
          <w:numId w:val="1012"/>
        </w:numPr>
        <w:pStyle w:val="Compact"/>
      </w:pPr>
      <w:r>
        <w:t xml:space="preserve">revisión de equipos; y</w:t>
      </w:r>
    </w:p>
    <w:p>
      <w:pPr>
        <w:numPr>
          <w:ilvl w:val="0"/>
          <w:numId w:val="1012"/>
        </w:numPr>
        <w:pStyle w:val="Compact"/>
      </w:pPr>
      <w:r>
        <w:t xml:space="preserve">reporte de incidentes o exposiciones.</w:t>
      </w:r>
    </w:p>
    <w:p>
      <w:pPr>
        <w:pStyle w:val="FirstParagraph"/>
      </w:pPr>
      <w:r>
        <w:t xml:space="preserve">Escale de inmediato cambios materiales en la condición, observaciones anormales, caídas, sospecha de abuso o negligencia, discrepancias de medicamentos, fallas de control de infecciones, problemas de equipos u otras preocupaciones de seguridad conforme a su formación y al protocolo del empleador.</w:t>
      </w:r>
    </w:p>
    <w:bookmarkEnd w:id="39"/>
    <w:bookmarkStart w:id="40" w:name="privacidad-y-confidencialidad"/>
    <w:p>
      <w:pPr>
        <w:pStyle w:val="Heading2"/>
      </w:pPr>
      <w:r>
        <w:t xml:space="preserve">Privacidad y confidencialidad</w:t>
      </w:r>
    </w:p>
    <w:p>
      <w:pPr>
        <w:pStyle w:val="FirstParagraph"/>
      </w:pPr>
      <w:r>
        <w:t xml:space="preserve">La información de pacientes puede estar protegida por leyes, regulación, estándares profesionales y políticas del empleador. Use únicamente sistemas aprobados y el acceso mínimo necesario para su trabajo asignado.</w:t>
      </w:r>
    </w:p>
    <w:p>
      <w:pPr>
        <w:pStyle w:val="BodyText"/>
      </w:pPr>
      <w:r>
        <w:t xml:space="preserve">No:</w:t>
      </w:r>
    </w:p>
    <w:p>
      <w:pPr>
        <w:numPr>
          <w:ilvl w:val="0"/>
          <w:numId w:val="1013"/>
        </w:numPr>
        <w:pStyle w:val="Compact"/>
      </w:pPr>
      <w:r>
        <w:t xml:space="preserve">fotografíe pacientes o registros sin autorización explícita;</w:t>
      </w:r>
    </w:p>
    <w:p>
      <w:pPr>
        <w:numPr>
          <w:ilvl w:val="0"/>
          <w:numId w:val="1013"/>
        </w:numPr>
        <w:pStyle w:val="Compact"/>
      </w:pPr>
      <w:r>
        <w:t xml:space="preserve">discuta información de pacientes en áreas públicas;</w:t>
      </w:r>
    </w:p>
    <w:p>
      <w:pPr>
        <w:numPr>
          <w:ilvl w:val="0"/>
          <w:numId w:val="1013"/>
        </w:numPr>
        <w:pStyle w:val="Compact"/>
      </w:pPr>
      <w:r>
        <w:t xml:space="preserve">publique historias clínicas en redes sociales;</w:t>
      </w:r>
    </w:p>
    <w:p>
      <w:pPr>
        <w:numPr>
          <w:ilvl w:val="0"/>
          <w:numId w:val="1013"/>
        </w:numPr>
        <w:pStyle w:val="Compact"/>
      </w:pPr>
      <w:r>
        <w:t xml:space="preserve">comparta contraseñas ni use el acceso de otro trabajador;</w:t>
      </w:r>
    </w:p>
    <w:p>
      <w:pPr>
        <w:numPr>
          <w:ilvl w:val="0"/>
          <w:numId w:val="1013"/>
        </w:numPr>
        <w:pStyle w:val="Compact"/>
      </w:pPr>
      <w:r>
        <w:t xml:space="preserve">envíe información protegida por correo personal o aplicaciones de mensajería salvo aprobación formal; ni</w:t>
      </w:r>
    </w:p>
    <w:p>
      <w:pPr>
        <w:numPr>
          <w:ilvl w:val="0"/>
          <w:numId w:val="1013"/>
        </w:numPr>
        <w:pStyle w:val="Compact"/>
      </w:pPr>
      <w:r>
        <w:t xml:space="preserve">almacene información de pacientes en dispositivos personales salvo autorización explícita.</w:t>
      </w:r>
    </w:p>
    <w:bookmarkEnd w:id="40"/>
    <w:bookmarkStart w:id="41" w:name="uso-responsable-de-ia"/>
    <w:p>
      <w:pPr>
        <w:pStyle w:val="Heading2"/>
      </w:pPr>
      <w:r>
        <w:t xml:space="preserve">Uso responsable de IA</w:t>
      </w:r>
    </w:p>
    <w:p>
      <w:pPr>
        <w:pStyle w:val="FirstParagraph"/>
      </w:pPr>
      <w:r>
        <w:t xml:space="preserve">La IA puede ayudar con práctica de estudio</w:t>
      </w:r>
      <w:r>
        <w:t xml:space="preserve"> </w:t>
      </w:r>
      <w:r>
        <w:rPr>
          <w:bCs/>
          <w:b/>
        </w:rPr>
        <w:t xml:space="preserve">no sensible</w:t>
      </w:r>
      <w:r>
        <w:t xml:space="preserve">, revisión de terminología, preparación de entrevistas, ejercicios genéricos de comunicación o creación de preguntas de práctica a partir de materiales públicos.</w:t>
      </w:r>
    </w:p>
    <w:p>
      <w:pPr>
        <w:pStyle w:val="BodyText"/>
      </w:pPr>
      <w:r>
        <w:t xml:space="preserve">No pegue información de pacientes, fotografías, registros clínicos, identificadores, credenciales de acceso, horarios internos, documentos propietarios de atención ni otra información sanitaria protegida o confidencial en sistemas públicos de IA o herramientas no aprobadas.</w:t>
      </w:r>
    </w:p>
    <w:p>
      <w:pPr>
        <w:pStyle w:val="BodyText"/>
      </w:pPr>
      <w:r>
        <w:t xml:space="preserve">La IA</w:t>
      </w:r>
      <w:r>
        <w:t xml:space="preserve"> </w:t>
      </w:r>
      <w:r>
        <w:rPr>
          <w:bCs/>
          <w:b/>
        </w:rPr>
        <w:t xml:space="preserve">no debe</w:t>
      </w:r>
      <w:r>
        <w:t xml:space="preserve"> </w:t>
      </w:r>
      <w:r>
        <w:t xml:space="preserve">reemplazar el juicio clínico de profesionales autorizados, órdenes específicas del paciente, escalamiento de emergencias, formación aprobada, política del empleador ni orientación legal o regulatoria vigente. Verifique la información clínica o regulatoria generada por IA contra fuentes autorizadas antes de confiar en ella.</w:t>
      </w:r>
    </w:p>
    <w:bookmarkEnd w:id="41"/>
    <w:bookmarkStart w:id="42" w:name="evitar-estafas-y-ofertas-débiles"/>
    <w:p>
      <w:pPr>
        <w:pStyle w:val="Heading2"/>
      </w:pPr>
      <w:r>
        <w:t xml:space="preserve">Evitar estafas y ofertas débiles</w:t>
      </w:r>
    </w:p>
    <w:p>
      <w:pPr>
        <w:pStyle w:val="FirstParagraph"/>
      </w:pPr>
      <w:r>
        <w:t xml:space="preserve">Tenga precaución si un reclutador, empleador o escuela:</w:t>
      </w:r>
    </w:p>
    <w:p>
      <w:pPr>
        <w:numPr>
          <w:ilvl w:val="0"/>
          <w:numId w:val="1014"/>
        </w:numPr>
        <w:pStyle w:val="Compact"/>
      </w:pPr>
      <w:r>
        <w:t xml:space="preserve">le pide pagar por una oferta de empleo;</w:t>
      </w:r>
    </w:p>
    <w:p>
      <w:pPr>
        <w:numPr>
          <w:ilvl w:val="0"/>
          <w:numId w:val="1014"/>
        </w:numPr>
        <w:pStyle w:val="Compact"/>
      </w:pPr>
      <w:r>
        <w:t xml:space="preserve">solicita tarjetas de regalo, criptomonedas u otros métodos de pago inusuales;</w:t>
      </w:r>
    </w:p>
    <w:p>
      <w:pPr>
        <w:numPr>
          <w:ilvl w:val="0"/>
          <w:numId w:val="1014"/>
        </w:numPr>
        <w:pStyle w:val="Compact"/>
      </w:pPr>
      <w:r>
        <w:t xml:space="preserve">garantiza certificación o empleo sin completar pasos requeridos;</w:t>
      </w:r>
    </w:p>
    <w:p>
      <w:pPr>
        <w:numPr>
          <w:ilvl w:val="0"/>
          <w:numId w:val="1014"/>
        </w:numPr>
        <w:pStyle w:val="Compact"/>
      </w:pPr>
      <w:r>
        <w:t xml:space="preserve">promete que una credencial funciona en todos los estados, provincias o países;</w:t>
      </w:r>
    </w:p>
    <w:p>
      <w:pPr>
        <w:numPr>
          <w:ilvl w:val="0"/>
          <w:numId w:val="1014"/>
        </w:numPr>
        <w:pStyle w:val="Compact"/>
      </w:pPr>
      <w:r>
        <w:t xml:space="preserve">no identifica al empleador o institución real;</w:t>
      </w:r>
    </w:p>
    <w:p>
      <w:pPr>
        <w:numPr>
          <w:ilvl w:val="0"/>
          <w:numId w:val="1014"/>
        </w:numPr>
        <w:pStyle w:val="Compact"/>
      </w:pPr>
      <w:r>
        <w:t xml:space="preserve">solicita datos bancarios o de identidad sensibles antes de que usted verifique la organización;</w:t>
      </w:r>
    </w:p>
    <w:p>
      <w:pPr>
        <w:numPr>
          <w:ilvl w:val="0"/>
          <w:numId w:val="1014"/>
        </w:numPr>
        <w:pStyle w:val="Compact"/>
      </w:pPr>
      <w:r>
        <w:t xml:space="preserve">realiza toda la contratación mediante una cuenta de mensajería no verificada; o</w:t>
      </w:r>
    </w:p>
    <w:p>
      <w:pPr>
        <w:numPr>
          <w:ilvl w:val="0"/>
          <w:numId w:val="1014"/>
        </w:numPr>
        <w:pStyle w:val="Compact"/>
      </w:pPr>
      <w:r>
        <w:t xml:space="preserve">lo presiona para aceptar tareas inseguras fuera de su formación o rol.</w:t>
      </w:r>
    </w:p>
    <w:p>
      <w:pPr>
        <w:pStyle w:val="FirstParagraph"/>
      </w:pPr>
      <w:r>
        <w:t xml:space="preserve">Verifique de manera independiente al empleador, institución, regulador y proveedor de formación.</w:t>
      </w:r>
    </w:p>
    <w:bookmarkEnd w:id="42"/>
    <w:bookmarkStart w:id="43" w:name="cuándo-detenerse-antes-de-gastar-dinero"/>
    <w:p>
      <w:pPr>
        <w:pStyle w:val="Heading2"/>
      </w:pPr>
      <w:r>
        <w:t xml:space="preserve">Cuándo detenerse antes de gastar dinero</w:t>
      </w:r>
    </w:p>
    <w:p>
      <w:pPr>
        <w:pStyle w:val="FirstParagraph"/>
      </w:pPr>
      <w:r>
        <w:t xml:space="preserve">Pause la matrícula cuando:</w:t>
      </w:r>
    </w:p>
    <w:p>
      <w:pPr>
        <w:numPr>
          <w:ilvl w:val="0"/>
          <w:numId w:val="1015"/>
        </w:numPr>
        <w:pStyle w:val="Compact"/>
      </w:pPr>
      <w:r>
        <w:t xml:space="preserve">el programa no esté claramente reconocido para la ocupación que desea;</w:t>
      </w:r>
    </w:p>
    <w:p>
      <w:pPr>
        <w:numPr>
          <w:ilvl w:val="0"/>
          <w:numId w:val="1015"/>
        </w:numPr>
        <w:pStyle w:val="Compact"/>
      </w:pPr>
      <w:r>
        <w:t xml:space="preserve">el proveedor no pueda documentar aprobación o práctica clínica;</w:t>
      </w:r>
    </w:p>
    <w:p>
      <w:pPr>
        <w:numPr>
          <w:ilvl w:val="0"/>
          <w:numId w:val="1015"/>
        </w:numPr>
        <w:pStyle w:val="Compact"/>
      </w:pPr>
      <w:r>
        <w:t xml:space="preserve">empleadores locales no soliciten la credencial;</w:t>
      </w:r>
    </w:p>
    <w:p>
      <w:pPr>
        <w:numPr>
          <w:ilvl w:val="0"/>
          <w:numId w:val="1015"/>
        </w:numPr>
        <w:pStyle w:val="Compact"/>
      </w:pPr>
      <w:r>
        <w:t xml:space="preserve">una ruta pública o patrocinada por empleadores pueda cubrir la misma formación;</w:t>
      </w:r>
    </w:p>
    <w:p>
      <w:pPr>
        <w:numPr>
          <w:ilvl w:val="0"/>
          <w:numId w:val="1015"/>
        </w:numPr>
        <w:pStyle w:val="Compact"/>
      </w:pPr>
      <w:r>
        <w:t xml:space="preserve">costos totales y reglas de reembolso no estén claros;</w:t>
      </w:r>
    </w:p>
    <w:p>
      <w:pPr>
        <w:numPr>
          <w:ilvl w:val="0"/>
          <w:numId w:val="1015"/>
        </w:numPr>
        <w:pStyle w:val="Compact"/>
      </w:pPr>
      <w:r>
        <w:t xml:space="preserve">las exigencias físicas no se ajusten a sus circunstancias y no exista una vía razonable de adaptación;</w:t>
      </w:r>
    </w:p>
    <w:p>
      <w:pPr>
        <w:numPr>
          <w:ilvl w:val="0"/>
          <w:numId w:val="1015"/>
        </w:numPr>
        <w:pStyle w:val="Compact"/>
      </w:pPr>
      <w:r>
        <w:t xml:space="preserve">transporte u horarios hagan poco realista terminar el programa; o</w:t>
      </w:r>
    </w:p>
    <w:p>
      <w:pPr>
        <w:numPr>
          <w:ilvl w:val="0"/>
          <w:numId w:val="1015"/>
        </w:numPr>
        <w:pStyle w:val="Compact"/>
      </w:pPr>
      <w:r>
        <w:t xml:space="preserve">las condiciones de financiamiento crearían una deuda difícil de pagar.</w:t>
      </w:r>
    </w:p>
    <w:bookmarkEnd w:id="43"/>
    <w:bookmarkStart w:id="57" w:name="fuentes-actuales"/>
    <w:p>
      <w:pPr>
        <w:pStyle w:val="Heading2"/>
      </w:pPr>
      <w:r>
        <w:t xml:space="preserve">Fuentes actuales</w:t>
      </w:r>
    </w:p>
    <w:p>
      <w:pPr>
        <w:pStyle w:val="FirstParagraph"/>
      </w:pPr>
      <w:r>
        <w:t xml:space="preserve">Fuentes oficiales/públicas:</w:t>
      </w:r>
    </w:p>
    <w:p>
      <w:pPr>
        <w:numPr>
          <w:ilvl w:val="0"/>
          <w:numId w:val="1016"/>
        </w:numPr>
        <w:pStyle w:val="Compact"/>
      </w:pPr>
      <w:r>
        <w:t xml:space="preserve">U.S. Bureau of Labor Statistics — Nursing Assistants and Orderlies:</w:t>
      </w:r>
      <w:r>
        <w:t xml:space="preserve"> </w:t>
      </w:r>
      <w:hyperlink r:id="rId44">
        <w:hyperlink r:id="rId44">
          <w:r>
            <w:rPr>
              <w:rStyle w:val="Hyperlink"/>
            </w:rPr>
            <w:t xml:space="preserve">Source link</w:t>
          </w:r>
        </w:hyperlink>
      </w:hyperlink>
    </w:p>
    <w:p>
      <w:pPr>
        <w:numPr>
          <w:ilvl w:val="0"/>
          <w:numId w:val="1016"/>
        </w:numPr>
        <w:pStyle w:val="Compact"/>
      </w:pPr>
      <w:r>
        <w:t xml:space="preserve">Centers for Medicare &amp; Medicaid Services — QSO-26-08-NH:</w:t>
      </w:r>
      <w:r>
        <w:t xml:space="preserve"> </w:t>
      </w:r>
      <w:hyperlink r:id="rId45">
        <w:hyperlink r:id="rId45">
          <w:r>
            <w:rPr>
              <w:rStyle w:val="Hyperlink"/>
            </w:rPr>
            <w:t xml:space="preserve">Source link</w:t>
          </w:r>
        </w:hyperlink>
      </w:hyperlink>
    </w:p>
    <w:p>
      <w:pPr>
        <w:numPr>
          <w:ilvl w:val="0"/>
          <w:numId w:val="1016"/>
        </w:numPr>
        <w:pStyle w:val="Compact"/>
      </w:pPr>
      <w:r>
        <w:t xml:space="preserve">CareerOneStop — WIOA-Eligible Training Program Finder:</w:t>
      </w:r>
      <w:r>
        <w:t xml:space="preserve"> </w:t>
      </w:r>
      <w:hyperlink r:id="rId46">
        <w:hyperlink r:id="rId46">
          <w:r>
            <w:rPr>
              <w:rStyle w:val="Hyperlink"/>
            </w:rPr>
            <w:t xml:space="preserve">Source link</w:t>
          </w:r>
        </w:hyperlink>
      </w:hyperlink>
    </w:p>
    <w:p>
      <w:pPr>
        <w:numPr>
          <w:ilvl w:val="0"/>
          <w:numId w:val="1016"/>
        </w:numPr>
        <w:pStyle w:val="Compact"/>
      </w:pPr>
      <w:r>
        <w:t xml:space="preserve">CareerOneStop — American Job Center Finder:</w:t>
      </w:r>
      <w:r>
        <w:t xml:space="preserve"> </w:t>
      </w:r>
      <w:hyperlink r:id="rId47">
        <w:hyperlink r:id="rId47">
          <w:r>
            <w:rPr>
              <w:rStyle w:val="Hyperlink"/>
            </w:rPr>
            <w:t xml:space="preserve">Source link</w:t>
          </w:r>
        </w:hyperlink>
      </w:hyperlink>
    </w:p>
    <w:p>
      <w:pPr>
        <w:numPr>
          <w:ilvl w:val="0"/>
          <w:numId w:val="1016"/>
        </w:numPr>
        <w:pStyle w:val="Compact"/>
      </w:pPr>
      <w:r>
        <w:t xml:space="preserve">Government of Canada Job Bank — resumen NOC 33102:</w:t>
      </w:r>
      <w:r>
        <w:t xml:space="preserve"> </w:t>
      </w:r>
      <w:hyperlink r:id="rId48">
        <w:hyperlink r:id="rId48">
          <w:r>
            <w:rPr>
              <w:rStyle w:val="Hyperlink"/>
            </w:rPr>
            <w:t xml:space="preserve">Source link</w:t>
          </w:r>
        </w:hyperlink>
      </w:hyperlink>
    </w:p>
    <w:p>
      <w:pPr>
        <w:numPr>
          <w:ilvl w:val="0"/>
          <w:numId w:val="1016"/>
        </w:numPr>
        <w:pStyle w:val="Compact"/>
      </w:pPr>
      <w:r>
        <w:t xml:space="preserve">Government of Canada Job Bank — salarios NOC 33102:</w:t>
      </w:r>
      <w:r>
        <w:t xml:space="preserve"> </w:t>
      </w:r>
      <w:hyperlink r:id="rId49">
        <w:hyperlink r:id="rId49">
          <w:r>
            <w:rPr>
              <w:rStyle w:val="Hyperlink"/>
            </w:rPr>
            <w:t xml:space="preserve">Source link</w:t>
          </w:r>
        </w:hyperlink>
      </w:hyperlink>
    </w:p>
    <w:p>
      <w:pPr>
        <w:numPr>
          <w:ilvl w:val="0"/>
          <w:numId w:val="1016"/>
        </w:numPr>
        <w:pStyle w:val="Compact"/>
      </w:pPr>
      <w:r>
        <w:t xml:space="preserve">SENA Observatorio Laboral y Ocupacional — Auxiliares en enfermería, CNO 3311:</w:t>
      </w:r>
      <w:r>
        <w:t xml:space="preserve"> </w:t>
      </w:r>
      <w:hyperlink r:id="rId50">
        <w:hyperlink r:id="rId50">
          <w:r>
            <w:rPr>
              <w:rStyle w:val="Hyperlink"/>
            </w:rPr>
            <w:t xml:space="preserve">Source link</w:t>
          </w:r>
        </w:hyperlink>
      </w:hyperlink>
    </w:p>
    <w:p>
      <w:pPr>
        <w:numPr>
          <w:ilvl w:val="0"/>
          <w:numId w:val="1016"/>
        </w:numPr>
        <w:pStyle w:val="Compact"/>
      </w:pPr>
      <w:r>
        <w:t xml:space="preserve">SENA Observatorio — funciones/normas CNO 3311:</w:t>
      </w:r>
      <w:r>
        <w:t xml:space="preserve"> </w:t>
      </w:r>
      <w:hyperlink r:id="rId51">
        <w:hyperlink r:id="rId51">
          <w:r>
            <w:rPr>
              <w:rStyle w:val="Hyperlink"/>
            </w:rPr>
            <w:t xml:space="preserve">Source link</w:t>
          </w:r>
        </w:hyperlink>
      </w:hyperlink>
    </w:p>
    <w:p>
      <w:pPr>
        <w:numPr>
          <w:ilvl w:val="0"/>
          <w:numId w:val="1016"/>
        </w:numPr>
        <w:pStyle w:val="Compact"/>
      </w:pPr>
      <w:r>
        <w:t xml:space="preserve">SENA Betowa — Enfermería, programa 113535:</w:t>
      </w:r>
      <w:r>
        <w:t xml:space="preserve"> </w:t>
      </w:r>
      <w:hyperlink r:id="rId52">
        <w:hyperlink r:id="rId52">
          <w:r>
            <w:rPr>
              <w:rStyle w:val="Hyperlink"/>
            </w:rPr>
            <w:t xml:space="preserve">Source link</w:t>
          </w:r>
        </w:hyperlink>
      </w:hyperlink>
    </w:p>
    <w:p>
      <w:pPr>
        <w:numPr>
          <w:ilvl w:val="0"/>
          <w:numId w:val="1016"/>
        </w:numPr>
        <w:pStyle w:val="Compact"/>
      </w:pPr>
      <w:r>
        <w:t xml:space="preserve">Ministerio de Salud y Protección Social — ReTHUS:</w:t>
      </w:r>
      <w:r>
        <w:t xml:space="preserve"> </w:t>
      </w:r>
      <w:hyperlink r:id="rId53">
        <w:hyperlink r:id="rId53">
          <w:r>
            <w:rPr>
              <w:rStyle w:val="Hyperlink"/>
            </w:rPr>
            <w:t xml:space="preserve">Source link</w:t>
          </w:r>
        </w:hyperlink>
      </w:hyperlink>
    </w:p>
    <w:p>
      <w:pPr>
        <w:numPr>
          <w:ilvl w:val="0"/>
          <w:numId w:val="1016"/>
        </w:numPr>
        <w:pStyle w:val="Compact"/>
      </w:pPr>
      <w:r>
        <w:t xml:space="preserve">OIT/Cinterfor — Red Saber Cuidar:</w:t>
      </w:r>
      <w:r>
        <w:t xml:space="preserve"> </w:t>
      </w:r>
      <w:hyperlink r:id="rId54">
        <w:hyperlink r:id="rId54">
          <w:r>
            <w:rPr>
              <w:rStyle w:val="Hyperlink"/>
            </w:rPr>
            <w:t xml:space="preserve">Source link</w:t>
          </w:r>
        </w:hyperlink>
      </w:hyperlink>
    </w:p>
    <w:p>
      <w:pPr>
        <w:numPr>
          <w:ilvl w:val="0"/>
          <w:numId w:val="1016"/>
        </w:numPr>
        <w:pStyle w:val="Compact"/>
      </w:pPr>
      <w:r>
        <w:t xml:space="preserve">OIT/Cinterfor — iniciativa regional 2026 de cualificaciones del cuidado:</w:t>
      </w:r>
      <w:r>
        <w:t xml:space="preserve"> </w:t>
      </w:r>
      <w:hyperlink r:id="rId55">
        <w:hyperlink r:id="rId55">
          <w:r>
            <w:rPr>
              <w:rStyle w:val="Hyperlink"/>
            </w:rPr>
            <w:t xml:space="preserve">Source link</w:t>
          </w:r>
        </w:hyperlink>
      </w:hyperlink>
    </w:p>
    <w:p>
      <w:pPr>
        <w:pStyle w:val="FirstParagraph"/>
      </w:pPr>
      <w:r>
        <w:t xml:space="preserve">Fuente salarial suplementaria no gubernamental:</w:t>
      </w:r>
    </w:p>
    <w:p>
      <w:pPr>
        <w:numPr>
          <w:ilvl w:val="0"/>
          <w:numId w:val="1017"/>
        </w:numPr>
        <w:pStyle w:val="Compact"/>
      </w:pPr>
      <w:r>
        <w:t xml:space="preserve">Salary.com — Certified Nursing Assistant Salary:</w:t>
      </w:r>
      <w:r>
        <w:t xml:space="preserve"> </w:t>
      </w:r>
      <w:hyperlink r:id="rId56">
        <w:hyperlink r:id="rId56">
          <w:r>
            <w:rPr>
              <w:rStyle w:val="Hyperlink"/>
            </w:rPr>
            <w:t xml:space="preserve">Source link</w:t>
          </w:r>
        </w:hyperlink>
      </w:hyperlink>
    </w:p>
    <w:bookmarkEnd w:id="57"/>
    <w:bookmarkStart w:id="58" w:name="nota-sobre-fuentes-y-revisión"/>
    <w:p>
      <w:pPr>
        <w:pStyle w:val="Heading2"/>
      </w:pPr>
      <w:r>
        <w:t xml:space="preserve">Nota sobre fuentes y revisión</w:t>
      </w:r>
    </w:p>
    <w:p>
      <w:pPr>
        <w:pStyle w:val="FirstParagraph"/>
      </w:pPr>
      <w:r>
        <w:t xml:space="preserve">Esta guía usa investigación de fuentes vigentes registrada el 19 de agosto de 2026. Los salarios, la disponibilidad de formación, las aprobaciones de programas, las reglas de registro, las funciones clínicas delegadas, los requisitos del empleador y el financiamiento pueden cambiar. Revise nuevamente las fuentes oficiales y las vacantes locales vigentes antes de matricularse, pagar o aceptar tareas clínicas.</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acreditación profesional, traducción certificada, revisión legal, aprobación clínica, asesoría financiera ni resultados laborales garantizados.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betowa.sena.edu.co/oferta/enfermeria?level=2&amp;modality=P&amp;programId=113535" TargetMode="External" /><Relationship Type="http://schemas.openxmlformats.org/officeDocument/2006/relationships/hyperlink" Id="rId50" Target="https://observatorio.sena.edu.co/Clasificacion/CnoDetalle?tags=3311" TargetMode="External" /><Relationship Type="http://schemas.openxmlformats.org/officeDocument/2006/relationships/hyperlink" Id="rId51" Target="https://observatorio.sena.edu.co/Clasificacion/CnoDetalleFunciones?tags=3311" TargetMode="External" /><Relationship Type="http://schemas.openxmlformats.org/officeDocument/2006/relationships/hyperlink" Id="rId44" Target="https://www.bls.gov/ooh/healthcare/nursing-assistants.htm" TargetMode="External" /><Relationship Type="http://schemas.openxmlformats.org/officeDocument/2006/relationships/hyperlink" Id="rId47" Target="https://www.careeronestop.org/LocalHelp/AmericanJobCenters/american-job-centers.aspx"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5" Target="https://www.cms.gov/medicare/health-safety-standards/quality-safety-oversight-general-information/policy-memos/policy-memos-states-cms-locations/clarification-regarding-nurse-aide-training-competency-evaluation-program-natcep-nurse-aide" TargetMode="External" /><Relationship Type="http://schemas.openxmlformats.org/officeDocument/2006/relationships/hyperlink" Id="rId48" Target="https://www.jobbank.gc.ca/marketreport/summary-occupation/18350/ca" TargetMode="External" /><Relationship Type="http://schemas.openxmlformats.org/officeDocument/2006/relationships/hyperlink" Id="rId49" Target="https://www.jobbank.gc.ca/wagereport/occupation/15783" TargetMode="External" /><Relationship Type="http://schemas.openxmlformats.org/officeDocument/2006/relationships/hyperlink" Id="rId53" Target="https://www.minsalud.gov.co/salud/PO/Paginas/registro-unico-nacional-del-talento-humano-en-salud-rethus.aspx" TargetMode="External" /><Relationship Type="http://schemas.openxmlformats.org/officeDocument/2006/relationships/hyperlink" Id="rId55" Target="https://www.oitcinterfor.org/ciclo-webinars-red-saber-cuidar" TargetMode="External" /><Relationship Type="http://schemas.openxmlformats.org/officeDocument/2006/relationships/hyperlink" Id="rId54" Target="https://www.oitcinterfor.org/sobre-red-saber-cuidar" TargetMode="External" /><Relationship Type="http://schemas.openxmlformats.org/officeDocument/2006/relationships/hyperlink" Id="rId56" Target="https://www.salary.com/research/salary/benchmark/certified-nursing-assistant-salary" TargetMode="External" /></Relationships>
</file>

<file path=word/_rels/footnotes.xml.rels><?xml version="1.0" encoding="UTF-8"?><Relationships xmlns="http://schemas.openxmlformats.org/package/2006/relationships"><Relationship Type="http://schemas.openxmlformats.org/officeDocument/2006/relationships/hyperlink" Id="rId52" Target="https://betowa.sena.edu.co/oferta/enfermeria?level=2&amp;modality=P&amp;programId=113535" TargetMode="External" /><Relationship Type="http://schemas.openxmlformats.org/officeDocument/2006/relationships/hyperlink" Id="rId50" Target="https://observatorio.sena.edu.co/Clasificacion/CnoDetalle?tags=3311" TargetMode="External" /><Relationship Type="http://schemas.openxmlformats.org/officeDocument/2006/relationships/hyperlink" Id="rId51" Target="https://observatorio.sena.edu.co/Clasificacion/CnoDetalleFunciones?tags=3311" TargetMode="External" /><Relationship Type="http://schemas.openxmlformats.org/officeDocument/2006/relationships/hyperlink" Id="rId44" Target="https://www.bls.gov/ooh/healthcare/nursing-assistants.htm" TargetMode="External" /><Relationship Type="http://schemas.openxmlformats.org/officeDocument/2006/relationships/hyperlink" Id="rId47" Target="https://www.careeronestop.org/LocalHelp/AmericanJobCenters/american-job-centers.aspx"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45" Target="https://www.cms.gov/medicare/health-safety-standards/quality-safety-oversight-general-information/policy-memos/policy-memos-states-cms-locations/clarification-regarding-nurse-aide-training-competency-evaluation-program-natcep-nurse-aide" TargetMode="External" /><Relationship Type="http://schemas.openxmlformats.org/officeDocument/2006/relationships/hyperlink" Id="rId48" Target="https://www.jobbank.gc.ca/marketreport/summary-occupation/18350/ca" TargetMode="External" /><Relationship Type="http://schemas.openxmlformats.org/officeDocument/2006/relationships/hyperlink" Id="rId49" Target="https://www.jobbank.gc.ca/wagereport/occupation/15783" TargetMode="External" /><Relationship Type="http://schemas.openxmlformats.org/officeDocument/2006/relationships/hyperlink" Id="rId53" Target="https://www.minsalud.gov.co/salud/PO/Paginas/registro-unico-nacional-del-talento-humano-en-salud-rethus.aspx" TargetMode="External" /><Relationship Type="http://schemas.openxmlformats.org/officeDocument/2006/relationships/hyperlink" Id="rId55" Target="https://www.oitcinterfor.org/ciclo-webinars-red-saber-cuidar" TargetMode="External" /><Relationship Type="http://schemas.openxmlformats.org/officeDocument/2006/relationships/hyperlink" Id="rId54" Target="https://www.oitcinterfor.org/sobre-red-saber-cuidar" TargetMode="External" /><Relationship Type="http://schemas.openxmlformats.org/officeDocument/2006/relationships/hyperlink" Id="rId56" Target="https://www.salary.com/research/salary/benchmark/certified-nursing-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2026-08-20T04:26:32Z</dcterms:created>
  <dcterms:modified xsi:type="dcterms:W3CDTF">2026-08-20T04:26:32Z</dcterms:modified>
</cp:coreProperties>
</file>

<file path=docProps/custom.xml><?xml version="1.0" encoding="utf-8"?>
<Properties xmlns="http://schemas.openxmlformats.org/officeDocument/2006/custom-properties" xmlns:vt="http://schemas.openxmlformats.org/officeDocument/2006/docPropsVTypes"/>
</file>