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guía-57--reparador-de-equipos-médicos"/>
    <w:p>
      <w:pPr>
        <w:pStyle w:val="Heading1"/>
      </w:pPr>
      <w:r>
        <w:t xml:space="preserve">Guía 57 — Reparador de Equipos Médicos</w:t>
      </w:r>
    </w:p>
    <w:p>
      <w:pPr>
        <w:pStyle w:val="FirstParagraph"/>
      </w:pPr>
      <w:r>
        <w:rPr>
          <w:bCs/>
          <w:b/>
        </w:rPr>
        <w:t xml:space="preserve">Maestro de trabajo controlado en español latinoamericano neutral — Versión 1.0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reparadores de equipos médicos instalan, inspeccionan, mantienen, diagnostican fallas, calibran y reparan equipos utilizados en la atención de pacientes. Los empleadores pueden usar títulos como</w:t>
      </w:r>
      <w:r>
        <w:t xml:space="preserve"> </w:t>
      </w:r>
      <w:r>
        <w:rPr>
          <w:bCs/>
          <w:b/>
        </w:rPr>
        <w:t xml:space="preserve">reparador de equipos médicos</w:t>
      </w:r>
      <w:r>
        <w:t xml:space="preserve">,</w:t>
      </w:r>
      <w:r>
        <w:t xml:space="preserve"> </w:t>
      </w:r>
      <w:r>
        <w:rPr>
          <w:bCs/>
          <w:b/>
        </w:rPr>
        <w:t xml:space="preserve">técnico en equipos biomédicos (BMET)</w:t>
      </w:r>
      <w:r>
        <w:t xml:space="preserve">,</w:t>
      </w:r>
      <w:r>
        <w:t xml:space="preserve"> </w:t>
      </w:r>
      <w:r>
        <w:rPr>
          <w:bCs/>
          <w:b/>
        </w:rPr>
        <w:t xml:space="preserve">técnico biomédico</w:t>
      </w:r>
      <w:r>
        <w:t xml:space="preserve">,</w:t>
      </w:r>
      <w:r>
        <w:t xml:space="preserve"> </w:t>
      </w:r>
      <w:r>
        <w:rPr>
          <w:bCs/>
          <w:b/>
        </w:rPr>
        <w:t xml:space="preserve">técnico de ingeniería clínica</w:t>
      </w:r>
      <w:r>
        <w:t xml:space="preserve">,</w:t>
      </w:r>
      <w:r>
        <w:t xml:space="preserve"> </w:t>
      </w:r>
      <w:r>
        <w:rPr>
          <w:bCs/>
          <w:b/>
        </w:rPr>
        <w:t xml:space="preserve">técnico de servicio de campo</w:t>
      </w:r>
      <w:r>
        <w:t xml:space="preserve"> </w:t>
      </w:r>
      <w:r>
        <w:t xml:space="preserve">u otros similares. Los títulos y el alcance varían según el empleador y la jurisdicción.</w:t>
      </w:r>
    </w:p>
    <w:p>
      <w:pPr>
        <w:pStyle w:val="BodyText"/>
      </w:pPr>
      <w:r>
        <w:t xml:space="preserve">Esta ocupación se encuentra en la intersección de la electrónica, la mecánica, el software, las redes, los sistemas de calidad, la seguridad y las operaciones de salud. El trabajo puede abarcar desde dispositivos sencillos hasta sistemas complejos que afectan el diagnóstico, el monitoreo, la terapia o el soporte vital.</w:t>
      </w:r>
    </w:p>
    <w:p>
      <w:pPr>
        <w:pStyle w:val="BodyText"/>
      </w:pPr>
      <w:r>
        <w:t xml:space="preserve">Un título de puesto nunca autoriza a realizar cualquier tarea posible. Trabaje únicamente dentro de su capacitación, la autorización del empleador, los procedimientos del fabricante, la regulación aplicable y el alcance específico de servicio que se le haya asignado.</w:t>
      </w:r>
    </w:p>
    <w:bookmarkEnd w:id="20"/>
    <w:bookmarkStart w:id="21" w:name="X2537ff41bccb7056df4a2fd56be628ffc471fed"/>
    <w:p>
      <w:pPr>
        <w:pStyle w:val="Heading2"/>
      </w:pPr>
      <w:r>
        <w:t xml:space="preserve">Qué puede hacer un reparador de equipos médicos</w:t>
      </w:r>
    </w:p>
    <w:p>
      <w:pPr>
        <w:pStyle w:val="FirstParagraph"/>
      </w:pPr>
      <w:r>
        <w:t xml:space="preserve">Según la capacitación, la autorización, la clase de equipo y el empleador, el trabajo típico puede incluir:</w:t>
      </w:r>
    </w:p>
    <w:p>
      <w:pPr>
        <w:numPr>
          <w:ilvl w:val="0"/>
          <w:numId w:val="1001"/>
        </w:numPr>
        <w:pStyle w:val="Compact"/>
      </w:pPr>
      <w:r>
        <w:t xml:space="preserve">recibir e inspeccionar equipos nuevos;</w:t>
      </w:r>
    </w:p>
    <w:p>
      <w:pPr>
        <w:numPr>
          <w:ilvl w:val="0"/>
          <w:numId w:val="1001"/>
        </w:numPr>
        <w:pStyle w:val="Compact"/>
      </w:pPr>
      <w:r>
        <w:t xml:space="preserve">instalar equipos y verificar su funcionamiento básico;</w:t>
      </w:r>
    </w:p>
    <w:p>
      <w:pPr>
        <w:numPr>
          <w:ilvl w:val="0"/>
          <w:numId w:val="1001"/>
        </w:numPr>
        <w:pStyle w:val="Compact"/>
      </w:pPr>
      <w:r>
        <w:t xml:space="preserve">realizar mantenimiento preventivo programado;</w:t>
      </w:r>
    </w:p>
    <w:p>
      <w:pPr>
        <w:numPr>
          <w:ilvl w:val="0"/>
          <w:numId w:val="1001"/>
        </w:numPr>
        <w:pStyle w:val="Compact"/>
      </w:pPr>
      <w:r>
        <w:t xml:space="preserve">inspeccionar cables, conectores, baterías, sensores, carcasas, controles, alarmas, accesorios y otros componentes;</w:t>
      </w:r>
    </w:p>
    <w:p>
      <w:pPr>
        <w:numPr>
          <w:ilvl w:val="0"/>
          <w:numId w:val="1001"/>
        </w:numPr>
        <w:pStyle w:val="Compact"/>
      </w:pPr>
      <w:r>
        <w:t xml:space="preserve">usar equipos de prueba aprobados para verificar parámetros eléctricos, mecánicos, ambientales o de desempeño;</w:t>
      </w:r>
    </w:p>
    <w:p>
      <w:pPr>
        <w:numPr>
          <w:ilvl w:val="0"/>
          <w:numId w:val="1001"/>
        </w:numPr>
        <w:pStyle w:val="Compact"/>
      </w:pPr>
      <w:r>
        <w:t xml:space="preserve">diagnosticar fallas utilizando documentación de servicio y herramientas de diagnóstico aprobadas;</w:t>
      </w:r>
    </w:p>
    <w:p>
      <w:pPr>
        <w:numPr>
          <w:ilvl w:val="0"/>
          <w:numId w:val="1001"/>
        </w:numPr>
        <w:pStyle w:val="Compact"/>
      </w:pPr>
      <w:r>
        <w:t xml:space="preserve">reemplazar piezas y conjuntos autorizados;</w:t>
      </w:r>
    </w:p>
    <w:p>
      <w:pPr>
        <w:numPr>
          <w:ilvl w:val="0"/>
          <w:numId w:val="1001"/>
        </w:numPr>
        <w:pStyle w:val="Compact"/>
      </w:pPr>
      <w:r>
        <w:t xml:space="preserve">calibrar o verificar equipos de acuerdo con procedimientos aprobados;</w:t>
      </w:r>
    </w:p>
    <w:p>
      <w:pPr>
        <w:numPr>
          <w:ilvl w:val="0"/>
          <w:numId w:val="1001"/>
        </w:numPr>
        <w:pStyle w:val="Compact"/>
      </w:pPr>
      <w:r>
        <w:t xml:space="preserve">documentar mantenimiento, piezas, mediciones, estado de software/firmware, acciones correctivas y resultados de retorno al servicio;</w:t>
      </w:r>
    </w:p>
    <w:p>
      <w:pPr>
        <w:numPr>
          <w:ilvl w:val="0"/>
          <w:numId w:val="1001"/>
        </w:numPr>
        <w:pStyle w:val="Compact"/>
      </w:pPr>
      <w:r>
        <w:t xml:space="preserve">apoyar registros de inventario, retiros, alertas e historial de servicio del equipo;</w:t>
      </w:r>
    </w:p>
    <w:p>
      <w:pPr>
        <w:numPr>
          <w:ilvl w:val="0"/>
          <w:numId w:val="1001"/>
        </w:numPr>
        <w:pStyle w:val="Compact"/>
      </w:pPr>
      <w:r>
        <w:t xml:space="preserve">coordinar con fabricantes, proveedores, ingeniería clínica, tecnología de la información, ciberseguridad, instalaciones, prevención de infecciones y usuarios clínicos;</w:t>
      </w:r>
    </w:p>
    <w:p>
      <w:pPr>
        <w:numPr>
          <w:ilvl w:val="0"/>
          <w:numId w:val="1001"/>
        </w:numPr>
        <w:pStyle w:val="Compact"/>
      </w:pPr>
      <w:r>
        <w:t xml:space="preserve">ayudar a identificar fallas repetidas, riesgos de seguridad o tendencias anormales; y</w:t>
      </w:r>
    </w:p>
    <w:p>
      <w:pPr>
        <w:numPr>
          <w:ilvl w:val="0"/>
          <w:numId w:val="1001"/>
        </w:numPr>
        <w:pStyle w:val="Compact"/>
      </w:pPr>
      <w:r>
        <w:t xml:space="preserve">escalar incidentes, defectos sospechados, preocupaciones de ciberseguridad o trabajos fuera de los procedimientos de servicio autorizados.</w:t>
      </w:r>
    </w:p>
    <w:p>
      <w:pPr>
        <w:pStyle w:val="FirstParagraph"/>
      </w:pPr>
      <w:r>
        <w:t xml:space="preserve">Algunos puestos implican viajes de campo, recorridos hospitalarios, trabajo de taller, reparación en banco, soporte de dispositivos conectados a red o cobertura de guardia.</w:t>
      </w:r>
    </w:p>
    <w:bookmarkEnd w:id="21"/>
    <w:bookmarkStart w:id="22" w:name="lo-que-este-rol-no-debe-asumir"/>
    <w:p>
      <w:pPr>
        <w:pStyle w:val="Heading2"/>
      </w:pPr>
      <w:r>
        <w:t xml:space="preserve">Lo que este rol no debe asumir</w:t>
      </w:r>
    </w:p>
    <w:p>
      <w:pPr>
        <w:pStyle w:val="FirstParagraph"/>
      </w:pPr>
      <w:r>
        <w:t xml:space="preserve">No realice de forma independiente:</w:t>
      </w:r>
    </w:p>
    <w:p>
      <w:pPr>
        <w:numPr>
          <w:ilvl w:val="0"/>
          <w:numId w:val="1002"/>
        </w:numPr>
        <w:pStyle w:val="Compact"/>
      </w:pPr>
      <w:r>
        <w:t xml:space="preserve">diagnóstico de pacientes ni decisiones de tratamiento;</w:t>
      </w:r>
    </w:p>
    <w:p>
      <w:pPr>
        <w:numPr>
          <w:ilvl w:val="0"/>
          <w:numId w:val="1002"/>
        </w:numPr>
        <w:pStyle w:val="Compact"/>
      </w:pPr>
      <w:r>
        <w:t xml:space="preserve">cambios de parámetros clínicos porque considere que otra terapia sería mejor;</w:t>
      </w:r>
    </w:p>
    <w:p>
      <w:pPr>
        <w:numPr>
          <w:ilvl w:val="0"/>
          <w:numId w:val="1002"/>
        </w:numPr>
        <w:pStyle w:val="Compact"/>
      </w:pPr>
      <w:r>
        <w:t xml:space="preserve">desactivación de alarmas de seguridad, enclavamientos, protecciones de puesta a tierra, controles de acceso u otras salvaguardas simplemente para lograr que el equipo funcione;</w:t>
      </w:r>
    </w:p>
    <w:p>
      <w:pPr>
        <w:numPr>
          <w:ilvl w:val="0"/>
          <w:numId w:val="1002"/>
        </w:numPr>
        <w:pStyle w:val="Compact"/>
      </w:pPr>
      <w:r>
        <w:t xml:space="preserve">instalación de piezas, firmware, software, parches, controladores o cambios de configuración no aprobados;</w:t>
      </w:r>
    </w:p>
    <w:p>
      <w:pPr>
        <w:numPr>
          <w:ilvl w:val="0"/>
          <w:numId w:val="1002"/>
        </w:numPr>
        <w:pStyle w:val="Compact"/>
      </w:pPr>
      <w:r>
        <w:t xml:space="preserve">alteración del uso previsto de un dispositivo o cambios materiales en sus especificaciones de seguridad/desempeño sin el proceso requerido de ingeniería, calidad, fabricante y regulación;</w:t>
      </w:r>
    </w:p>
    <w:p>
      <w:pPr>
        <w:numPr>
          <w:ilvl w:val="0"/>
          <w:numId w:val="1002"/>
        </w:numPr>
        <w:pStyle w:val="Compact"/>
      </w:pPr>
      <w:r>
        <w:t xml:space="preserve">omisión de pasos obligatorios de calibración, pruebas, documentación, control de infecciones o retorno al servicio;</w:t>
      </w:r>
    </w:p>
    <w:p>
      <w:pPr>
        <w:numPr>
          <w:ilvl w:val="0"/>
          <w:numId w:val="1002"/>
        </w:numPr>
        <w:pStyle w:val="Compact"/>
      </w:pPr>
      <w:r>
        <w:t xml:space="preserve">falsificación de registros de servicio, resultados de prueba, números de serie, piezas, información de incidentes o fechas de mantenimiento;</w:t>
      </w:r>
    </w:p>
    <w:p>
      <w:pPr>
        <w:numPr>
          <w:ilvl w:val="0"/>
          <w:numId w:val="1002"/>
        </w:numPr>
        <w:pStyle w:val="Compact"/>
      </w:pPr>
      <w:r>
        <w:t xml:space="preserve">uso de credenciales de otra persona o intercambio de contraseñas de servicio; ni</w:t>
      </w:r>
    </w:p>
    <w:p>
      <w:pPr>
        <w:numPr>
          <w:ilvl w:val="0"/>
          <w:numId w:val="1002"/>
        </w:numPr>
        <w:pStyle w:val="Compact"/>
      </w:pPr>
      <w:r>
        <w:t xml:space="preserve">ocultamiento de una falla o evento adverso que pueda haber afectado la seguridad del paciente o del operador.</w:t>
      </w:r>
    </w:p>
    <w:p>
      <w:pPr>
        <w:pStyle w:val="FirstParagraph"/>
      </w:pPr>
      <w:r>
        <w:t xml:space="preserve">Cuando una tarea pueda cruzar de servicio ordinario a modificación o remanufactura, deténgase y escale antes de continuar.</w:t>
      </w:r>
    </w:p>
    <w:bookmarkEnd w:id="22"/>
    <w:bookmarkStart w:id="23" w:name="Xfa920d59921d73534d65176690123cdf98f1e81"/>
    <w:p>
      <w:pPr>
        <w:pStyle w:val="Heading2"/>
      </w:pPr>
      <w:r>
        <w:t xml:space="preserve">Servicio frente a remanufactura — Estados Unidos</w:t>
      </w:r>
    </w:p>
    <w:p>
      <w:pPr>
        <w:pStyle w:val="FirstParagraph"/>
      </w:pPr>
      <w:r>
        <w:t xml:space="preserve">La Administración de Alimentos y Medicamentos de Estados Unidos (FDA) distingue entre</w:t>
      </w:r>
      <w:r>
        <w:t xml:space="preserve"> </w:t>
      </w:r>
      <w:r>
        <w:rPr>
          <w:bCs/>
          <w:b/>
        </w:rPr>
        <w:t xml:space="preserve">servicio</w:t>
      </w:r>
      <w:r>
        <w:t xml:space="preserve"> </w:t>
      </w:r>
      <w:r>
        <w:t xml:space="preserve">y</w:t>
      </w:r>
      <w:r>
        <w:t xml:space="preserve"> </w:t>
      </w:r>
      <w:r>
        <w:rPr>
          <w:bCs/>
          <w:b/>
        </w:rPr>
        <w:t xml:space="preserve">remanufactura</w:t>
      </w:r>
      <w:r>
        <w:t xml:space="preserve">.</w:t>
      </w:r>
    </w:p>
    <w:p>
      <w:pPr>
        <w:pStyle w:val="BodyText"/>
      </w:pPr>
      <w:r>
        <w:t xml:space="preserve">En el marco de la FDA, el servicio generalmente significa reparación, mantenimiento preventivo o mantenimiento rutinario destinado a devolver un dispositivo terminado a las especificaciones de seguridad y desempeño del fabricante original y a su uso previsto original.</w:t>
      </w:r>
    </w:p>
    <w:p>
      <w:pPr>
        <w:pStyle w:val="BodyText"/>
      </w:pPr>
      <w:r>
        <w:t xml:space="preserve">La remanufactura puede incluir actividades que cambian de manera significativa las especificaciones de desempeño o seguridad de un dispositivo terminado o su uso previsto. La etiqueta que una empresa le dé al trabajo no determina su clasificación regulatoria; importa lo que la actividad realmente hace al dispositivo.</w:t>
      </w:r>
    </w:p>
    <w:p>
      <w:pPr>
        <w:pStyle w:val="BodyText"/>
      </w:pPr>
      <w:r>
        <w:t xml:space="preserve">Para un técnico individual, la regla práctica es sencilla:</w:t>
      </w:r>
      <w:r>
        <w:t xml:space="preserve"> </w:t>
      </w:r>
      <w:r>
        <w:rPr>
          <w:bCs/>
          <w:b/>
        </w:rPr>
        <w:t xml:space="preserve">no improvise un cambio de diseño bajo la etiqueta de reparación</w:t>
      </w:r>
      <w:r>
        <w:t xml:space="preserve">. Si un cambio propuesto está fuera de las instrucciones de servicio aprobadas o podría afectar materialmente la seguridad, el desempeño, la ciberseguridad, el etiquetado o el uso previsto, escale a las funciones responsables de ingeniería, calidad, fabricante y regulación.</w:t>
      </w:r>
    </w:p>
    <w:bookmarkEnd w:id="23"/>
    <w:bookmarkStart w:id="24" w:name="seguridad-del-paciente-y-del-trabajador"/>
    <w:p>
      <w:pPr>
        <w:pStyle w:val="Heading2"/>
      </w:pPr>
      <w:r>
        <w:t xml:space="preserve">Seguridad del paciente y del trabajador</w:t>
      </w:r>
    </w:p>
    <w:p>
      <w:pPr>
        <w:pStyle w:val="FirstParagraph"/>
      </w:pPr>
      <w:r>
        <w:t xml:space="preserve">El servicio de equipos médicos puede exponer a riesgos graves. Según el dispositivo y el entorno, los riesgos pueden incluir:</w:t>
      </w:r>
    </w:p>
    <w:p>
      <w:pPr>
        <w:numPr>
          <w:ilvl w:val="0"/>
          <w:numId w:val="1003"/>
        </w:numPr>
        <w:pStyle w:val="Compact"/>
      </w:pPr>
      <w:r>
        <w:t xml:space="preserve">tensión de línea y energía eléctrica almacenada;</w:t>
      </w:r>
    </w:p>
    <w:p>
      <w:pPr>
        <w:numPr>
          <w:ilvl w:val="0"/>
          <w:numId w:val="1003"/>
        </w:numPr>
        <w:pStyle w:val="Compact"/>
      </w:pPr>
      <w:r>
        <w:t xml:space="preserve">capacitores de alto voltaje;</w:t>
      </w:r>
    </w:p>
    <w:p>
      <w:pPr>
        <w:numPr>
          <w:ilvl w:val="0"/>
          <w:numId w:val="1003"/>
        </w:numPr>
        <w:pStyle w:val="Compact"/>
      </w:pPr>
      <w:r>
        <w:t xml:space="preserve">baterías y fuga térmica;</w:t>
      </w:r>
    </w:p>
    <w:p>
      <w:pPr>
        <w:numPr>
          <w:ilvl w:val="0"/>
          <w:numId w:val="1003"/>
        </w:numPr>
        <w:pStyle w:val="Compact"/>
      </w:pPr>
      <w:r>
        <w:t xml:space="preserve">partes mecánicas móviles;</w:t>
      </w:r>
    </w:p>
    <w:p>
      <w:pPr>
        <w:numPr>
          <w:ilvl w:val="0"/>
          <w:numId w:val="1003"/>
        </w:numPr>
        <w:pStyle w:val="Compact"/>
      </w:pPr>
      <w:r>
        <w:t xml:space="preserve">sistemas de gas comprimido o presión;</w:t>
      </w:r>
    </w:p>
    <w:p>
      <w:pPr>
        <w:numPr>
          <w:ilvl w:val="0"/>
          <w:numId w:val="1003"/>
        </w:numPr>
        <w:pStyle w:val="Compact"/>
      </w:pPr>
      <w:r>
        <w:t xml:space="preserve">superficies calientes;</w:t>
      </w:r>
    </w:p>
    <w:p>
      <w:pPr>
        <w:numPr>
          <w:ilvl w:val="0"/>
          <w:numId w:val="1003"/>
        </w:numPr>
        <w:pStyle w:val="Compact"/>
      </w:pPr>
      <w:r>
        <w:t xml:space="preserve">láseres o radiación óptica;</w:t>
      </w:r>
    </w:p>
    <w:p>
      <w:pPr>
        <w:numPr>
          <w:ilvl w:val="0"/>
          <w:numId w:val="1003"/>
        </w:numPr>
        <w:pStyle w:val="Compact"/>
      </w:pPr>
      <w:r>
        <w:t xml:space="preserve">entornos con radiación ionizante;</w:t>
      </w:r>
    </w:p>
    <w:p>
      <w:pPr>
        <w:numPr>
          <w:ilvl w:val="0"/>
          <w:numId w:val="1003"/>
        </w:numPr>
        <w:pStyle w:val="Compact"/>
      </w:pPr>
      <w:r>
        <w:t xml:space="preserve">riesgos por campos magnéticos;</w:t>
      </w:r>
    </w:p>
    <w:p>
      <w:pPr>
        <w:numPr>
          <w:ilvl w:val="0"/>
          <w:numId w:val="1003"/>
        </w:numPr>
        <w:pStyle w:val="Compact"/>
      </w:pPr>
      <w:r>
        <w:t xml:space="preserve">contaminación biológica;</w:t>
      </w:r>
    </w:p>
    <w:p>
      <w:pPr>
        <w:numPr>
          <w:ilvl w:val="0"/>
          <w:numId w:val="1003"/>
        </w:numPr>
        <w:pStyle w:val="Compact"/>
      </w:pPr>
      <w:r>
        <w:t xml:space="preserve">objetos punzocortantes o exposición a fluidos corporales;</w:t>
      </w:r>
    </w:p>
    <w:p>
      <w:pPr>
        <w:numPr>
          <w:ilvl w:val="0"/>
          <w:numId w:val="1003"/>
        </w:numPr>
        <w:pStyle w:val="Compact"/>
      </w:pPr>
      <w:r>
        <w:t xml:space="preserve">sustancias químicas peligrosas;</w:t>
      </w:r>
    </w:p>
    <w:p>
      <w:pPr>
        <w:numPr>
          <w:ilvl w:val="0"/>
          <w:numId w:val="1003"/>
        </w:numPr>
        <w:pStyle w:val="Compact"/>
      </w:pPr>
      <w:r>
        <w:t xml:space="preserve">equipos pesados o difíciles de mover;</w:t>
      </w:r>
    </w:p>
    <w:p>
      <w:pPr>
        <w:numPr>
          <w:ilvl w:val="0"/>
          <w:numId w:val="1003"/>
        </w:numPr>
        <w:pStyle w:val="Compact"/>
      </w:pPr>
      <w:r>
        <w:t xml:space="preserve">riesgos de tropiezo y ergonómicos; y</w:t>
      </w:r>
    </w:p>
    <w:p>
      <w:pPr>
        <w:numPr>
          <w:ilvl w:val="0"/>
          <w:numId w:val="1003"/>
        </w:numPr>
        <w:pStyle w:val="Compact"/>
      </w:pPr>
      <w:r>
        <w:t xml:space="preserve">activación inesperada del dispositivo.</w:t>
      </w:r>
    </w:p>
    <w:p>
      <w:pPr>
        <w:pStyle w:val="FirstParagraph"/>
      </w:pPr>
      <w:r>
        <w:t xml:space="preserve">Use el procedimiento de bloqueo/etiquetado o control de energía del empleador cuando corresponda. Siga los requisitos de equipo de protección personal, prevención de infecciones, descontaminación, seguridad eléctrica, seguridad radiológica, levantamiento y aislamiento del equipo.</w:t>
      </w:r>
    </w:p>
    <w:p>
      <w:pPr>
        <w:pStyle w:val="BodyText"/>
      </w:pPr>
      <w:r>
        <w:t xml:space="preserve">No dé servicio a un equipo contaminado como si fuera un producto electrónico de consumo. Confirme el proceso requerido de descontaminación y control de infecciones antes de abrir o transportar un equipo cuando pueda existir exposición.</w:t>
      </w:r>
    </w:p>
    <w:bookmarkEnd w:id="24"/>
    <w:bookmarkStart w:id="25" w:name="disciplina-de-retorno-al-servicio"/>
    <w:p>
      <w:pPr>
        <w:pStyle w:val="Heading2"/>
      </w:pPr>
      <w:r>
        <w:t xml:space="preserve">Disciplina de retorno al servicio</w:t>
      </w:r>
    </w:p>
    <w:p>
      <w:pPr>
        <w:pStyle w:val="FirstParagraph"/>
      </w:pPr>
      <w:r>
        <w:t xml:space="preserve">Una reparación no está terminada simplemente porque el dispositivo encienda.</w:t>
      </w:r>
    </w:p>
    <w:p>
      <w:pPr>
        <w:pStyle w:val="BodyText"/>
      </w:pPr>
      <w:r>
        <w:t xml:space="preserve">Antes de devolverlo al servicio, siga el procedimiento aplicable para:</w:t>
      </w:r>
    </w:p>
    <w:p>
      <w:pPr>
        <w:numPr>
          <w:ilvl w:val="0"/>
          <w:numId w:val="1004"/>
        </w:numPr>
        <w:pStyle w:val="Compact"/>
      </w:pPr>
      <w:r>
        <w:t xml:space="preserve">verificación funcional;</w:t>
      </w:r>
    </w:p>
    <w:p>
      <w:pPr>
        <w:numPr>
          <w:ilvl w:val="0"/>
          <w:numId w:val="1004"/>
        </w:numPr>
        <w:pStyle w:val="Compact"/>
      </w:pPr>
      <w:r>
        <w:t xml:space="preserve">calibración o verificación de desempeño cuando corresponda;</w:t>
      </w:r>
    </w:p>
    <w:p>
      <w:pPr>
        <w:numPr>
          <w:ilvl w:val="0"/>
          <w:numId w:val="1004"/>
        </w:numPr>
        <w:pStyle w:val="Compact"/>
      </w:pPr>
      <w:r>
        <w:t xml:space="preserve">pruebas de alarmas y seguridad;</w:t>
      </w:r>
    </w:p>
    <w:p>
      <w:pPr>
        <w:numPr>
          <w:ilvl w:val="0"/>
          <w:numId w:val="1004"/>
        </w:numPr>
        <w:pStyle w:val="Compact"/>
      </w:pPr>
      <w:r>
        <w:t xml:space="preserve">pruebas de seguridad eléctrica cuando correspondan;</w:t>
      </w:r>
    </w:p>
    <w:p>
      <w:pPr>
        <w:numPr>
          <w:ilvl w:val="0"/>
          <w:numId w:val="1004"/>
        </w:numPr>
        <w:pStyle w:val="Compact"/>
      </w:pPr>
      <w:r>
        <w:t xml:space="preserve">verificación de accesorios y batería;</w:t>
      </w:r>
    </w:p>
    <w:p>
      <w:pPr>
        <w:numPr>
          <w:ilvl w:val="0"/>
          <w:numId w:val="1004"/>
        </w:numPr>
        <w:pStyle w:val="Compact"/>
      </w:pPr>
      <w:r>
        <w:t xml:space="preserve">confirmación de software/firmware/configuración;</w:t>
      </w:r>
    </w:p>
    <w:p>
      <w:pPr>
        <w:numPr>
          <w:ilvl w:val="0"/>
          <w:numId w:val="1004"/>
        </w:numPr>
        <w:pStyle w:val="Compact"/>
      </w:pPr>
      <w:r>
        <w:t xml:space="preserve">etiquetas, sellos, cubiertas, sujetadores y protecciones;</w:t>
      </w:r>
    </w:p>
    <w:p>
      <w:pPr>
        <w:numPr>
          <w:ilvl w:val="0"/>
          <w:numId w:val="1004"/>
        </w:numPr>
        <w:pStyle w:val="Compact"/>
      </w:pPr>
      <w:r>
        <w:t xml:space="preserve">estado de limpieza/descontaminación;</w:t>
      </w:r>
    </w:p>
    <w:p>
      <w:pPr>
        <w:numPr>
          <w:ilvl w:val="0"/>
          <w:numId w:val="1004"/>
        </w:numPr>
        <w:pStyle w:val="Compact"/>
      </w:pPr>
      <w:r>
        <w:t xml:space="preserve">documentación de piezas y mediciones;</w:t>
      </w:r>
    </w:p>
    <w:p>
      <w:pPr>
        <w:numPr>
          <w:ilvl w:val="0"/>
          <w:numId w:val="1004"/>
        </w:numPr>
        <w:pStyle w:val="Compact"/>
      </w:pPr>
      <w:r>
        <w:t xml:space="preserve">limitaciones o excepciones no resueltas; y</w:t>
      </w:r>
    </w:p>
    <w:p>
      <w:pPr>
        <w:numPr>
          <w:ilvl w:val="0"/>
          <w:numId w:val="1004"/>
        </w:numPr>
        <w:pStyle w:val="Compact"/>
      </w:pPr>
      <w:r>
        <w:t xml:space="preserve">revisión o aprobación requerida.</w:t>
      </w:r>
    </w:p>
    <w:p>
      <w:pPr>
        <w:pStyle w:val="FirstParagraph"/>
      </w:pPr>
      <w:r>
        <w:t xml:space="preserve">Si un dispositivo no puede cumplir los criterios de aceptación obligatorios, manténgalo fuera de servicio y escale el problema en lugar de cambiar los criterios para hacer que la reparación apruebe.</w:t>
      </w:r>
    </w:p>
    <w:bookmarkEnd w:id="25"/>
    <w:bookmarkStart w:id="26" w:name="documentación-y-trazabilidad"/>
    <w:p>
      <w:pPr>
        <w:pStyle w:val="Heading2"/>
      </w:pPr>
      <w:r>
        <w:t xml:space="preserve">Documentación y trazabilidad</w:t>
      </w:r>
    </w:p>
    <w:p>
      <w:pPr>
        <w:pStyle w:val="FirstParagraph"/>
      </w:pPr>
      <w:r>
        <w:t xml:space="preserve">Los registros de servicio de alta calidad ayudan a proteger a pacientes, trabajadores, empleadores, fabricantes y futuros técnicos.</w:t>
      </w:r>
    </w:p>
    <w:p>
      <w:pPr>
        <w:pStyle w:val="BodyText"/>
      </w:pPr>
      <w:r>
        <w:t xml:space="preserve">Documente la información requerida por el empleador y el procedimiento, que puede incluir:</w:t>
      </w:r>
    </w:p>
    <w:p>
      <w:pPr>
        <w:numPr>
          <w:ilvl w:val="0"/>
          <w:numId w:val="1005"/>
        </w:numPr>
        <w:pStyle w:val="Compact"/>
      </w:pPr>
      <w:r>
        <w:t xml:space="preserve">número de activo y número de serie;</w:t>
      </w:r>
    </w:p>
    <w:p>
      <w:pPr>
        <w:numPr>
          <w:ilvl w:val="0"/>
          <w:numId w:val="1005"/>
        </w:numPr>
        <w:pStyle w:val="Compact"/>
      </w:pPr>
      <w:r>
        <w:t xml:space="preserve">modelo y fabricante;</w:t>
      </w:r>
    </w:p>
    <w:p>
      <w:pPr>
        <w:numPr>
          <w:ilvl w:val="0"/>
          <w:numId w:val="1005"/>
        </w:numPr>
        <w:pStyle w:val="Compact"/>
      </w:pPr>
      <w:r>
        <w:t xml:space="preserve">solicitud de servicio o número de orden de trabajo;</w:t>
      </w:r>
    </w:p>
    <w:p>
      <w:pPr>
        <w:numPr>
          <w:ilvl w:val="0"/>
          <w:numId w:val="1005"/>
        </w:numPr>
        <w:pStyle w:val="Compact"/>
      </w:pPr>
      <w:r>
        <w:t xml:space="preserve">problema reportado;</w:t>
      </w:r>
    </w:p>
    <w:p>
      <w:pPr>
        <w:numPr>
          <w:ilvl w:val="0"/>
          <w:numId w:val="1005"/>
        </w:numPr>
        <w:pStyle w:val="Compact"/>
      </w:pPr>
      <w:r>
        <w:t xml:space="preserve">hallazgos de inspección;</w:t>
      </w:r>
    </w:p>
    <w:p>
      <w:pPr>
        <w:numPr>
          <w:ilvl w:val="0"/>
          <w:numId w:val="1005"/>
        </w:numPr>
        <w:pStyle w:val="Compact"/>
      </w:pPr>
      <w:r>
        <w:t xml:space="preserve">piezas reemplazadas;</w:t>
      </w:r>
    </w:p>
    <w:p>
      <w:pPr>
        <w:numPr>
          <w:ilvl w:val="0"/>
          <w:numId w:val="1005"/>
        </w:numPr>
        <w:pStyle w:val="Compact"/>
      </w:pPr>
      <w:r>
        <w:t xml:space="preserve">mediciones y equipo de prueba utilizado;</w:t>
      </w:r>
    </w:p>
    <w:p>
      <w:pPr>
        <w:numPr>
          <w:ilvl w:val="0"/>
          <w:numId w:val="1005"/>
        </w:numPr>
        <w:pStyle w:val="Compact"/>
      </w:pPr>
      <w:r>
        <w:t xml:space="preserve">resultados de calibración o verificación;</w:t>
      </w:r>
    </w:p>
    <w:p>
      <w:pPr>
        <w:numPr>
          <w:ilvl w:val="0"/>
          <w:numId w:val="1005"/>
        </w:numPr>
        <w:pStyle w:val="Compact"/>
      </w:pPr>
      <w:r>
        <w:t xml:space="preserve">estado de firmware/software/configuración cuando sea relevante;</w:t>
      </w:r>
    </w:p>
    <w:p>
      <w:pPr>
        <w:numPr>
          <w:ilvl w:val="0"/>
          <w:numId w:val="1005"/>
        </w:numPr>
        <w:pStyle w:val="Compact"/>
      </w:pPr>
      <w:r>
        <w:t xml:space="preserve">acción correctiva;</w:t>
      </w:r>
    </w:p>
    <w:p>
      <w:pPr>
        <w:numPr>
          <w:ilvl w:val="0"/>
          <w:numId w:val="1005"/>
        </w:numPr>
        <w:pStyle w:val="Compact"/>
      </w:pPr>
      <w:r>
        <w:t xml:space="preserve">preocupaciones no resueltas;</w:t>
      </w:r>
    </w:p>
    <w:p>
      <w:pPr>
        <w:numPr>
          <w:ilvl w:val="0"/>
          <w:numId w:val="1005"/>
        </w:numPr>
        <w:pStyle w:val="Compact"/>
      </w:pPr>
      <w:r>
        <w:t xml:space="preserve">vinculación con incidentes o alertas; y</w:t>
      </w:r>
    </w:p>
    <w:p>
      <w:pPr>
        <w:numPr>
          <w:ilvl w:val="0"/>
          <w:numId w:val="1005"/>
        </w:numPr>
        <w:pStyle w:val="Compact"/>
      </w:pPr>
      <w:r>
        <w:t xml:space="preserve">estado de retorno al servicio.</w:t>
      </w:r>
    </w:p>
    <w:p>
      <w:pPr>
        <w:pStyle w:val="FirstParagraph"/>
      </w:pPr>
      <w:r>
        <w:t xml:space="preserve">Nunca antedate, invente, copie hacia adelante ni altere resultados para hacer que un registro parezca completo.</w:t>
      </w:r>
    </w:p>
    <w:bookmarkEnd w:id="26"/>
    <w:bookmarkStart w:id="27" w:name="ciberseguridad-de-dispositivos-médicos"/>
    <w:p>
      <w:pPr>
        <w:pStyle w:val="Heading2"/>
      </w:pPr>
      <w:r>
        <w:t xml:space="preserve">Ciberseguridad de dispositivos médicos</w:t>
      </w:r>
    </w:p>
    <w:p>
      <w:pPr>
        <w:pStyle w:val="FirstParagraph"/>
      </w:pPr>
      <w:r>
        <w:t xml:space="preserve">Los dispositivos modernos pueden ser computadoras conectadas a red además de equipos clínicos. Un reparador puede encontrarse con direcciones de red, configuración inalámbrica, cuentas de servicio, firmware, registros, medios removibles, sistemas de acceso remoto de proveedores, certificados, material criptográfico o funciones conectadas a la nube.</w:t>
      </w:r>
    </w:p>
    <w:p>
      <w:pPr>
        <w:pStyle w:val="BodyText"/>
      </w:pPr>
      <w:r>
        <w:t xml:space="preserve">Los principios de servicio seguro incluyen:</w:t>
      </w:r>
    </w:p>
    <w:p>
      <w:pPr>
        <w:numPr>
          <w:ilvl w:val="0"/>
          <w:numId w:val="1006"/>
        </w:numPr>
        <w:pStyle w:val="Compact"/>
      </w:pPr>
      <w:r>
        <w:t xml:space="preserve">usar únicamente cuentas, herramientas, computadoras portátiles, medios y métodos de acceso remoto aprobados;</w:t>
      </w:r>
    </w:p>
    <w:p>
      <w:pPr>
        <w:numPr>
          <w:ilvl w:val="0"/>
          <w:numId w:val="1006"/>
        </w:numPr>
        <w:pStyle w:val="Compact"/>
      </w:pPr>
      <w:r>
        <w:t xml:space="preserve">nunca compartir contraseñas ni credenciales de servicio;</w:t>
      </w:r>
    </w:p>
    <w:p>
      <w:pPr>
        <w:numPr>
          <w:ilvl w:val="0"/>
          <w:numId w:val="1006"/>
        </w:numPr>
        <w:pStyle w:val="Compact"/>
      </w:pPr>
      <w:r>
        <w:t xml:space="preserve">no conectar dispositivos USB desconocidos ni equipos personales a sistemas médicos;</w:t>
      </w:r>
    </w:p>
    <w:p>
      <w:pPr>
        <w:numPr>
          <w:ilvl w:val="0"/>
          <w:numId w:val="1006"/>
        </w:numPr>
        <w:pStyle w:val="Compact"/>
      </w:pPr>
      <w:r>
        <w:t xml:space="preserve">verificar los paquetes de firmware/software y las versiones aprobadas antes de instalarlos;</w:t>
      </w:r>
    </w:p>
    <w:p>
      <w:pPr>
        <w:numPr>
          <w:ilvl w:val="0"/>
          <w:numId w:val="1006"/>
        </w:numPr>
        <w:pStyle w:val="Compact"/>
      </w:pPr>
      <w:r>
        <w:t xml:space="preserve">seguir requisitos de gestión del cambio para cambios de red o configuración;</w:t>
      </w:r>
    </w:p>
    <w:p>
      <w:pPr>
        <w:numPr>
          <w:ilvl w:val="0"/>
          <w:numId w:val="1006"/>
        </w:numPr>
        <w:pStyle w:val="Compact"/>
      </w:pPr>
      <w:r>
        <w:t xml:space="preserve">preservar registros y evidencia si se sospecha un incidente de ciberseguridad;</w:t>
      </w:r>
    </w:p>
    <w:p>
      <w:pPr>
        <w:numPr>
          <w:ilvl w:val="0"/>
          <w:numId w:val="1006"/>
        </w:numPr>
        <w:pStyle w:val="Compact"/>
      </w:pPr>
      <w:r>
        <w:t xml:space="preserve">escalar comportamiento de red inesperado, acceso no autorizado, indicadores de malware, reinicios inusuales, cambios de configuración inexplicables o alertas de seguridad;</w:t>
      </w:r>
    </w:p>
    <w:p>
      <w:pPr>
        <w:numPr>
          <w:ilvl w:val="0"/>
          <w:numId w:val="1006"/>
        </w:numPr>
        <w:pStyle w:val="Compact"/>
      </w:pPr>
      <w:r>
        <w:t xml:space="preserve">seguir los procedimientos del fabricante y del empleador para respuesta a vulnerabilidades; y</w:t>
      </w:r>
    </w:p>
    <w:p>
      <w:pPr>
        <w:numPr>
          <w:ilvl w:val="0"/>
          <w:numId w:val="1006"/>
        </w:numPr>
        <w:pStyle w:val="Compact"/>
      </w:pPr>
      <w:r>
        <w:t xml:space="preserve">coordinar con ciberseguridad/TI en lugar de tratar un posible compromiso como una falla ordinaria de hardware.</w:t>
      </w:r>
    </w:p>
    <w:p>
      <w:pPr>
        <w:pStyle w:val="FirstParagraph"/>
      </w:pPr>
      <w:r>
        <w:t xml:space="preserve">La responsabilidad de ciberseguridad no significa que un reparador deba realizar pruebas de penetración no autorizadas en dispositivos clínicos.</w:t>
      </w:r>
    </w:p>
    <w:bookmarkEnd w:id="27"/>
    <w:bookmarkStart w:id="28" w:name="privacidad-e-información-confidencial"/>
    <w:p>
      <w:pPr>
        <w:pStyle w:val="Heading2"/>
      </w:pPr>
      <w:r>
        <w:t xml:space="preserve">Privacidad e información confidencial</w:t>
      </w:r>
    </w:p>
    <w:p>
      <w:pPr>
        <w:pStyle w:val="FirstParagraph"/>
      </w:pPr>
      <w:r>
        <w:t xml:space="preserve">Un técnico puede encontrar nombres de pacientes, identificadores, imágenes, formas de onda, informes, horarios u otra información de salud protegida mientras prueba o da servicio a un equipo.</w:t>
      </w:r>
    </w:p>
    <w:p>
      <w:pPr>
        <w:pStyle w:val="BodyText"/>
      </w:pPr>
      <w:r>
        <w:t xml:space="preserve">Use únicamente la información mínima necesaria para el trabajo autorizado. Siga las reglas de privacidad y seguridad del empleador. No fotografíe pantallas, copie datos de pacientes, exporte registros ni traslade información a almacenamiento personal salvo que esté explícitamente autorizado y sea necesario por procedimiento.</w:t>
      </w:r>
    </w:p>
    <w:p>
      <w:pPr>
        <w:pStyle w:val="BodyText"/>
      </w:pPr>
      <w:r>
        <w:t xml:space="preserve">Nunca coloque información de pacientes, credenciales, manuales de servicio propietarios, secretos de dispositivos, datos de red internos ni material de configuración confidencial en un sistema público o no aprobado de IA generativa.</w:t>
      </w:r>
    </w:p>
    <w:bookmarkEnd w:id="28"/>
    <w:bookmarkStart w:id="29" w:name="uso-responsable-de-ia"/>
    <w:p>
      <w:pPr>
        <w:pStyle w:val="Heading2"/>
      </w:pPr>
      <w:r>
        <w:t xml:space="preserve">Uso responsable de IA</w:t>
      </w:r>
    </w:p>
    <w:p>
      <w:pPr>
        <w:pStyle w:val="FirstParagraph"/>
      </w:pPr>
      <w:r>
        <w:t xml:space="preserve">La IA puede ayudar a veces con aprendizaje general, terminología, planificación de estudio o borradores de listas de verificación no sensibles. No debe reemplazar:</w:t>
      </w:r>
    </w:p>
    <w:p>
      <w:pPr>
        <w:numPr>
          <w:ilvl w:val="0"/>
          <w:numId w:val="1007"/>
        </w:numPr>
        <w:pStyle w:val="Compact"/>
      </w:pPr>
      <w:r>
        <w:t xml:space="preserve">instrucciones de servicio del fabricante;</w:t>
      </w:r>
    </w:p>
    <w:p>
      <w:pPr>
        <w:numPr>
          <w:ilvl w:val="0"/>
          <w:numId w:val="1007"/>
        </w:numPr>
        <w:pStyle w:val="Compact"/>
      </w:pPr>
      <w:r>
        <w:t xml:space="preserve">procedimientos de prueba aprobados;</w:t>
      </w:r>
    </w:p>
    <w:p>
      <w:pPr>
        <w:numPr>
          <w:ilvl w:val="0"/>
          <w:numId w:val="1007"/>
        </w:numPr>
        <w:pStyle w:val="Compact"/>
      </w:pPr>
      <w:r>
        <w:t xml:space="preserve">juicio de ingeniería para cambios críticos de seguridad;</w:t>
      </w:r>
    </w:p>
    <w:p>
      <w:pPr>
        <w:numPr>
          <w:ilvl w:val="0"/>
          <w:numId w:val="1007"/>
        </w:numPr>
        <w:pStyle w:val="Compact"/>
      </w:pPr>
      <w:r>
        <w:t xml:space="preserve">políticas del empleador;</w:t>
      </w:r>
    </w:p>
    <w:p>
      <w:pPr>
        <w:numPr>
          <w:ilvl w:val="0"/>
          <w:numId w:val="1007"/>
        </w:numPr>
        <w:pStyle w:val="Compact"/>
      </w:pPr>
      <w:r>
        <w:t xml:space="preserve">requisitos regulatorios;</w:t>
      </w:r>
    </w:p>
    <w:p>
      <w:pPr>
        <w:numPr>
          <w:ilvl w:val="0"/>
          <w:numId w:val="1007"/>
        </w:numPr>
        <w:pStyle w:val="Compact"/>
      </w:pPr>
      <w:r>
        <w:t xml:space="preserve">respuesta a incidentes de ciberseguridad;</w:t>
      </w:r>
    </w:p>
    <w:p>
      <w:pPr>
        <w:numPr>
          <w:ilvl w:val="0"/>
          <w:numId w:val="1007"/>
        </w:numPr>
        <w:pStyle w:val="Compact"/>
      </w:pPr>
      <w:r>
        <w:t xml:space="preserve">estándares de calibración;</w:t>
      </w:r>
    </w:p>
    <w:p>
      <w:pPr>
        <w:numPr>
          <w:ilvl w:val="0"/>
          <w:numId w:val="1007"/>
        </w:numPr>
        <w:pStyle w:val="Compact"/>
      </w:pPr>
      <w:r>
        <w:t xml:space="preserve">juicio clínico; ni</w:t>
      </w:r>
    </w:p>
    <w:p>
      <w:pPr>
        <w:numPr>
          <w:ilvl w:val="0"/>
          <w:numId w:val="1007"/>
        </w:numPr>
        <w:pStyle w:val="Compact"/>
      </w:pPr>
      <w:r>
        <w:t xml:space="preserve">escalamiento de emergencias.</w:t>
      </w:r>
    </w:p>
    <w:p>
      <w:pPr>
        <w:pStyle w:val="FirstParagraph"/>
      </w:pPr>
      <w:r>
        <w:t xml:space="preserve">Trate la salida de IA como no verificada hasta compararla con fuentes aprobadas. Nunca permita que un sistema de IA lo convenza de omitir un enclavamiento de seguridad, cambiar un parámetro clínico, inventar un resultado de prueba o usar una pieza o imagen de firmware no aprobada.</w:t>
      </w:r>
    </w:p>
    <w:bookmarkEnd w:id="29"/>
    <w:bookmarkStart w:id="30" w:name="habilidades-que-valoran-los-empleadores"/>
    <w:p>
      <w:pPr>
        <w:pStyle w:val="Heading2"/>
      </w:pPr>
      <w:r>
        <w:t xml:space="preserve">Habilidades que valoran los empleadores</w:t>
      </w:r>
    </w:p>
    <w:p>
      <w:pPr>
        <w:pStyle w:val="FirstParagraph"/>
      </w:pPr>
      <w:r>
        <w:t xml:space="preserve">Entre las habilidades útiles se encuentran:</w:t>
      </w:r>
    </w:p>
    <w:p>
      <w:pPr>
        <w:numPr>
          <w:ilvl w:val="0"/>
          <w:numId w:val="1008"/>
        </w:numPr>
        <w:pStyle w:val="Compact"/>
      </w:pPr>
      <w:r>
        <w:t xml:space="preserve">fundamentos de electrónica;</w:t>
      </w:r>
    </w:p>
    <w:p>
      <w:pPr>
        <w:numPr>
          <w:ilvl w:val="0"/>
          <w:numId w:val="1008"/>
        </w:numPr>
        <w:pStyle w:val="Compact"/>
      </w:pPr>
      <w:r>
        <w:t xml:space="preserve">seguridad eléctrica;</w:t>
      </w:r>
    </w:p>
    <w:p>
      <w:pPr>
        <w:numPr>
          <w:ilvl w:val="0"/>
          <w:numId w:val="1008"/>
        </w:numPr>
        <w:pStyle w:val="Compact"/>
      </w:pPr>
      <w:r>
        <w:t xml:space="preserve">mecánica básica;</w:t>
      </w:r>
    </w:p>
    <w:p>
      <w:pPr>
        <w:numPr>
          <w:ilvl w:val="0"/>
          <w:numId w:val="1008"/>
        </w:numPr>
        <w:pStyle w:val="Compact"/>
      </w:pPr>
      <w:r>
        <w:t xml:space="preserve">disciplina en medición y uso de equipos de prueba;</w:t>
      </w:r>
    </w:p>
    <w:p>
      <w:pPr>
        <w:numPr>
          <w:ilvl w:val="0"/>
          <w:numId w:val="1008"/>
        </w:numPr>
        <w:pStyle w:val="Compact"/>
      </w:pPr>
      <w:r>
        <w:t xml:space="preserve">lectura de esquemas y manuales técnicos;</w:t>
      </w:r>
    </w:p>
    <w:p>
      <w:pPr>
        <w:numPr>
          <w:ilvl w:val="0"/>
          <w:numId w:val="1008"/>
        </w:numPr>
        <w:pStyle w:val="Compact"/>
      </w:pPr>
      <w:r>
        <w:t xml:space="preserve">lógica de diagnóstico de fallas;</w:t>
      </w:r>
    </w:p>
    <w:p>
      <w:pPr>
        <w:numPr>
          <w:ilvl w:val="0"/>
          <w:numId w:val="1008"/>
        </w:numPr>
        <w:pStyle w:val="Compact"/>
      </w:pPr>
      <w:r>
        <w:t xml:space="preserve">fundamentos de computación y redes;</w:t>
      </w:r>
    </w:p>
    <w:p>
      <w:pPr>
        <w:numPr>
          <w:ilvl w:val="0"/>
          <w:numId w:val="1008"/>
        </w:numPr>
        <w:pStyle w:val="Compact"/>
      </w:pPr>
      <w:r>
        <w:t xml:space="preserve">precisión en documentación y órdenes de trabajo;</w:t>
      </w:r>
    </w:p>
    <w:p>
      <w:pPr>
        <w:numPr>
          <w:ilvl w:val="0"/>
          <w:numId w:val="1008"/>
        </w:numPr>
        <w:pStyle w:val="Compact"/>
      </w:pPr>
      <w:r>
        <w:t xml:space="preserve">disciplina de mantenimiento preventivo;</w:t>
      </w:r>
    </w:p>
    <w:p>
      <w:pPr>
        <w:numPr>
          <w:ilvl w:val="0"/>
          <w:numId w:val="1008"/>
        </w:numPr>
        <w:pStyle w:val="Compact"/>
      </w:pPr>
      <w:r>
        <w:t xml:space="preserve">conocimiento de calibración;</w:t>
      </w:r>
    </w:p>
    <w:p>
      <w:pPr>
        <w:numPr>
          <w:ilvl w:val="0"/>
          <w:numId w:val="1008"/>
        </w:numPr>
        <w:pStyle w:val="Compact"/>
      </w:pPr>
      <w:r>
        <w:t xml:space="preserve">hábitos de calidad y control de cambios;</w:t>
      </w:r>
    </w:p>
    <w:p>
      <w:pPr>
        <w:numPr>
          <w:ilvl w:val="0"/>
          <w:numId w:val="1008"/>
        </w:numPr>
        <w:pStyle w:val="Compact"/>
      </w:pPr>
      <w:r>
        <w:t xml:space="preserve">conocimiento de prevención de infecciones;</w:t>
      </w:r>
    </w:p>
    <w:p>
      <w:pPr>
        <w:numPr>
          <w:ilvl w:val="0"/>
          <w:numId w:val="1008"/>
        </w:numPr>
        <w:pStyle w:val="Compact"/>
      </w:pPr>
      <w:r>
        <w:t xml:space="preserve">conciencia de ciberseguridad;</w:t>
      </w:r>
    </w:p>
    <w:p>
      <w:pPr>
        <w:numPr>
          <w:ilvl w:val="0"/>
          <w:numId w:val="1008"/>
        </w:numPr>
        <w:pStyle w:val="Compact"/>
      </w:pPr>
      <w:r>
        <w:t xml:space="preserve">comunicación con equipos clínicos y técnicos;</w:t>
      </w:r>
    </w:p>
    <w:p>
      <w:pPr>
        <w:numPr>
          <w:ilvl w:val="0"/>
          <w:numId w:val="1008"/>
        </w:numPr>
        <w:pStyle w:val="Compact"/>
      </w:pPr>
      <w:r>
        <w:t xml:space="preserve">servicio al cliente; y</w:t>
      </w:r>
    </w:p>
    <w:p>
      <w:pPr>
        <w:numPr>
          <w:ilvl w:val="0"/>
          <w:numId w:val="1008"/>
        </w:numPr>
        <w:pStyle w:val="Compact"/>
      </w:pPr>
      <w:r>
        <w:t xml:space="preserve">saber cuándo detenerse y escalar.</w:t>
      </w:r>
    </w:p>
    <w:p>
      <w:pPr>
        <w:pStyle w:val="FirstParagraph"/>
      </w:pPr>
      <w:r>
        <w:t xml:space="preserve">La capacidad de explicar con calma un problema técnico a una enfermera, terapeuta, médico, gerente, proveedor o ingeniero de TI puede ser tan importante como las habilidades de banco.</w:t>
      </w:r>
    </w:p>
    <w:bookmarkEnd w:id="30"/>
    <w:bookmarkStart w:id="31" w:name="X5d202e9bcfdedae5c36a10e82509f32f6302832"/>
    <w:p>
      <w:pPr>
        <w:pStyle w:val="Heading2"/>
      </w:pPr>
      <w:r>
        <w:t xml:space="preserve">Educación y vía de entrada — Estados Unidos</w:t>
      </w:r>
    </w:p>
    <w:p>
      <w:pPr>
        <w:pStyle w:val="FirstParagraph"/>
      </w:pPr>
      <w:r>
        <w:t xml:space="preserve">La Oficina de Estadísticas Laborales de Estados Unidos (BLS) informa que los reparadores de equipos médicos normalmente necesitan un</w:t>
      </w:r>
      <w:r>
        <w:t xml:space="preserve"> </w:t>
      </w:r>
      <w:r>
        <w:rPr>
          <w:bCs/>
          <w:b/>
        </w:rPr>
        <w:t xml:space="preserve">título de asociado</w:t>
      </w:r>
      <w:r>
        <w:t xml:space="preserve">. La tecnología biomédica, electrónica, tecnología de ingeniería o un campo relacionado pueden proporcionar preparación relevante. BLS también señala que algunas personas ingresan con diploma de secundaria más capacitación y experiencia laboral relacionadas.</w:t>
      </w:r>
    </w:p>
    <w:p>
      <w:pPr>
        <w:pStyle w:val="BodyText"/>
      </w:pPr>
      <w:r>
        <w:t xml:space="preserve">Una vía práctica en Estados Unidos es:</w:t>
      </w:r>
    </w:p>
    <w:p>
      <w:pPr>
        <w:numPr>
          <w:ilvl w:val="0"/>
          <w:numId w:val="1009"/>
        </w:numPr>
        <w:pStyle w:val="Compact"/>
      </w:pPr>
      <w:r>
        <w:t xml:space="preserve">Compare programas de tecnología biomédica/electrónica de community colleges en su región.</w:t>
      </w:r>
    </w:p>
    <w:p>
      <w:pPr>
        <w:numPr>
          <w:ilvl w:val="0"/>
          <w:numId w:val="1009"/>
        </w:numPr>
        <w:pStyle w:val="Compact"/>
      </w:pPr>
      <w:r>
        <w:t xml:space="preserve">Revise vacantes de empleadores para identificar los equipos y habilidades más solicitados localmente.</w:t>
      </w:r>
    </w:p>
    <w:p>
      <w:pPr>
        <w:numPr>
          <w:ilvl w:val="0"/>
          <w:numId w:val="1009"/>
        </w:numPr>
        <w:pStyle w:val="Compact"/>
      </w:pPr>
      <w:r>
        <w:t xml:space="preserve">Pregunte cuánto trabajo práctico de laboratorio incluye el programa.</w:t>
      </w:r>
    </w:p>
    <w:p>
      <w:pPr>
        <w:numPr>
          <w:ilvl w:val="0"/>
          <w:numId w:val="1009"/>
        </w:numPr>
        <w:pStyle w:val="Compact"/>
      </w:pPr>
      <w:r>
        <w:t xml:space="preserve">Pregunte si incluye electrónica, redes, diagnóstico de fallas, calibración, documentación y seguridad de dispositivos médicos.</w:t>
      </w:r>
    </w:p>
    <w:p>
      <w:pPr>
        <w:numPr>
          <w:ilvl w:val="0"/>
          <w:numId w:val="1009"/>
        </w:numPr>
        <w:pStyle w:val="Compact"/>
      </w:pPr>
      <w:r>
        <w:t xml:space="preserve">Pregunte a hospitales, organizaciones independientes de servicio, fabricantes y proveedores de equipos si contratan aprendices o brindan capacitación estructurada en el trabajo.</w:t>
      </w:r>
    </w:p>
    <w:p>
      <w:pPr>
        <w:numPr>
          <w:ilvl w:val="0"/>
          <w:numId w:val="1009"/>
        </w:numPr>
        <w:pStyle w:val="Compact"/>
      </w:pPr>
      <w:r>
        <w:t xml:space="preserve">Desarrolle experiencia práctica segura con equipos de capacitación y laboratorios aprobados, no experimentando con dispositivos clínicos activos.</w:t>
      </w:r>
    </w:p>
    <w:p>
      <w:pPr>
        <w:numPr>
          <w:ilvl w:val="0"/>
          <w:numId w:val="1009"/>
        </w:numPr>
        <w:pStyle w:val="Compact"/>
      </w:pPr>
      <w:r>
        <w:t xml:space="preserve">Mantenga un portafolio de ejercicios no confidenciales de diagnóstico, mediciones, diagramas y documentación de mantenimiento.</w:t>
      </w:r>
    </w:p>
    <w:p>
      <w:pPr>
        <w:pStyle w:val="FirstParagraph"/>
      </w:pPr>
      <w:r>
        <w:t xml:space="preserve">No pague por una credencial privada solo porque un anuncio diga que es "obligatoria en todas partes". Primero verifique los requisitos reales de los empleadores.</w:t>
      </w:r>
    </w:p>
    <w:bookmarkEnd w:id="31"/>
    <w:bookmarkStart w:id="32" w:name="X27ea2fdb0edcbeb20382f78d6824a96ea184fde"/>
    <w:p>
      <w:pPr>
        <w:pStyle w:val="Heading2"/>
      </w:pPr>
      <w:r>
        <w:t xml:space="preserve">Estados Unidos — ingresos y perspectivas oficiales</w:t>
      </w:r>
    </w:p>
    <w:p>
      <w:pPr>
        <w:pStyle w:val="FirstParagraph"/>
      </w:pPr>
      <w:r>
        <w:t xml:space="preserve">BLS informa:</w:t>
      </w:r>
    </w:p>
    <w:p>
      <w:pPr>
        <w:numPr>
          <w:ilvl w:val="0"/>
          <w:numId w:val="1010"/>
        </w:numPr>
        <w:pStyle w:val="Compact"/>
      </w:pPr>
      <w:r>
        <w:t xml:space="preserve">salario anual mediano en mayo de 2024:</w:t>
      </w:r>
      <w:r>
        <w:t xml:space="preserve"> </w:t>
      </w:r>
      <w:r>
        <w:rPr>
          <w:bCs/>
          <w:b/>
        </w:rPr>
        <w:t xml:space="preserve">USD $62,630</w:t>
      </w:r>
      <w:r>
        <w:t xml:space="preserve">;</w:t>
      </w:r>
    </w:p>
    <w:p>
      <w:pPr>
        <w:numPr>
          <w:ilvl w:val="0"/>
          <w:numId w:val="1010"/>
        </w:numPr>
        <w:pStyle w:val="Compact"/>
      </w:pPr>
      <w:r>
        <w:t xml:space="preserve">salario por hora mediano:</w:t>
      </w:r>
      <w:r>
        <w:t xml:space="preserve"> </w:t>
      </w:r>
      <w:r>
        <w:rPr>
          <w:bCs/>
          <w:b/>
        </w:rPr>
        <w:t xml:space="preserve">USD $30.11</w:t>
      </w:r>
      <w:r>
        <w:t xml:space="preserve">;</w:t>
      </w:r>
    </w:p>
    <w:p>
      <w:pPr>
        <w:numPr>
          <w:ilvl w:val="0"/>
          <w:numId w:val="1010"/>
        </w:numPr>
        <w:pStyle w:val="Compact"/>
      </w:pPr>
      <w:r>
        <w:t xml:space="preserve">empleo en 2024: aproximadamente</w:t>
      </w:r>
      <w:r>
        <w:t xml:space="preserve"> </w:t>
      </w:r>
      <w:r>
        <w:rPr>
          <w:bCs/>
          <w:b/>
        </w:rPr>
        <w:t xml:space="preserve">68,000</w:t>
      </w:r>
      <w:r>
        <w:t xml:space="preserve">;</w:t>
      </w:r>
    </w:p>
    <w:p>
      <w:pPr>
        <w:numPr>
          <w:ilvl w:val="0"/>
          <w:numId w:val="1010"/>
        </w:numPr>
        <w:pStyle w:val="Compact"/>
      </w:pPr>
      <w:r>
        <w:t xml:space="preserve">empleo proyectado para 2034: aproximadamente</w:t>
      </w:r>
      <w:r>
        <w:t xml:space="preserve"> </w:t>
      </w:r>
      <w:r>
        <w:rPr>
          <w:bCs/>
          <w:b/>
        </w:rPr>
        <w:t xml:space="preserve">76,800</w:t>
      </w:r>
      <w:r>
        <w:t xml:space="preserve">;</w:t>
      </w:r>
    </w:p>
    <w:p>
      <w:pPr>
        <w:numPr>
          <w:ilvl w:val="0"/>
          <w:numId w:val="1010"/>
        </w:numPr>
        <w:pStyle w:val="Compact"/>
      </w:pPr>
      <w:r>
        <w:t xml:space="preserve">crecimiento proyectado 2024–2034:</w:t>
      </w:r>
      <w:r>
        <w:t xml:space="preserve"> </w:t>
      </w:r>
      <w:r>
        <w:rPr>
          <w:bCs/>
          <w:b/>
        </w:rPr>
        <w:t xml:space="preserve">13%</w:t>
      </w:r>
      <w:r>
        <w:t xml:space="preserve">;</w:t>
      </w:r>
    </w:p>
    <w:p>
      <w:pPr>
        <w:numPr>
          <w:ilvl w:val="0"/>
          <w:numId w:val="1010"/>
        </w:numPr>
        <w:pStyle w:val="Compact"/>
      </w:pPr>
      <w:r>
        <w:t xml:space="preserve">aumento proyectado: aproximadamente</w:t>
      </w:r>
      <w:r>
        <w:t xml:space="preserve"> </w:t>
      </w:r>
      <w:r>
        <w:rPr>
          <w:bCs/>
          <w:b/>
        </w:rPr>
        <w:t xml:space="preserve">8,800 empleos</w:t>
      </w:r>
      <w:r>
        <w:t xml:space="preserve">; y</w:t>
      </w:r>
    </w:p>
    <w:p>
      <w:pPr>
        <w:numPr>
          <w:ilvl w:val="0"/>
          <w:numId w:val="1010"/>
        </w:numPr>
        <w:pStyle w:val="Compact"/>
      </w:pPr>
      <w:r>
        <w:t xml:space="preserve">aproximadamente</w:t>
      </w:r>
      <w:r>
        <w:t xml:space="preserve"> </w:t>
      </w:r>
      <w:r>
        <w:rPr>
          <w:bCs/>
          <w:b/>
        </w:rPr>
        <w:t xml:space="preserve">7,300 vacantes por año</w:t>
      </w:r>
      <w:r>
        <w:t xml:space="preserve"> </w:t>
      </w:r>
      <w:r>
        <w:t xml:space="preserve">en promedio durante la década.</w:t>
      </w:r>
    </w:p>
    <w:p>
      <w:pPr>
        <w:pStyle w:val="FirstParagraph"/>
      </w:pPr>
      <w:r>
        <w:t xml:space="preserve">BLS también informa que en mayo de 2024 el 10% con menores ingresos ganó menos de</w:t>
      </w:r>
      <w:r>
        <w:t xml:space="preserve"> </w:t>
      </w:r>
      <w:r>
        <w:rPr>
          <w:bCs/>
          <w:b/>
        </w:rPr>
        <w:t xml:space="preserve">USD $39,060</w:t>
      </w:r>
      <w:r>
        <w:t xml:space="preserve">, mientras que el 10% con mayores ingresos ganó más de</w:t>
      </w:r>
      <w:r>
        <w:t xml:space="preserve"> </w:t>
      </w:r>
      <w:r>
        <w:rPr>
          <w:bCs/>
          <w:b/>
        </w:rPr>
        <w:t xml:space="preserve">USD $99,290</w:t>
      </w:r>
      <w:r>
        <w:t xml:space="preserve">.</w:t>
      </w:r>
    </w:p>
    <w:p>
      <w:pPr>
        <w:pStyle w:val="BodyText"/>
      </w:pPr>
      <w:r>
        <w:t xml:space="preserve">Las medianas salariales anuales de industrias seleccionadas reportadas por BLS para mayo de 2024 incluyen:</w:t>
      </w:r>
    </w:p>
    <w:p>
      <w:pPr>
        <w:numPr>
          <w:ilvl w:val="0"/>
          <w:numId w:val="1011"/>
        </w:numPr>
        <w:pStyle w:val="Compact"/>
      </w:pPr>
      <w:r>
        <w:t xml:space="preserve">hospitales:</w:t>
      </w:r>
      <w:r>
        <w:t xml:space="preserve"> </w:t>
      </w:r>
      <w:r>
        <w:rPr>
          <w:bCs/>
          <w:b/>
        </w:rPr>
        <w:t xml:space="preserve">USD $74,560</w:t>
      </w:r>
      <w:r>
        <w:t xml:space="preserve">;</w:t>
      </w:r>
    </w:p>
    <w:p>
      <w:pPr>
        <w:numPr>
          <w:ilvl w:val="0"/>
          <w:numId w:val="1011"/>
        </w:numPr>
        <w:pStyle w:val="Compact"/>
      </w:pPr>
      <w:r>
        <w:t xml:space="preserve">mayoristas de equipos/suministros profesionales y comerciales:</w:t>
      </w:r>
      <w:r>
        <w:t xml:space="preserve"> </w:t>
      </w:r>
      <w:r>
        <w:rPr>
          <w:bCs/>
          <w:b/>
        </w:rPr>
        <w:t xml:space="preserve">USD $66,640</w:t>
      </w:r>
      <w:r>
        <w:t xml:space="preserve">;</w:t>
      </w:r>
    </w:p>
    <w:p>
      <w:pPr>
        <w:numPr>
          <w:ilvl w:val="0"/>
          <w:numId w:val="1011"/>
        </w:numPr>
        <w:pStyle w:val="Compact"/>
      </w:pPr>
      <w:r>
        <w:t xml:space="preserve">reparación y mantenimiento de equipos electrónicos y de precisión:</w:t>
      </w:r>
      <w:r>
        <w:t xml:space="preserve"> </w:t>
      </w:r>
      <w:r>
        <w:rPr>
          <w:bCs/>
          <w:b/>
        </w:rPr>
        <w:t xml:space="preserve">USD $62,000</w:t>
      </w:r>
      <w:r>
        <w:t xml:space="preserve">;</w:t>
      </w:r>
    </w:p>
    <w:p>
      <w:pPr>
        <w:numPr>
          <w:ilvl w:val="0"/>
          <w:numId w:val="1011"/>
        </w:numPr>
        <w:pStyle w:val="Compact"/>
      </w:pPr>
      <w:r>
        <w:t xml:space="preserve">servicios de atención médica ambulatoria:</w:t>
      </w:r>
      <w:r>
        <w:t xml:space="preserve"> </w:t>
      </w:r>
      <w:r>
        <w:rPr>
          <w:bCs/>
          <w:b/>
        </w:rPr>
        <w:t xml:space="preserve">USD $61,030</w:t>
      </w:r>
      <w:r>
        <w:t xml:space="preserve">; y</w:t>
      </w:r>
    </w:p>
    <w:p>
      <w:pPr>
        <w:numPr>
          <w:ilvl w:val="0"/>
          <w:numId w:val="1011"/>
        </w:numPr>
        <w:pStyle w:val="Compact"/>
      </w:pPr>
      <w:r>
        <w:t xml:space="preserve">alquiler/arrendamiento de maquinaria y equipos comerciales/industriales:</w:t>
      </w:r>
      <w:r>
        <w:t xml:space="preserve"> </w:t>
      </w:r>
      <w:r>
        <w:rPr>
          <w:bCs/>
          <w:b/>
        </w:rPr>
        <w:t xml:space="preserve">USD $42,650</w:t>
      </w:r>
      <w:r>
        <w:t xml:space="preserve">.</w:t>
      </w:r>
    </w:p>
    <w:p>
      <w:pPr>
        <w:pStyle w:val="FirstParagraph"/>
      </w:pPr>
      <w:r>
        <w:t xml:space="preserve">Estas son estadísticas ocupacionales nacionales, no salarios iniciales garantizados. El salario local depende de geografía, empleador, experiencia, turno, viajes, especialidad, capacitación y otros factores.</w:t>
      </w:r>
    </w:p>
    <w:bookmarkEnd w:id="32"/>
    <w:bookmarkStart w:id="35" w:name="X7365696c01af92361ba8406a1b6694e2a19c93a"/>
    <w:p>
      <w:pPr>
        <w:pStyle w:val="Heading2"/>
      </w:pPr>
      <w:r>
        <w:t xml:space="preserve">Apoyo de capacitación gratuito o de menor costo — Estados Unidos</w:t>
      </w:r>
    </w:p>
    <w:p>
      <w:pPr>
        <w:pStyle w:val="FirstParagraph"/>
      </w:pPr>
      <w:r>
        <w:t xml:space="preserve">Antes de asumir deuda con una escuela privada, investigue opciones públicas y patrocinadas por empleadores.</w:t>
      </w:r>
    </w:p>
    <w:p>
      <w:pPr>
        <w:pStyle w:val="BodyText"/>
      </w:pPr>
      <w:r>
        <w:t xml:space="preserve">El</w:t>
      </w:r>
      <w:r>
        <w:t xml:space="preserve"> </w:t>
      </w:r>
      <w:r>
        <w:rPr>
          <w:bCs/>
          <w:b/>
        </w:rPr>
        <w:t xml:space="preserve">American Job Center Finder</w:t>
      </w:r>
      <w:r>
        <w:t xml:space="preserve"> </w:t>
      </w:r>
      <w:r>
        <w:t xml:space="preserve">de CareerOneStop puede ayudar a localizar servicios de fuerza laboral:</w:t>
      </w:r>
    </w:p>
    <w:p>
      <w:pPr>
        <w:pStyle w:val="BodyText"/>
      </w:pPr>
      <w:hyperlink r:id="rId33">
        <w:hyperlink r:id="rId33">
          <w:r>
            <w:rPr>
              <w:rStyle w:val="Hyperlink"/>
            </w:rPr>
            <w:t xml:space="preserve">Source link</w:t>
          </w:r>
        </w:hyperlink>
      </w:hyperlink>
    </w:p>
    <w:p>
      <w:pPr>
        <w:pStyle w:val="BodyText"/>
      </w:pPr>
      <w:r>
        <w:t xml:space="preserve">CareerOneStop también ofrece un</w:t>
      </w:r>
      <w:r>
        <w:t xml:space="preserve"> </w:t>
      </w:r>
      <w:r>
        <w:rPr>
          <w:bCs/>
          <w:b/>
        </w:rPr>
        <w:t xml:space="preserve">WIOA-Eligible Training Program Finder</w:t>
      </w:r>
      <w:r>
        <w:t xml:space="preserve">:</w:t>
      </w:r>
    </w:p>
    <w:p>
      <w:pPr>
        <w:pStyle w:val="BodyText"/>
      </w:pPr>
      <w:hyperlink r:id="rId34">
        <w:hyperlink r:id="rId34">
          <w:r>
            <w:rPr>
              <w:rStyle w:val="Hyperlink"/>
            </w:rPr>
            <w:t xml:space="preserve">Source link</w:t>
          </w:r>
        </w:hyperlink>
      </w:hyperlink>
    </w:p>
    <w:p>
      <w:pPr>
        <w:pStyle w:val="BodyText"/>
      </w:pPr>
      <w:r>
        <w:t xml:space="preserve">El financiamiento WIOA no es automático. La elegibilidad depende de la persona, reglas locales de fuerza laboral, programa, proveedor y fondos disponibles.</w:t>
      </w:r>
    </w:p>
    <w:p>
      <w:pPr>
        <w:pStyle w:val="BodyText"/>
      </w:pPr>
      <w:r>
        <w:t xml:space="preserve">Pregunte además a los empleadores sobre programas pagados de aprendices, ayuda de matrícula, apoyo de herramientas, capacitación de proveedores, reembolso de certificaciones o beneficios de desarrollo profesional. Obtenga por escrito los términos de reembolso o compromiso de servicio antes de aceptar educación financiada por un empleador.</w:t>
      </w:r>
    </w:p>
    <w:bookmarkEnd w:id="35"/>
    <w:bookmarkStart w:id="36" w:name="X4e6c1dec54e12a218c6e7e9714fbd66461b8a12"/>
    <w:p>
      <w:pPr>
        <w:pStyle w:val="Heading2"/>
      </w:pPr>
      <w:r>
        <w:t xml:space="preserve">Aprendizaje y formación basada en el trabajo</w:t>
      </w:r>
    </w:p>
    <w:p>
      <w:pPr>
        <w:pStyle w:val="FirstParagraph"/>
      </w:pPr>
      <w:r>
        <w:t xml:space="preserve">Las vías de servicio de equipos médicos varían ampliamente. Algunos empleadores desarrollan técnicos mediante puestos estructurados de aprendiz, mentoría de servicio de campo, pasantías, educación cooperativa o aprendizajes; otros esperan formación previa en electrónica o tecnología biomédica.</w:t>
      </w:r>
    </w:p>
    <w:p>
      <w:pPr>
        <w:pStyle w:val="BodyText"/>
      </w:pPr>
      <w:r>
        <w:t xml:space="preserve">Al evaluar aprendizaje basado en el trabajo, pregunte:</w:t>
      </w:r>
    </w:p>
    <w:p>
      <w:pPr>
        <w:numPr>
          <w:ilvl w:val="0"/>
          <w:numId w:val="1012"/>
        </w:numPr>
        <w:pStyle w:val="Compact"/>
      </w:pPr>
      <w:r>
        <w:t xml:space="preserve">¿La formación es pagada?</w:t>
      </w:r>
    </w:p>
    <w:p>
      <w:pPr>
        <w:numPr>
          <w:ilvl w:val="0"/>
          <w:numId w:val="1012"/>
        </w:numPr>
        <w:pStyle w:val="Compact"/>
      </w:pPr>
      <w:r>
        <w:t xml:space="preserve">¿Quién supervisa el trabajo crítico de seguridad?</w:t>
      </w:r>
    </w:p>
    <w:p>
      <w:pPr>
        <w:numPr>
          <w:ilvl w:val="0"/>
          <w:numId w:val="1012"/>
        </w:numPr>
        <w:pStyle w:val="Compact"/>
      </w:pPr>
      <w:r>
        <w:t xml:space="preserve">¿Qué equipos puede atender un aprendiz?</w:t>
      </w:r>
    </w:p>
    <w:p>
      <w:pPr>
        <w:numPr>
          <w:ilvl w:val="0"/>
          <w:numId w:val="1012"/>
        </w:numPr>
        <w:pStyle w:val="Compact"/>
      </w:pPr>
      <w:r>
        <w:t xml:space="preserve">¿Se incluyen cursos del fabricante?</w:t>
      </w:r>
    </w:p>
    <w:p>
      <w:pPr>
        <w:numPr>
          <w:ilvl w:val="0"/>
          <w:numId w:val="1012"/>
        </w:numPr>
        <w:pStyle w:val="Compact"/>
      </w:pPr>
      <w:r>
        <w:t xml:space="preserve">¿Se proporcionan herramientas y equipos de prueba?</w:t>
      </w:r>
    </w:p>
    <w:p>
      <w:pPr>
        <w:numPr>
          <w:ilvl w:val="0"/>
          <w:numId w:val="1012"/>
        </w:numPr>
        <w:pStyle w:val="Compact"/>
      </w:pPr>
      <w:r>
        <w:t xml:space="preserve">¿Cómo se documenta la competencia?</w:t>
      </w:r>
    </w:p>
    <w:p>
      <w:pPr>
        <w:numPr>
          <w:ilvl w:val="0"/>
          <w:numId w:val="1012"/>
        </w:numPr>
        <w:pStyle w:val="Compact"/>
      </w:pPr>
      <w:r>
        <w:t xml:space="preserve">¿Se incluyen expectativas de viaje o guardia?</w:t>
      </w:r>
    </w:p>
    <w:p>
      <w:pPr>
        <w:numPr>
          <w:ilvl w:val="0"/>
          <w:numId w:val="1012"/>
        </w:numPr>
        <w:pStyle w:val="Compact"/>
      </w:pPr>
      <w:r>
        <w:t xml:space="preserve">¿Existe un acuerdo de reembolso?</w:t>
      </w:r>
    </w:p>
    <w:p>
      <w:pPr>
        <w:numPr>
          <w:ilvl w:val="0"/>
          <w:numId w:val="1012"/>
        </w:numPr>
        <w:pStyle w:val="Compact"/>
      </w:pPr>
      <w:r>
        <w:t xml:space="preserve">¿Qué puesto está disponible después de la capacitación?</w:t>
      </w:r>
    </w:p>
    <w:p>
      <w:pPr>
        <w:pStyle w:val="FirstParagraph"/>
      </w:pPr>
      <w:r>
        <w:t xml:space="preserve">No confunda observación no remunerada con un aprendizaje reconocido.</w:t>
      </w:r>
    </w:p>
    <w:bookmarkEnd w:id="36"/>
    <w:bookmarkStart w:id="37" w:name="canadá--familia-ocupacional-relacionada"/>
    <w:p>
      <w:pPr>
        <w:pStyle w:val="Heading2"/>
      </w:pPr>
      <w:r>
        <w:t xml:space="preserve">Canadá — familia ocupacional relacionada</w:t>
      </w:r>
    </w:p>
    <w:p>
      <w:pPr>
        <w:pStyle w:val="FirstParagraph"/>
      </w:pPr>
      <w:r>
        <w:t xml:space="preserve">Job Bank del Gobierno de Canadá incluye</w:t>
      </w:r>
      <w:r>
        <w:t xml:space="preserve"> </w:t>
      </w:r>
      <w:r>
        <w:rPr>
          <w:bCs/>
          <w:b/>
        </w:rPr>
        <w:t xml:space="preserve">Biomedical and Laboratory Equipment Repairer</w:t>
      </w:r>
      <w:r>
        <w:t xml:space="preserve"> </w:t>
      </w:r>
      <w:r>
        <w:t xml:space="preserve">dentro de una familia ocupacional más amplia de tecnólogos y técnicos de ingeniería eléctrica/electrónica.</w:t>
      </w:r>
    </w:p>
    <w:p>
      <w:pPr>
        <w:pStyle w:val="BodyText"/>
      </w:pPr>
      <w:r>
        <w:t xml:space="preserve">Job Bank informa que la preparación en esta familia más amplia suele incluir educación universitaria técnica, aprendizaje/capacitación o experiencia relevante según el puesto exacto y la jurisdicción. Las competencias incluyen diagnóstico de fallas, selección de equipos/herramientas, pruebas de control de calidad y mantenimiento preventivo.</w:t>
      </w:r>
    </w:p>
    <w:p>
      <w:pPr>
        <w:pStyle w:val="BodyText"/>
      </w:pPr>
      <w:r>
        <w:t xml:space="preserve">Como se trata de un mapeo ocupacional más amplio, no asuma que un único título canadiense, credencial o requisito provincial aplica a todos los puestos de equipos biomédicos.</w:t>
      </w:r>
    </w:p>
    <w:bookmarkEnd w:id="37"/>
    <w:bookmarkStart w:id="38" w:name="canadá--evidencia-salarial-actual"/>
    <w:p>
      <w:pPr>
        <w:pStyle w:val="Heading2"/>
      </w:pPr>
      <w:r>
        <w:t xml:space="preserve">Canadá — evidencia salarial actual</w:t>
      </w:r>
    </w:p>
    <w:p>
      <w:pPr>
        <w:pStyle w:val="FirstParagraph"/>
      </w:pPr>
      <w:r>
        <w:t xml:space="preserve">Los datos nacionales de Job Bank para la familia ocupacional mapeada indican:</w:t>
      </w:r>
    </w:p>
    <w:p>
      <w:pPr>
        <w:numPr>
          <w:ilvl w:val="0"/>
          <w:numId w:val="1013"/>
        </w:numPr>
        <w:pStyle w:val="Compact"/>
      </w:pPr>
      <w:r>
        <w:t xml:space="preserve">bajo:</w:t>
      </w:r>
      <w:r>
        <w:t xml:space="preserve"> </w:t>
      </w:r>
      <w:r>
        <w:rPr>
          <w:bCs/>
          <w:b/>
        </w:rPr>
        <w:t xml:space="preserve">CAD $24.04/hora</w:t>
      </w:r>
      <w:r>
        <w:t xml:space="preserve">;</w:t>
      </w:r>
    </w:p>
    <w:p>
      <w:pPr>
        <w:numPr>
          <w:ilvl w:val="0"/>
          <w:numId w:val="1013"/>
        </w:numPr>
        <w:pStyle w:val="Compact"/>
      </w:pPr>
      <w:r>
        <w:t xml:space="preserve">mediano:</w:t>
      </w:r>
      <w:r>
        <w:t xml:space="preserve"> </w:t>
      </w:r>
      <w:r>
        <w:rPr>
          <w:bCs/>
          <w:b/>
        </w:rPr>
        <w:t xml:space="preserve">CAD $35.58/hora</w:t>
      </w:r>
      <w:r>
        <w:t xml:space="preserve">; y</w:t>
      </w:r>
    </w:p>
    <w:p>
      <w:pPr>
        <w:numPr>
          <w:ilvl w:val="0"/>
          <w:numId w:val="1013"/>
        </w:numPr>
        <w:pStyle w:val="Compact"/>
      </w:pPr>
      <w:r>
        <w:t xml:space="preserve">alto:</w:t>
      </w:r>
      <w:r>
        <w:t xml:space="preserve"> </w:t>
      </w:r>
      <w:r>
        <w:rPr>
          <w:bCs/>
          <w:b/>
        </w:rPr>
        <w:t xml:space="preserve">CAD $55.34/hora</w:t>
      </w:r>
      <w:r>
        <w:t xml:space="preserve">.</w:t>
      </w:r>
    </w:p>
    <w:p>
      <w:pPr>
        <w:pStyle w:val="FirstParagraph"/>
      </w:pPr>
      <w:r>
        <w:t xml:space="preserve">La tabla salarial fue actualizada el 19 de noviembre de 2025 usando datos de referencia 2023–2024. El resumen ocupacional nacional observado en 2026 también reporta la mediana nacional de</w:t>
      </w:r>
      <w:r>
        <w:t xml:space="preserve"> </w:t>
      </w:r>
      <w:r>
        <w:rPr>
          <w:bCs/>
          <w:b/>
        </w:rPr>
        <w:t xml:space="preserve">CAD $35.58/hora</w:t>
      </w:r>
      <w:r>
        <w:t xml:space="preserve">.</w:t>
      </w:r>
    </w:p>
    <w:p>
      <w:pPr>
        <w:pStyle w:val="BodyText"/>
      </w:pPr>
      <w:r>
        <w:t xml:space="preserve">Use filtros provinciales y locales de Job Bank antes de evaluar una oferta específica.</w:t>
      </w:r>
    </w:p>
    <w:bookmarkEnd w:id="38"/>
    <w:bookmarkStart w:id="39" w:name="X9186811d31dd19c41a95b630c4dd182131cfe45"/>
    <w:p>
      <w:pPr>
        <w:pStyle w:val="Heading2"/>
      </w:pPr>
      <w:r>
        <w:t xml:space="preserve">Canadá — advertencia sobre credenciales y transferencia</w:t>
      </w:r>
    </w:p>
    <w:p>
      <w:pPr>
        <w:pStyle w:val="FirstParagraph"/>
      </w:pPr>
      <w:r>
        <w:t xml:space="preserve">Un título, puesto, certificado de capacitación o certificación de Estados Unidos no crea automáticamente equivalencia canadiense. Antes de mudarse o pagar una evaluación de credenciales, verifique:</w:t>
      </w:r>
    </w:p>
    <w:p>
      <w:pPr>
        <w:numPr>
          <w:ilvl w:val="0"/>
          <w:numId w:val="1014"/>
        </w:numPr>
        <w:pStyle w:val="Compact"/>
      </w:pPr>
      <w:r>
        <w:t xml:space="preserve">el NOC y título exactos usados por el empleador;</w:t>
      </w:r>
    </w:p>
    <w:p>
      <w:pPr>
        <w:numPr>
          <w:ilvl w:val="0"/>
          <w:numId w:val="1014"/>
        </w:numPr>
        <w:pStyle w:val="Compact"/>
      </w:pPr>
      <w:r>
        <w:t xml:space="preserve">requisitos provinciales o territoriales;</w:t>
      </w:r>
    </w:p>
    <w:p>
      <w:pPr>
        <w:numPr>
          <w:ilvl w:val="0"/>
          <w:numId w:val="1014"/>
        </w:numPr>
        <w:pStyle w:val="Compact"/>
      </w:pPr>
      <w:r>
        <w:t xml:space="preserve">requisitos educativos específicos del empleador;</w:t>
      </w:r>
    </w:p>
    <w:p>
      <w:pPr>
        <w:numPr>
          <w:ilvl w:val="0"/>
          <w:numId w:val="1014"/>
        </w:numPr>
        <w:pStyle w:val="Compact"/>
      </w:pPr>
      <w:r>
        <w:t xml:space="preserve">vías reconocidas de college o aprendizaje;</w:t>
      </w:r>
    </w:p>
    <w:p>
      <w:pPr>
        <w:numPr>
          <w:ilvl w:val="0"/>
          <w:numId w:val="1014"/>
        </w:numPr>
        <w:pStyle w:val="Compact"/>
      </w:pPr>
      <w:r>
        <w:t xml:space="preserve">requisitos de idioma; y</w:t>
      </w:r>
    </w:p>
    <w:p>
      <w:pPr>
        <w:numPr>
          <w:ilvl w:val="0"/>
          <w:numId w:val="1014"/>
        </w:numPr>
        <w:pStyle w:val="Compact"/>
      </w:pPr>
      <w:r>
        <w:t xml:space="preserve">autorización migratoria/laboral por separado de la cualificación ocupacional.</w:t>
      </w:r>
    </w:p>
    <w:bookmarkEnd w:id="39"/>
    <w:bookmarkStart w:id="42" w:name="colombia--vía-sena-de-equipos-biomédicos"/>
    <w:p>
      <w:pPr>
        <w:pStyle w:val="Heading2"/>
      </w:pPr>
      <w:r>
        <w:t xml:space="preserve">Colombia — vía SENA de equipos biomédicos</w:t>
      </w:r>
    </w:p>
    <w:p>
      <w:pPr>
        <w:pStyle w:val="FirstParagraph"/>
      </w:pPr>
      <w:r>
        <w:t xml:space="preserve">Los materiales oficiales del SENA incluyen</w:t>
      </w:r>
      <w:r>
        <w:t xml:space="preserve"> </w:t>
      </w:r>
      <w:r>
        <w:rPr>
          <w:bCs/>
          <w:b/>
        </w:rPr>
        <w:t xml:space="preserve">Mantenimiento de Equipo Biomédico</w:t>
      </w:r>
      <w:r>
        <w:t xml:space="preserve"> </w:t>
      </w:r>
      <w:r>
        <w:t xml:space="preserve">como programa de</w:t>
      </w:r>
      <w:r>
        <w:t xml:space="preserve"> </w:t>
      </w:r>
      <w:r>
        <w:rPr>
          <w:bCs/>
          <w:b/>
        </w:rPr>
        <w:t xml:space="preserve">Tecnólogo</w:t>
      </w:r>
      <w:r>
        <w:t xml:space="preserve"> </w:t>
      </w:r>
      <w:r>
        <w:t xml:space="preserve">con duración de</w:t>
      </w:r>
      <w:r>
        <w:t xml:space="preserve"> </w:t>
      </w:r>
      <w:r>
        <w:rPr>
          <w:bCs/>
          <w:b/>
        </w:rPr>
        <w:t xml:space="preserve">24 meses</w:t>
      </w:r>
      <w:r>
        <w:t xml:space="preserve">.</w:t>
      </w:r>
    </w:p>
    <w:p>
      <w:pPr>
        <w:pStyle w:val="BodyText"/>
      </w:pPr>
      <w:r>
        <w:t xml:space="preserve">Una circular del SENA de 2024 incluye</w:t>
      </w:r>
      <w:r>
        <w:t xml:space="preserve"> </w:t>
      </w:r>
      <w:r>
        <w:rPr>
          <w:bCs/>
          <w:b/>
        </w:rPr>
        <w:t xml:space="preserve">MANTENIMIENTO DE EQUIPO BIOMÉDICO</w:t>
      </w:r>
      <w:r>
        <w:t xml:space="preserve">, Tecnólogo, presencial, en el Centro de Automatización Industrial de Caldas.</w:t>
      </w:r>
    </w:p>
    <w:p>
      <w:pPr>
        <w:pStyle w:val="BodyText"/>
      </w:pPr>
      <w:r>
        <w:t xml:space="preserve">Es un localizador sólido de formación pública, pero una lista normativa o histórica no garantiza que exista una cohorte abierta hoy. Verifique la oferta vigente, centro, horario, requisitos de admisión, modalidad y disponibilidad mediante SENA/Betowa antes de tomar decisiones de viaje o gasto.</w:t>
      </w:r>
    </w:p>
    <w:p>
      <w:pPr>
        <w:pStyle w:val="BodyText"/>
      </w:pPr>
      <w:r>
        <w:t xml:space="preserve">Referencias oficiales:</w:t>
      </w:r>
    </w:p>
    <w:p>
      <w:pPr>
        <w:pStyle w:val="BodyText"/>
      </w:pPr>
      <w:hyperlink r:id="rId40">
        <w:hyperlink r:id="rId40">
          <w:r>
            <w:rPr>
              <w:rStyle w:val="Hyperlink"/>
            </w:rPr>
            <w:t xml:space="preserve">Source link</w:t>
          </w:r>
        </w:hyperlink>
      </w:hyperlink>
    </w:p>
    <w:p>
      <w:pPr>
        <w:pStyle w:val="BodyText"/>
      </w:pPr>
      <w:hyperlink r:id="rId41">
        <w:hyperlink r:id="rId41">
          <w:r>
            <w:rPr>
              <w:rStyle w:val="Hyperlink"/>
            </w:rPr>
            <w:t xml:space="preserve">Source link</w:t>
          </w:r>
        </w:hyperlink>
      </w:hyperlink>
    </w:p>
    <w:bookmarkEnd w:id="42"/>
    <w:bookmarkStart w:id="44" w:name="X0ad480805096351b356b0e0dac646063dcfdedf"/>
    <w:p>
      <w:pPr>
        <w:pStyle w:val="Heading2"/>
      </w:pPr>
      <w:r>
        <w:t xml:space="preserve">Colombia — tecnovigilancia y reporte de seguridad</w:t>
      </w:r>
    </w:p>
    <w:p>
      <w:pPr>
        <w:pStyle w:val="FirstParagraph"/>
      </w:pPr>
      <w:r>
        <w:t xml:space="preserve">El</w:t>
      </w:r>
      <w:r>
        <w:t xml:space="preserve"> </w:t>
      </w:r>
      <w:r>
        <w:rPr>
          <w:bCs/>
          <w:b/>
        </w:rPr>
        <w:t xml:space="preserve">Programa Nacional de Tecnovigilancia</w:t>
      </w:r>
      <w:r>
        <w:t xml:space="preserve"> </w:t>
      </w:r>
      <w:r>
        <w:t xml:space="preserve">del INVIMA es el sistema colombiano de vigilancia posmercado para identificar, evaluar, gestionar y prevenir eventos e incidentes adversos asociados con dispositivos médicos.</w:t>
      </w:r>
    </w:p>
    <w:p>
      <w:pPr>
        <w:pStyle w:val="BodyText"/>
      </w:pPr>
      <w:r>
        <w:t xml:space="preserve">Fuente oficial:</w:t>
      </w:r>
    </w:p>
    <w:p>
      <w:pPr>
        <w:pStyle w:val="BodyText"/>
      </w:pPr>
      <w:hyperlink r:id="rId43">
        <w:hyperlink r:id="rId43">
          <w:r>
            <w:rPr>
              <w:rStyle w:val="Hyperlink"/>
            </w:rPr>
            <w:t xml:space="preserve">Source link</w:t>
          </w:r>
        </w:hyperlink>
      </w:hyperlink>
    </w:p>
    <w:p>
      <w:pPr>
        <w:pStyle w:val="BodyText"/>
      </w:pPr>
      <w:r>
        <w:t xml:space="preserve">INVIMA reconoce específicamente los reportes de mantenimiento correctivo de equipos biomédicos como posible fuente para identificar problemas cuando la salud del paciente u operador se ha visto implicada.</w:t>
      </w:r>
    </w:p>
    <w:p>
      <w:pPr>
        <w:pStyle w:val="BodyText"/>
      </w:pPr>
      <w:r>
        <w:t xml:space="preserve">Por lo tanto, un técnico debe seguir el proceso institucional de tecnovigilancia, eventos de seguridad, calidad, fabricante y reporte regulatorio cuando una falla pueda haber causado daño o puesto en riesgo a un paciente u operador. No elimine la evidencia, repare silenciosamente el dispositivo y lo devuelva al servicio sin el reporte e investigación requeridos.</w:t>
      </w:r>
    </w:p>
    <w:bookmarkEnd w:id="44"/>
    <w:bookmarkStart w:id="45" w:name="Xa391d4774f0798bf5168061a4b8c542ea1e839b"/>
    <w:p>
      <w:pPr>
        <w:pStyle w:val="Heading2"/>
      </w:pPr>
      <w:r>
        <w:t xml:space="preserve">Colombia — límites profesionales y del empleador</w:t>
      </w:r>
    </w:p>
    <w:p>
      <w:pPr>
        <w:pStyle w:val="FirstParagraph"/>
      </w:pPr>
      <w:r>
        <w:t xml:space="preserve">Completar un programa tecnológico no autoriza a ignorar:</w:t>
      </w:r>
    </w:p>
    <w:p>
      <w:pPr>
        <w:numPr>
          <w:ilvl w:val="0"/>
          <w:numId w:val="1015"/>
        </w:numPr>
        <w:pStyle w:val="Compact"/>
      </w:pPr>
      <w:r>
        <w:t xml:space="preserve">requisitos de competencia del empleador;</w:t>
      </w:r>
    </w:p>
    <w:p>
      <w:pPr>
        <w:numPr>
          <w:ilvl w:val="0"/>
          <w:numId w:val="1015"/>
        </w:numPr>
        <w:pStyle w:val="Compact"/>
      </w:pPr>
      <w:r>
        <w:t xml:space="preserve">restricciones de servicio del fabricante;</w:t>
      </w:r>
    </w:p>
    <w:p>
      <w:pPr>
        <w:numPr>
          <w:ilvl w:val="0"/>
          <w:numId w:val="1015"/>
        </w:numPr>
        <w:pStyle w:val="Compact"/>
      </w:pPr>
      <w:r>
        <w:t xml:space="preserve">reglas de seguridad eléctrica u ocupacional;</w:t>
      </w:r>
    </w:p>
    <w:p>
      <w:pPr>
        <w:numPr>
          <w:ilvl w:val="0"/>
          <w:numId w:val="1015"/>
        </w:numPr>
        <w:pStyle w:val="Compact"/>
      </w:pPr>
      <w:r>
        <w:t xml:space="preserve">regulación de dispositivos médicos;</w:t>
      </w:r>
    </w:p>
    <w:p>
      <w:pPr>
        <w:numPr>
          <w:ilvl w:val="0"/>
          <w:numId w:val="1015"/>
        </w:numPr>
        <w:pStyle w:val="Compact"/>
      </w:pPr>
      <w:r>
        <w:t xml:space="preserve">requisitos de tecnovigilancia;</w:t>
      </w:r>
    </w:p>
    <w:p>
      <w:pPr>
        <w:numPr>
          <w:ilvl w:val="0"/>
          <w:numId w:val="1015"/>
        </w:numPr>
        <w:pStyle w:val="Compact"/>
      </w:pPr>
      <w:r>
        <w:t xml:space="preserve">controles de metrología/calibración;</w:t>
      </w:r>
    </w:p>
    <w:p>
      <w:pPr>
        <w:numPr>
          <w:ilvl w:val="0"/>
          <w:numId w:val="1015"/>
        </w:numPr>
        <w:pStyle w:val="Compact"/>
      </w:pPr>
      <w:r>
        <w:t xml:space="preserve">autorizaciones de radiación u otras especialidades cuando correspondan; ni</w:t>
      </w:r>
    </w:p>
    <w:p>
      <w:pPr>
        <w:numPr>
          <w:ilvl w:val="0"/>
          <w:numId w:val="1015"/>
        </w:numPr>
        <w:pStyle w:val="Compact"/>
      </w:pPr>
      <w:r>
        <w:t xml:space="preserve">políticas institucionales de calidad y ciberseguridad.</w:t>
      </w:r>
    </w:p>
    <w:p>
      <w:pPr>
        <w:pStyle w:val="FirstParagraph"/>
      </w:pPr>
      <w:r>
        <w:t xml:space="preserve">Verifique los requisitos del puesto y clase de equipo exactos antes de aceptar responsabilidad.</w:t>
      </w:r>
    </w:p>
    <w:bookmarkEnd w:id="45"/>
    <w:bookmarkStart w:id="46" w:name="X628a1c1604c27f0987d221b059650bd512629c1"/>
    <w:p>
      <w:pPr>
        <w:pStyle w:val="Heading2"/>
      </w:pPr>
      <w:r>
        <w:t xml:space="preserve">Exploración en América Latina y el Caribe</w:t>
      </w:r>
    </w:p>
    <w:p>
      <w:pPr>
        <w:pStyle w:val="FirstParagraph"/>
      </w:pPr>
      <w:r>
        <w:t xml:space="preserve">La regulación de dispositivos médicos, sistemas de educación técnica, títulos ocupacionales y requisitos de establecimientos de salud difieren por país.</w:t>
      </w:r>
    </w:p>
    <w:p>
      <w:pPr>
        <w:pStyle w:val="BodyText"/>
      </w:pPr>
      <w:r>
        <w:t xml:space="preserve">Una secuencia segura de exploración es:</w:t>
      </w:r>
    </w:p>
    <w:p>
      <w:pPr>
        <w:numPr>
          <w:ilvl w:val="0"/>
          <w:numId w:val="1016"/>
        </w:numPr>
        <w:pStyle w:val="Compact"/>
      </w:pPr>
      <w:r>
        <w:t xml:space="preserve">Identifique el regulador nacional de dispositivos médicos o la autoridad sanitaria.</w:t>
      </w:r>
    </w:p>
    <w:p>
      <w:pPr>
        <w:numPr>
          <w:ilvl w:val="0"/>
          <w:numId w:val="1016"/>
        </w:numPr>
        <w:pStyle w:val="Compact"/>
      </w:pPr>
      <w:r>
        <w:t xml:space="preserve">Identifique instituciones públicas de formación técnica/profesional.</w:t>
      </w:r>
    </w:p>
    <w:p>
      <w:pPr>
        <w:numPr>
          <w:ilvl w:val="0"/>
          <w:numId w:val="1016"/>
        </w:numPr>
        <w:pStyle w:val="Compact"/>
      </w:pPr>
      <w:r>
        <w:t xml:space="preserve">Busque requisitos del regulador sobre mantenimiento de dispositivos, vigilancia posmercado, reporte de incidentes y seguridad.</w:t>
      </w:r>
    </w:p>
    <w:p>
      <w:pPr>
        <w:numPr>
          <w:ilvl w:val="0"/>
          <w:numId w:val="1016"/>
        </w:numPr>
        <w:pStyle w:val="Compact"/>
      </w:pPr>
      <w:r>
        <w:t xml:space="preserve">Compare vacantes de empleadores para identificar cualificaciones comunes.</w:t>
      </w:r>
    </w:p>
    <w:p>
      <w:pPr>
        <w:numPr>
          <w:ilvl w:val="0"/>
          <w:numId w:val="1016"/>
        </w:numPr>
        <w:pStyle w:val="Compact"/>
      </w:pPr>
      <w:r>
        <w:t xml:space="preserve">Verifique si la ocupación o la clase de equipo específica requiere registro, autorización, credenciales de radiación, licencia eléctrica, competencia metrológica o capacitación del fabricante.</w:t>
      </w:r>
    </w:p>
    <w:p>
      <w:pPr>
        <w:numPr>
          <w:ilvl w:val="0"/>
          <w:numId w:val="1016"/>
        </w:numPr>
        <w:pStyle w:val="Compact"/>
      </w:pPr>
      <w:r>
        <w:t xml:space="preserve">Confirme matrícula y financiamiento antes de pagar a un proveedor privado.</w:t>
      </w:r>
    </w:p>
    <w:p>
      <w:pPr>
        <w:pStyle w:val="FirstParagraph"/>
      </w:pPr>
      <w:r>
        <w:t xml:space="preserve">No traduzca "BMET" o "medical equipment repairer" a un título regulado de otro país sin verificarlo.</w:t>
      </w:r>
    </w:p>
    <w:bookmarkEnd w:id="46"/>
    <w:bookmarkStart w:id="47" w:name="cómo-elegir-un-programa-de-capacitación"/>
    <w:p>
      <w:pPr>
        <w:pStyle w:val="Heading2"/>
      </w:pPr>
      <w:r>
        <w:t xml:space="preserve">Cómo elegir un programa de capacitación</w:t>
      </w:r>
    </w:p>
    <w:p>
      <w:pPr>
        <w:pStyle w:val="FirstParagraph"/>
      </w:pPr>
      <w:r>
        <w:t xml:space="preserve">Antes de inscribirse, pregunte:</w:t>
      </w:r>
    </w:p>
    <w:p>
      <w:pPr>
        <w:numPr>
          <w:ilvl w:val="0"/>
          <w:numId w:val="1017"/>
        </w:numPr>
        <w:pStyle w:val="Compact"/>
      </w:pPr>
      <w:r>
        <w:t xml:space="preserve">¿La institución es reconocida por la autoridad educativa correspondiente?</w:t>
      </w:r>
    </w:p>
    <w:p>
      <w:pPr>
        <w:numPr>
          <w:ilvl w:val="0"/>
          <w:numId w:val="1017"/>
        </w:numPr>
        <w:pStyle w:val="Compact"/>
      </w:pPr>
      <w:r>
        <w:t xml:space="preserve">¿Qué proporción del programa es práctica?</w:t>
      </w:r>
    </w:p>
    <w:p>
      <w:pPr>
        <w:numPr>
          <w:ilvl w:val="0"/>
          <w:numId w:val="1017"/>
        </w:numPr>
        <w:pStyle w:val="Compact"/>
      </w:pPr>
      <w:r>
        <w:t xml:space="preserve">¿Qué equipos de prueba se utilizan?</w:t>
      </w:r>
    </w:p>
    <w:p>
      <w:pPr>
        <w:numPr>
          <w:ilvl w:val="0"/>
          <w:numId w:val="1017"/>
        </w:numPr>
        <w:pStyle w:val="Compact"/>
      </w:pPr>
      <w:r>
        <w:t xml:space="preserve">¿Incluye seguridad eléctrica y calibración?</w:t>
      </w:r>
    </w:p>
    <w:p>
      <w:pPr>
        <w:numPr>
          <w:ilvl w:val="0"/>
          <w:numId w:val="1017"/>
        </w:numPr>
        <w:pStyle w:val="Compact"/>
      </w:pPr>
      <w:r>
        <w:t xml:space="preserve">¿Incluye redes y ciberseguridad?</w:t>
      </w:r>
    </w:p>
    <w:p>
      <w:pPr>
        <w:numPr>
          <w:ilvl w:val="0"/>
          <w:numId w:val="1017"/>
        </w:numPr>
        <w:pStyle w:val="Compact"/>
      </w:pPr>
      <w:r>
        <w:t xml:space="preserve">¿El plan cubre documentación de servicio y sistemas de calidad?</w:t>
      </w:r>
    </w:p>
    <w:p>
      <w:pPr>
        <w:numPr>
          <w:ilvl w:val="0"/>
          <w:numId w:val="1017"/>
        </w:numPr>
        <w:pStyle w:val="Compact"/>
      </w:pPr>
      <w:r>
        <w:t xml:space="preserve">¿Explica la diferencia entre servicio, modificación y remanufactura?</w:t>
      </w:r>
    </w:p>
    <w:p>
      <w:pPr>
        <w:numPr>
          <w:ilvl w:val="0"/>
          <w:numId w:val="1017"/>
        </w:numPr>
        <w:pStyle w:val="Compact"/>
      </w:pPr>
      <w:r>
        <w:t xml:space="preserve">¿Hay prácticas en sitios clínicos y están supervisadas?</w:t>
      </w:r>
    </w:p>
    <w:p>
      <w:pPr>
        <w:numPr>
          <w:ilvl w:val="0"/>
          <w:numId w:val="1017"/>
        </w:numPr>
        <w:pStyle w:val="Compact"/>
      </w:pPr>
      <w:r>
        <w:t xml:space="preserve">¿Herramientas, uniformes, software, viajes, exámenes y otros costos están incluidos?</w:t>
      </w:r>
    </w:p>
    <w:p>
      <w:pPr>
        <w:numPr>
          <w:ilvl w:val="0"/>
          <w:numId w:val="1017"/>
        </w:numPr>
        <w:pStyle w:val="Compact"/>
      </w:pPr>
      <w:r>
        <w:t xml:space="preserve">¿Qué empleadores han contratado graduados recientes?</w:t>
      </w:r>
    </w:p>
    <w:p>
      <w:pPr>
        <w:numPr>
          <w:ilvl w:val="0"/>
          <w:numId w:val="1017"/>
        </w:numPr>
        <w:pStyle w:val="Compact"/>
      </w:pPr>
      <w:r>
        <w:t xml:space="preserve">¿La escuela puede documentar esos resultados?</w:t>
      </w:r>
    </w:p>
    <w:p>
      <w:pPr>
        <w:numPr>
          <w:ilvl w:val="0"/>
          <w:numId w:val="1017"/>
        </w:numPr>
        <w:pStyle w:val="Compact"/>
      </w:pPr>
      <w:r>
        <w:t xml:space="preserve">¿Existe política de reembolso?</w:t>
      </w:r>
    </w:p>
    <w:p>
      <w:pPr>
        <w:pStyle w:val="FirstParagraph"/>
      </w:pPr>
      <w:r>
        <w:t xml:space="preserve">Evite escuelas que prometan empleo garantizado, inmigración garantizada, certificación universal o salarios iniciales inusualmente altos sin evidencia verificable.</w:t>
      </w:r>
    </w:p>
    <w:bookmarkEnd w:id="47"/>
    <w:bookmarkStart w:id="54" w:name="X9933c151834a319b500c148e313fc7b9ea64e37"/>
    <w:p>
      <w:pPr>
        <w:pStyle w:val="Heading2"/>
      </w:pPr>
      <w:r>
        <w:t xml:space="preserve">Plan práctico de exploración de 12 semanas</w:t>
      </w:r>
    </w:p>
    <w:bookmarkStart w:id="48" w:name="semanas-12--entender-el-trabajo"/>
    <w:p>
      <w:pPr>
        <w:pStyle w:val="Heading3"/>
      </w:pPr>
      <w:r>
        <w:t xml:space="preserve">Semanas 1–2 — entender el trabajo</w:t>
      </w:r>
    </w:p>
    <w:p>
      <w:pPr>
        <w:numPr>
          <w:ilvl w:val="0"/>
          <w:numId w:val="1018"/>
        </w:numPr>
        <w:pStyle w:val="Compact"/>
      </w:pPr>
      <w:r>
        <w:t xml:space="preserve">Lea el perfil ocupacional de BLS.</w:t>
      </w:r>
    </w:p>
    <w:p>
      <w:pPr>
        <w:numPr>
          <w:ilvl w:val="0"/>
          <w:numId w:val="1018"/>
        </w:numPr>
        <w:pStyle w:val="Compact"/>
      </w:pPr>
      <w:r>
        <w:t xml:space="preserve">Revise diez vacantes locales de equipos médicos/BMET.</w:t>
      </w:r>
    </w:p>
    <w:p>
      <w:pPr>
        <w:numPr>
          <w:ilvl w:val="0"/>
          <w:numId w:val="1018"/>
        </w:numPr>
        <w:pStyle w:val="Compact"/>
      </w:pPr>
      <w:r>
        <w:t xml:space="preserve">Liste requisitos comunes de educación, electrónica, redes, viajes y guardia.</w:t>
      </w:r>
    </w:p>
    <w:p>
      <w:pPr>
        <w:numPr>
          <w:ilvl w:val="0"/>
          <w:numId w:val="1018"/>
        </w:numPr>
        <w:pStyle w:val="Compact"/>
      </w:pPr>
      <w:r>
        <w:t xml:space="preserve">Identifique qué tareas son críticas de seguridad.</w:t>
      </w:r>
    </w:p>
    <w:bookmarkEnd w:id="48"/>
    <w:bookmarkStart w:id="49" w:name="semanas-34--desarrollar-fundamentos"/>
    <w:p>
      <w:pPr>
        <w:pStyle w:val="Heading3"/>
      </w:pPr>
      <w:r>
        <w:t xml:space="preserve">Semanas 3–4 — desarrollar fundamentos</w:t>
      </w:r>
    </w:p>
    <w:p>
      <w:pPr>
        <w:pStyle w:val="FirstParagraph"/>
      </w:pPr>
      <w:r>
        <w:t xml:space="preserve">Estudie electricidad básica CA/CC, ley de Ohm, componentes, medición, seguridad eléctrica, puesta a tierra, baterías y uso seguro de multímetro. Use circuitos de capacitación, no dispositivos médicos activos.</w:t>
      </w:r>
    </w:p>
    <w:bookmarkEnd w:id="49"/>
    <w:bookmarkStart w:id="50" w:name="semanas-56--disciplina-de-diagnóstico"/>
    <w:p>
      <w:pPr>
        <w:pStyle w:val="Heading3"/>
      </w:pPr>
      <w:r>
        <w:t xml:space="preserve">Semanas 5–6 — disciplina de diagnóstico</w:t>
      </w:r>
    </w:p>
    <w:p>
      <w:pPr>
        <w:pStyle w:val="FirstParagraph"/>
      </w:pPr>
      <w:r>
        <w:t xml:space="preserve">Practique aislamiento de fallas en equipos de capacitación de bajo riesgo. Desarrolle un método repetible:</w:t>
      </w:r>
    </w:p>
    <w:p>
      <w:pPr>
        <w:numPr>
          <w:ilvl w:val="0"/>
          <w:numId w:val="1019"/>
        </w:numPr>
        <w:pStyle w:val="Compact"/>
      </w:pPr>
      <w:r>
        <w:t xml:space="preserve">verificar la queja;</w:t>
      </w:r>
    </w:p>
    <w:p>
      <w:pPr>
        <w:numPr>
          <w:ilvl w:val="0"/>
          <w:numId w:val="1019"/>
        </w:numPr>
        <w:pStyle w:val="Compact"/>
      </w:pPr>
      <w:r>
        <w:t xml:space="preserve">inspeccionar de forma segura;</w:t>
      </w:r>
    </w:p>
    <w:p>
      <w:pPr>
        <w:numPr>
          <w:ilvl w:val="0"/>
          <w:numId w:val="1019"/>
        </w:numPr>
        <w:pStyle w:val="Compact"/>
      </w:pPr>
      <w:r>
        <w:t xml:space="preserve">revisar energía y fallas obvias;</w:t>
      </w:r>
    </w:p>
    <w:p>
      <w:pPr>
        <w:numPr>
          <w:ilvl w:val="0"/>
          <w:numId w:val="1019"/>
        </w:numPr>
        <w:pStyle w:val="Compact"/>
      </w:pPr>
      <w:r>
        <w:t xml:space="preserve">consultar documentación aprobada;</w:t>
      </w:r>
    </w:p>
    <w:p>
      <w:pPr>
        <w:numPr>
          <w:ilvl w:val="0"/>
          <w:numId w:val="1019"/>
        </w:numPr>
        <w:pStyle w:val="Compact"/>
      </w:pPr>
      <w:r>
        <w:t xml:space="preserve">medir sistemáticamente;</w:t>
      </w:r>
    </w:p>
    <w:p>
      <w:pPr>
        <w:numPr>
          <w:ilvl w:val="0"/>
          <w:numId w:val="1019"/>
        </w:numPr>
        <w:pStyle w:val="Compact"/>
      </w:pPr>
      <w:r>
        <w:t xml:space="preserve">registrar evidencia;</w:t>
      </w:r>
    </w:p>
    <w:p>
      <w:pPr>
        <w:numPr>
          <w:ilvl w:val="0"/>
          <w:numId w:val="1019"/>
        </w:numPr>
        <w:pStyle w:val="Compact"/>
      </w:pPr>
      <w:r>
        <w:t xml:space="preserve">reparar solo dentro del alcance; y</w:t>
      </w:r>
    </w:p>
    <w:p>
      <w:pPr>
        <w:numPr>
          <w:ilvl w:val="0"/>
          <w:numId w:val="1019"/>
        </w:numPr>
        <w:pStyle w:val="Compact"/>
      </w:pPr>
      <w:r>
        <w:t xml:space="preserve">verificar después de la reparación.</w:t>
      </w:r>
    </w:p>
    <w:bookmarkEnd w:id="50"/>
    <w:bookmarkStart w:id="51" w:name="Xa005c5d2a2a78a9dfef23d090183c951846a712"/>
    <w:p>
      <w:pPr>
        <w:pStyle w:val="Heading3"/>
      </w:pPr>
      <w:r>
        <w:t xml:space="preserve">Semanas 7–8 — fundamentos digitales y de redes</w:t>
      </w:r>
    </w:p>
    <w:p>
      <w:pPr>
        <w:pStyle w:val="FirstParagraph"/>
      </w:pPr>
      <w:r>
        <w:t xml:space="preserve">Aprenda direccionamiento IP, Ethernet, conceptos básicos de Wi-Fi, cuentas seguras, conceptos de parcheo, registros, respaldos y control de cambios. Concéntrese en soporte defensivo, no en pruebas no autorizadas.</w:t>
      </w:r>
    </w:p>
    <w:bookmarkEnd w:id="51"/>
    <w:bookmarkStart w:id="52" w:name="X7d70489a6c035bd0de0702c9c06aa22bc2ffa7c"/>
    <w:p>
      <w:pPr>
        <w:pStyle w:val="Heading3"/>
      </w:pPr>
      <w:r>
        <w:t xml:space="preserve">Semanas 9–10 — calidad y seguridad en salud</w:t>
      </w:r>
    </w:p>
    <w:p>
      <w:pPr>
        <w:pStyle w:val="FirstParagraph"/>
      </w:pPr>
      <w:r>
        <w:t xml:space="preserve">Estudie mantenimiento preventivo, conceptos de calibración, prevención de infecciones, reporte de incidentes, manejo de retiros/alertas, registros de servicio y la distinción FDA entre servicio y remanufactura.</w:t>
      </w:r>
    </w:p>
    <w:bookmarkEnd w:id="52"/>
    <w:bookmarkStart w:id="53" w:name="semanas-1112--decisión-de-carrera"/>
    <w:p>
      <w:pPr>
        <w:pStyle w:val="Heading3"/>
      </w:pPr>
      <w:r>
        <w:t xml:space="preserve">Semanas 11–12 — decisión de carrera</w:t>
      </w:r>
    </w:p>
    <w:p>
      <w:pPr>
        <w:numPr>
          <w:ilvl w:val="0"/>
          <w:numId w:val="1020"/>
        </w:numPr>
        <w:pStyle w:val="Compact"/>
      </w:pPr>
      <w:r>
        <w:t xml:space="preserve">Compare dos o tres opciones creíbles de capacitación.</w:t>
      </w:r>
    </w:p>
    <w:p>
      <w:pPr>
        <w:numPr>
          <w:ilvl w:val="0"/>
          <w:numId w:val="1020"/>
        </w:numPr>
        <w:pStyle w:val="Compact"/>
      </w:pPr>
      <w:r>
        <w:t xml:space="preserve">Verifique primero financiamiento público y patrocinio del empleador.</w:t>
      </w:r>
    </w:p>
    <w:p>
      <w:pPr>
        <w:numPr>
          <w:ilvl w:val="0"/>
          <w:numId w:val="1020"/>
        </w:numPr>
        <w:pStyle w:val="Compact"/>
      </w:pPr>
      <w:r>
        <w:t xml:space="preserve">Hable con técnicos o departamentos de ingeniería clínica cuando sea posible.</w:t>
      </w:r>
    </w:p>
    <w:p>
      <w:pPr>
        <w:numPr>
          <w:ilvl w:val="0"/>
          <w:numId w:val="1020"/>
        </w:numPr>
        <w:pStyle w:val="Compact"/>
      </w:pPr>
      <w:r>
        <w:t xml:space="preserve">Desarrolle un portafolio no confidencial.</w:t>
      </w:r>
    </w:p>
    <w:p>
      <w:pPr>
        <w:numPr>
          <w:ilvl w:val="0"/>
          <w:numId w:val="1020"/>
        </w:numPr>
        <w:pStyle w:val="Compact"/>
      </w:pPr>
      <w:r>
        <w:t xml:space="preserve">Postúlese a puestos realistas de aprendiz, electrónica, servicio de campo o equipos biomédicos.</w:t>
      </w:r>
    </w:p>
    <w:bookmarkEnd w:id="53"/>
    <w:bookmarkEnd w:id="54"/>
    <w:bookmarkStart w:id="55" w:name="Xf17bb0e2ed06ee86c4ea85b6950d1653f25228e"/>
    <w:p>
      <w:pPr>
        <w:pStyle w:val="Heading2"/>
      </w:pPr>
      <w:r>
        <w:t xml:space="preserve">Cómo desarrollar experiencia antes del primer puesto biomédico</w:t>
      </w:r>
    </w:p>
    <w:p>
      <w:pPr>
        <w:pStyle w:val="FirstParagraph"/>
      </w:pPr>
      <w:r>
        <w:t xml:space="preserve">La experiencia transferible puede provenir de:</w:t>
      </w:r>
    </w:p>
    <w:p>
      <w:pPr>
        <w:numPr>
          <w:ilvl w:val="0"/>
          <w:numId w:val="1021"/>
        </w:numPr>
        <w:pStyle w:val="Compact"/>
      </w:pPr>
      <w:r>
        <w:t xml:space="preserve">reparación electrónica;</w:t>
      </w:r>
    </w:p>
    <w:p>
      <w:pPr>
        <w:numPr>
          <w:ilvl w:val="0"/>
          <w:numId w:val="1021"/>
        </w:numPr>
        <w:pStyle w:val="Compact"/>
      </w:pPr>
      <w:r>
        <w:t xml:space="preserve">mantenimiento industrial;</w:t>
      </w:r>
    </w:p>
    <w:p>
      <w:pPr>
        <w:numPr>
          <w:ilvl w:val="0"/>
          <w:numId w:val="1021"/>
        </w:numPr>
        <w:pStyle w:val="Compact"/>
      </w:pPr>
      <w:r>
        <w:t xml:space="preserve">instrumentación;</w:t>
      </w:r>
    </w:p>
    <w:p>
      <w:pPr>
        <w:numPr>
          <w:ilvl w:val="0"/>
          <w:numId w:val="1021"/>
        </w:numPr>
        <w:pStyle w:val="Compact"/>
      </w:pPr>
      <w:r>
        <w:t xml:space="preserve">laboratorios de calibración;</w:t>
      </w:r>
    </w:p>
    <w:p>
      <w:pPr>
        <w:numPr>
          <w:ilvl w:val="0"/>
          <w:numId w:val="1021"/>
        </w:numPr>
        <w:pStyle w:val="Compact"/>
      </w:pPr>
      <w:r>
        <w:t xml:space="preserve">servicio de campo;</w:t>
      </w:r>
    </w:p>
    <w:p>
      <w:pPr>
        <w:numPr>
          <w:ilvl w:val="0"/>
          <w:numId w:val="1021"/>
        </w:numPr>
        <w:pStyle w:val="Compact"/>
      </w:pPr>
      <w:r>
        <w:t xml:space="preserve">soporte TI/redes;</w:t>
      </w:r>
    </w:p>
    <w:p>
      <w:pPr>
        <w:numPr>
          <w:ilvl w:val="0"/>
          <w:numId w:val="1021"/>
        </w:numPr>
        <w:pStyle w:val="Compact"/>
      </w:pPr>
      <w:r>
        <w:t xml:space="preserve">especialidades militares en electrónica/equipos médicos;</w:t>
      </w:r>
    </w:p>
    <w:p>
      <w:pPr>
        <w:numPr>
          <w:ilvl w:val="0"/>
          <w:numId w:val="1021"/>
        </w:numPr>
        <w:pStyle w:val="Compact"/>
      </w:pPr>
      <w:r>
        <w:t xml:space="preserve">soporte de equipos de laboratorio;</w:t>
      </w:r>
    </w:p>
    <w:p>
      <w:pPr>
        <w:numPr>
          <w:ilvl w:val="0"/>
          <w:numId w:val="1021"/>
        </w:numPr>
        <w:pStyle w:val="Compact"/>
      </w:pPr>
      <w:r>
        <w:t xml:space="preserve">pruebas de manufactura; o</w:t>
      </w:r>
    </w:p>
    <w:p>
      <w:pPr>
        <w:numPr>
          <w:ilvl w:val="0"/>
          <w:numId w:val="1021"/>
        </w:numPr>
        <w:pStyle w:val="Compact"/>
      </w:pPr>
      <w:r>
        <w:t xml:space="preserve">soporte técnico al cliente.</w:t>
      </w:r>
    </w:p>
    <w:p>
      <w:pPr>
        <w:pStyle w:val="FirstParagraph"/>
      </w:pPr>
      <w:r>
        <w:t xml:space="preserve">Describa las habilidades transferibles con precisión. No afirme experiencia en servicio de dispositivos médicos si su trabajo fue únicamente electrónica de consumo o TI general.</w:t>
      </w:r>
    </w:p>
    <w:bookmarkEnd w:id="55"/>
    <w:bookmarkStart w:id="56" w:name="ideas-para-portafolio"/>
    <w:p>
      <w:pPr>
        <w:pStyle w:val="Heading2"/>
      </w:pPr>
      <w:r>
        <w:t xml:space="preserve">Ideas para portafolio</w:t>
      </w:r>
    </w:p>
    <w:p>
      <w:pPr>
        <w:pStyle w:val="FirstParagraph"/>
      </w:pPr>
      <w:r>
        <w:t xml:space="preserve">Un portafolio seguro puede incluir:</w:t>
      </w:r>
    </w:p>
    <w:p>
      <w:pPr>
        <w:numPr>
          <w:ilvl w:val="0"/>
          <w:numId w:val="1022"/>
        </w:numPr>
        <w:pStyle w:val="Compact"/>
      </w:pPr>
      <w:r>
        <w:t xml:space="preserve">ejercicios de diagnóstico de bajo voltaje;</w:t>
      </w:r>
    </w:p>
    <w:p>
      <w:pPr>
        <w:numPr>
          <w:ilvl w:val="0"/>
          <w:numId w:val="1022"/>
        </w:numPr>
        <w:pStyle w:val="Compact"/>
      </w:pPr>
      <w:r>
        <w:t xml:space="preserve">diagramas de bloques;</w:t>
      </w:r>
    </w:p>
    <w:p>
      <w:pPr>
        <w:numPr>
          <w:ilvl w:val="0"/>
          <w:numId w:val="1022"/>
        </w:numPr>
        <w:pStyle w:val="Compact"/>
      </w:pPr>
      <w:r>
        <w:t xml:space="preserve">listas de mantenimiento preventivo para equipos ficticios de capacitación;</w:t>
      </w:r>
    </w:p>
    <w:p>
      <w:pPr>
        <w:numPr>
          <w:ilvl w:val="0"/>
          <w:numId w:val="1022"/>
        </w:numPr>
        <w:pStyle w:val="Compact"/>
      </w:pPr>
      <w:r>
        <w:t xml:space="preserve">notas sobre conceptos de calibración;</w:t>
      </w:r>
    </w:p>
    <w:p>
      <w:pPr>
        <w:numPr>
          <w:ilvl w:val="0"/>
          <w:numId w:val="1022"/>
        </w:numPr>
        <w:pStyle w:val="Compact"/>
      </w:pPr>
      <w:r>
        <w:t xml:space="preserve">ejemplos anonimizados de órdenes de trabajo;</w:t>
      </w:r>
    </w:p>
    <w:p>
      <w:pPr>
        <w:numPr>
          <w:ilvl w:val="0"/>
          <w:numId w:val="1022"/>
        </w:numPr>
        <w:pStyle w:val="Compact"/>
      </w:pPr>
      <w:r>
        <w:t xml:space="preserve">laboratorios de diagnóstico de red;</w:t>
      </w:r>
    </w:p>
    <w:p>
      <w:pPr>
        <w:numPr>
          <w:ilvl w:val="0"/>
          <w:numId w:val="1022"/>
        </w:numPr>
        <w:pStyle w:val="Compact"/>
      </w:pPr>
      <w:r>
        <w:t xml:space="preserve">ejemplos de control de cambios de ciberseguridad;</w:t>
      </w:r>
    </w:p>
    <w:p>
      <w:pPr>
        <w:numPr>
          <w:ilvl w:val="0"/>
          <w:numId w:val="1022"/>
        </w:numPr>
        <w:pStyle w:val="Compact"/>
      </w:pPr>
      <w:r>
        <w:t xml:space="preserve">ejercicios de evaluación de riesgos; y</w:t>
      </w:r>
    </w:p>
    <w:p>
      <w:pPr>
        <w:numPr>
          <w:ilvl w:val="0"/>
          <w:numId w:val="1022"/>
        </w:numPr>
        <w:pStyle w:val="Compact"/>
      </w:pPr>
      <w:r>
        <w:t xml:space="preserve">explicaciones breves de cuándo escalar en lugar de reparar.</w:t>
      </w:r>
    </w:p>
    <w:p>
      <w:pPr>
        <w:pStyle w:val="FirstParagraph"/>
      </w:pPr>
      <w:r>
        <w:t xml:space="preserve">Nunca coloque datos reales de pacientes, material confidencial del empleador, manuales propietarios, claves de dispositivos ni información de servicio no autorizada en un portafolio público.</w:t>
      </w:r>
    </w:p>
    <w:bookmarkEnd w:id="56"/>
    <w:bookmarkStart w:id="57" w:name="X11bdb18511de2238f2744964a22676785bf3ca5"/>
    <w:p>
      <w:pPr>
        <w:pStyle w:val="Heading2"/>
      </w:pPr>
      <w:r>
        <w:t xml:space="preserve">Lenguaje de currículum que se mantiene preciso</w:t>
      </w:r>
    </w:p>
    <w:p>
      <w:pPr>
        <w:pStyle w:val="FirstParagraph"/>
      </w:pPr>
      <w:r>
        <w:t xml:space="preserve">Ejemplos de lenguaje defendible cuando sea verdadero:</w:t>
      </w:r>
    </w:p>
    <w:p>
      <w:pPr>
        <w:numPr>
          <w:ilvl w:val="0"/>
          <w:numId w:val="1023"/>
        </w:numPr>
        <w:pStyle w:val="Compact"/>
      </w:pPr>
      <w:r>
        <w:t xml:space="preserve">"Realicé diagnóstico sistemático de fallas utilizando documentación técnica aprobada y equipos de prueba."</w:t>
      </w:r>
    </w:p>
    <w:p>
      <w:pPr>
        <w:numPr>
          <w:ilvl w:val="0"/>
          <w:numId w:val="1023"/>
        </w:numPr>
        <w:pStyle w:val="Compact"/>
      </w:pPr>
      <w:r>
        <w:t xml:space="preserve">"Documenté mantenimiento preventivo y correctivo con mediciones trazables y registros de piezas."</w:t>
      </w:r>
    </w:p>
    <w:p>
      <w:pPr>
        <w:numPr>
          <w:ilvl w:val="0"/>
          <w:numId w:val="1023"/>
        </w:numPr>
        <w:pStyle w:val="Compact"/>
      </w:pPr>
      <w:r>
        <w:t xml:space="preserve">"Apliqué procedimientos de seguridad eléctrica, control de cambios y escalamiento para equipos sensibles a la seguridad."</w:t>
      </w:r>
    </w:p>
    <w:p>
      <w:pPr>
        <w:numPr>
          <w:ilvl w:val="0"/>
          <w:numId w:val="1023"/>
        </w:numPr>
        <w:pStyle w:val="Compact"/>
      </w:pPr>
      <w:r>
        <w:t xml:space="preserve">"Apoyé equipos conectados a red cumpliendo controles de credenciales y ciberseguridad."</w:t>
      </w:r>
    </w:p>
    <w:p>
      <w:pPr>
        <w:numPr>
          <w:ilvl w:val="0"/>
          <w:numId w:val="1023"/>
        </w:numPr>
        <w:pStyle w:val="Compact"/>
      </w:pPr>
      <w:r>
        <w:t xml:space="preserve">"Coordiné problemas técnicos con usuarios, proveedores, ingeniería, TI y equipos de calidad."</w:t>
      </w:r>
    </w:p>
    <w:p>
      <w:pPr>
        <w:pStyle w:val="FirstParagraph"/>
      </w:pPr>
      <w:r>
        <w:t xml:space="preserve">No use "certificado", "licenciado", "autorizado por el fabricante" o "ingeniero clínico" salvo que sea factualmente correcto para usted y la jurisdicción.</w:t>
      </w:r>
    </w:p>
    <w:bookmarkEnd w:id="57"/>
    <w:bookmarkStart w:id="58" w:name="X91b60be7871c133b49d7bedcb7cad76472cabb6"/>
    <w:p>
      <w:pPr>
        <w:pStyle w:val="Heading2"/>
      </w:pPr>
      <w:r>
        <w:t xml:space="preserve">Preguntas para entrevistar a un empleador</w:t>
      </w:r>
    </w:p>
    <w:p>
      <w:pPr>
        <w:pStyle w:val="FirstParagraph"/>
      </w:pPr>
      <w:r>
        <w:t xml:space="preserve">Pregunte:</w:t>
      </w:r>
    </w:p>
    <w:p>
      <w:pPr>
        <w:numPr>
          <w:ilvl w:val="0"/>
          <w:numId w:val="1024"/>
        </w:numPr>
        <w:pStyle w:val="Compact"/>
      </w:pPr>
      <w:r>
        <w:t xml:space="preserve">¿Qué equipos voy a apoyar?</w:t>
      </w:r>
    </w:p>
    <w:p>
      <w:pPr>
        <w:numPr>
          <w:ilvl w:val="0"/>
          <w:numId w:val="1024"/>
        </w:numPr>
        <w:pStyle w:val="Compact"/>
      </w:pPr>
      <w:r>
        <w:t xml:space="preserve">¿Qué tareas requieren capacitación del fabricante?</w:t>
      </w:r>
    </w:p>
    <w:p>
      <w:pPr>
        <w:numPr>
          <w:ilvl w:val="0"/>
          <w:numId w:val="1024"/>
        </w:numPr>
        <w:pStyle w:val="Compact"/>
      </w:pPr>
      <w:r>
        <w:t xml:space="preserve">¿Cuál es la vía de escalamiento para modificaciones o reparaciones inusuales?</w:t>
      </w:r>
    </w:p>
    <w:p>
      <w:pPr>
        <w:numPr>
          <w:ilvl w:val="0"/>
          <w:numId w:val="1024"/>
        </w:numPr>
        <w:pStyle w:val="Compact"/>
      </w:pPr>
      <w:r>
        <w:t xml:space="preserve">¿Cómo se determinan los intervalos de mantenimiento preventivo?</w:t>
      </w:r>
    </w:p>
    <w:p>
      <w:pPr>
        <w:numPr>
          <w:ilvl w:val="0"/>
          <w:numId w:val="1024"/>
        </w:numPr>
        <w:pStyle w:val="Compact"/>
      </w:pPr>
      <w:r>
        <w:t xml:space="preserve">¿Qué equipos de prueba y controles de calibración se utilizan?</w:t>
      </w:r>
    </w:p>
    <w:p>
      <w:pPr>
        <w:numPr>
          <w:ilvl w:val="0"/>
          <w:numId w:val="1024"/>
        </w:numPr>
        <w:pStyle w:val="Compact"/>
      </w:pPr>
      <w:r>
        <w:t xml:space="preserve">¿Qué responsabilidades de ciberseguridad pertenecen a este puesto?</w:t>
      </w:r>
    </w:p>
    <w:p>
      <w:pPr>
        <w:numPr>
          <w:ilvl w:val="0"/>
          <w:numId w:val="1024"/>
        </w:numPr>
        <w:pStyle w:val="Compact"/>
      </w:pPr>
      <w:r>
        <w:t xml:space="preserve">¿Cómo se manejan retiros, alertas de seguridad y tecnovigilancia/eventos adversos?</w:t>
      </w:r>
    </w:p>
    <w:p>
      <w:pPr>
        <w:numPr>
          <w:ilvl w:val="0"/>
          <w:numId w:val="1024"/>
        </w:numPr>
        <w:pStyle w:val="Compact"/>
      </w:pPr>
      <w:r>
        <w:t xml:space="preserve">¿Cuánto viaje o trabajo de guardia se espera?</w:t>
      </w:r>
    </w:p>
    <w:p>
      <w:pPr>
        <w:numPr>
          <w:ilvl w:val="0"/>
          <w:numId w:val="1024"/>
        </w:numPr>
        <w:pStyle w:val="Compact"/>
      </w:pPr>
      <w:r>
        <w:t xml:space="preserve">¿Qué capacitación se ofrece durante los primeros seis meses?</w:t>
      </w:r>
    </w:p>
    <w:p>
      <w:pPr>
        <w:numPr>
          <w:ilvl w:val="0"/>
          <w:numId w:val="1024"/>
        </w:numPr>
        <w:pStyle w:val="Compact"/>
      </w:pPr>
      <w:r>
        <w:t xml:space="preserve">¿Se reembolsan herramientas, viajes, teléfono y costos de certificación/capacitación?</w:t>
      </w:r>
    </w:p>
    <w:bookmarkEnd w:id="58"/>
    <w:bookmarkStart w:id="59" w:name="accesibilidad-y-apoyo-a-la-discapacidad"/>
    <w:p>
      <w:pPr>
        <w:pStyle w:val="Heading2"/>
      </w:pPr>
      <w:r>
        <w:t xml:space="preserve">Accesibilidad y apoyo a la discapacidad</w:t>
      </w:r>
    </w:p>
    <w:p>
      <w:pPr>
        <w:pStyle w:val="FirstParagraph"/>
      </w:pPr>
      <w:r>
        <w:t xml:space="preserve">Las personas con discapacidad pueden trabajar con éxito en servicio técnico cuando las tareas y los ajustes razonables se alinean.</w:t>
      </w:r>
    </w:p>
    <w:p>
      <w:pPr>
        <w:pStyle w:val="BodyText"/>
      </w:pPr>
      <w:r>
        <w:t xml:space="preserve">Los apoyos posibles pueden incluir:</w:t>
      </w:r>
    </w:p>
    <w:p>
      <w:pPr>
        <w:numPr>
          <w:ilvl w:val="0"/>
          <w:numId w:val="1025"/>
        </w:numPr>
        <w:pStyle w:val="Compact"/>
      </w:pPr>
      <w:r>
        <w:t xml:space="preserve">bancos ergonómicos y superficies ajustables;</w:t>
      </w:r>
    </w:p>
    <w:p>
      <w:pPr>
        <w:numPr>
          <w:ilvl w:val="0"/>
          <w:numId w:val="1025"/>
        </w:numPr>
        <w:pStyle w:val="Compact"/>
      </w:pPr>
      <w:r>
        <w:t xml:space="preserve">aumento o mejor iluminación;</w:t>
      </w:r>
    </w:p>
    <w:p>
      <w:pPr>
        <w:numPr>
          <w:ilvl w:val="0"/>
          <w:numId w:val="1025"/>
        </w:numPr>
        <w:pStyle w:val="Compact"/>
      </w:pPr>
      <w:r>
        <w:t xml:space="preserve">lectores de pantalla o dictado para documentación;</w:t>
      </w:r>
    </w:p>
    <w:p>
      <w:pPr>
        <w:numPr>
          <w:ilvl w:val="0"/>
          <w:numId w:val="1025"/>
        </w:numPr>
        <w:pStyle w:val="Compact"/>
      </w:pPr>
      <w:r>
        <w:t xml:space="preserve">apoyos de accesibilidad auditiva;</w:t>
      </w:r>
    </w:p>
    <w:p>
      <w:pPr>
        <w:numPr>
          <w:ilvl w:val="0"/>
          <w:numId w:val="1025"/>
        </w:numPr>
        <w:pStyle w:val="Compact"/>
      </w:pPr>
      <w:r>
        <w:t xml:space="preserve">procedimientos escritos y listas de verificación;</w:t>
      </w:r>
    </w:p>
    <w:p>
      <w:pPr>
        <w:numPr>
          <w:ilvl w:val="0"/>
          <w:numId w:val="1025"/>
        </w:numPr>
        <w:pStyle w:val="Compact"/>
      </w:pPr>
      <w:r>
        <w:t xml:space="preserve">ayudas para secuenciar tareas;</w:t>
      </w:r>
    </w:p>
    <w:p>
      <w:pPr>
        <w:numPr>
          <w:ilvl w:val="0"/>
          <w:numId w:val="1025"/>
        </w:numPr>
        <w:pStyle w:val="Compact"/>
      </w:pPr>
      <w:r>
        <w:t xml:space="preserve">equipos de prueba o interfaces de software accesibles;</w:t>
      </w:r>
    </w:p>
    <w:p>
      <w:pPr>
        <w:numPr>
          <w:ilvl w:val="0"/>
          <w:numId w:val="1025"/>
        </w:numPr>
        <w:pStyle w:val="Compact"/>
      </w:pPr>
      <w:r>
        <w:t xml:space="preserve">ajustes de horario cuando sean legal y operativamente viables; y</w:t>
      </w:r>
    </w:p>
    <w:p>
      <w:pPr>
        <w:numPr>
          <w:ilvl w:val="0"/>
          <w:numId w:val="1025"/>
        </w:numPr>
        <w:pStyle w:val="Compact"/>
      </w:pPr>
      <w:r>
        <w:t xml:space="preserve">métodos alternativos para tareas físicas no esenciales.</w:t>
      </w:r>
    </w:p>
    <w:p>
      <w:pPr>
        <w:pStyle w:val="FirstParagraph"/>
      </w:pPr>
      <w:r>
        <w:t xml:space="preserve">Un ajuste no exige omitir un control esencial de seguridad. Analice funciones esenciales y opciones de ajuste mediante el proceso apropiado del empleador o institución educativa.</w:t>
      </w:r>
    </w:p>
    <w:bookmarkEnd w:id="59"/>
    <w:bookmarkStart w:id="60" w:name="X65c10301214d4c7955d405470f211a136f83d5b"/>
    <w:p>
      <w:pPr>
        <w:pStyle w:val="Heading2"/>
      </w:pPr>
      <w:r>
        <w:t xml:space="preserve">Detección de estafas y pausa antes de gastar</w:t>
      </w:r>
    </w:p>
    <w:p>
      <w:pPr>
        <w:pStyle w:val="FirstParagraph"/>
      </w:pPr>
      <w:r>
        <w:t xml:space="preserve">Deténgase antes de pagar si una escuela, reclutador o proveedor de credenciales:</w:t>
      </w:r>
    </w:p>
    <w:p>
      <w:pPr>
        <w:numPr>
          <w:ilvl w:val="0"/>
          <w:numId w:val="1026"/>
        </w:numPr>
        <w:pStyle w:val="Compact"/>
      </w:pPr>
      <w:r>
        <w:t xml:space="preserve">promete un empleo garantizado;</w:t>
      </w:r>
    </w:p>
    <w:p>
      <w:pPr>
        <w:numPr>
          <w:ilvl w:val="0"/>
          <w:numId w:val="1026"/>
        </w:numPr>
        <w:pStyle w:val="Compact"/>
      </w:pPr>
      <w:r>
        <w:t xml:space="preserve">promete una visa de trabajo garantizada en Estados Unidos, Canadá o Colombia;</w:t>
      </w:r>
    </w:p>
    <w:p>
      <w:pPr>
        <w:numPr>
          <w:ilvl w:val="0"/>
          <w:numId w:val="1026"/>
        </w:numPr>
        <w:pStyle w:val="Compact"/>
      </w:pPr>
      <w:r>
        <w:t xml:space="preserve">afirma que un certificado es legalmente obligatorio en todas partes;</w:t>
      </w:r>
    </w:p>
    <w:p>
      <w:pPr>
        <w:numPr>
          <w:ilvl w:val="0"/>
          <w:numId w:val="1026"/>
        </w:numPr>
        <w:pStyle w:val="Compact"/>
      </w:pPr>
      <w:r>
        <w:t xml:space="preserve">presiona para pagar inmediatamente;</w:t>
      </w:r>
    </w:p>
    <w:p>
      <w:pPr>
        <w:numPr>
          <w:ilvl w:val="0"/>
          <w:numId w:val="1026"/>
        </w:numPr>
        <w:pStyle w:val="Compact"/>
      </w:pPr>
      <w:r>
        <w:t xml:space="preserve">se niega a identificar la autoridad de acreditación/reconocimiento;</w:t>
      </w:r>
    </w:p>
    <w:p>
      <w:pPr>
        <w:numPr>
          <w:ilvl w:val="0"/>
          <w:numId w:val="1026"/>
        </w:numPr>
        <w:pStyle w:val="Compact"/>
      </w:pPr>
      <w:r>
        <w:t xml:space="preserve">no puede mostrar el plan de estudios o costo total;</w:t>
      </w:r>
    </w:p>
    <w:p>
      <w:pPr>
        <w:numPr>
          <w:ilvl w:val="0"/>
          <w:numId w:val="1026"/>
        </w:numPr>
        <w:pStyle w:val="Compact"/>
      </w:pPr>
      <w:r>
        <w:t xml:space="preserve">anuncia salarios iniciales inverosímiles sin evidencia local;</w:t>
      </w:r>
    </w:p>
    <w:p>
      <w:pPr>
        <w:numPr>
          <w:ilvl w:val="0"/>
          <w:numId w:val="1026"/>
        </w:numPr>
        <w:pStyle w:val="Compact"/>
      </w:pPr>
      <w:r>
        <w:t xml:space="preserve">pide pago mediante tarjeta de regalo, criptomoneda o transferencia inusual; o</w:t>
      </w:r>
    </w:p>
    <w:p>
      <w:pPr>
        <w:numPr>
          <w:ilvl w:val="0"/>
          <w:numId w:val="1026"/>
        </w:numPr>
        <w:pStyle w:val="Compact"/>
      </w:pPr>
      <w:r>
        <w:t xml:space="preserve">le dice que no verifique las afirmaciones con empleadores o agencias públicas.</w:t>
      </w:r>
    </w:p>
    <w:p>
      <w:pPr>
        <w:pStyle w:val="FirstParagraph"/>
      </w:pPr>
      <w:r>
        <w:t xml:space="preserve">Verifique primero. Las instituciones públicas y los empleadores suelen ser mejores fuentes de requisitos que las páginas de marketing.</w:t>
      </w:r>
    </w:p>
    <w:bookmarkEnd w:id="60"/>
    <w:bookmarkStart w:id="61" w:name="progresión-profesional"/>
    <w:p>
      <w:pPr>
        <w:pStyle w:val="Heading2"/>
      </w:pPr>
      <w:r>
        <w:t xml:space="preserve">Progresión profesional</w:t>
      </w:r>
    </w:p>
    <w:p>
      <w:pPr>
        <w:pStyle w:val="FirstParagraph"/>
      </w:pPr>
      <w:r>
        <w:t xml:space="preserve">La progresión depende de educación, desempeño, estructura del empleador y jurisdicción. Las rutas pueden incluir:</w:t>
      </w:r>
    </w:p>
    <w:p>
      <w:pPr>
        <w:numPr>
          <w:ilvl w:val="0"/>
          <w:numId w:val="1027"/>
        </w:numPr>
        <w:pStyle w:val="Compact"/>
      </w:pPr>
      <w:r>
        <w:t xml:space="preserve">técnico senior de equipos biomédicos;</w:t>
      </w:r>
    </w:p>
    <w:p>
      <w:pPr>
        <w:numPr>
          <w:ilvl w:val="0"/>
          <w:numId w:val="1027"/>
        </w:numPr>
        <w:pStyle w:val="Compact"/>
      </w:pPr>
      <w:r>
        <w:t xml:space="preserve">especialista en imágenes o equipos de laboratorio;</w:t>
      </w:r>
    </w:p>
    <w:p>
      <w:pPr>
        <w:numPr>
          <w:ilvl w:val="0"/>
          <w:numId w:val="1027"/>
        </w:numPr>
        <w:pStyle w:val="Compact"/>
      </w:pPr>
      <w:r>
        <w:t xml:space="preserve">ingeniero/técnico de servicio de campo;</w:t>
      </w:r>
    </w:p>
    <w:p>
      <w:pPr>
        <w:numPr>
          <w:ilvl w:val="0"/>
          <w:numId w:val="1027"/>
        </w:numPr>
        <w:pStyle w:val="Compact"/>
      </w:pPr>
      <w:r>
        <w:t xml:space="preserve">soporte de ingeniería clínica;</w:t>
      </w:r>
    </w:p>
    <w:p>
      <w:pPr>
        <w:numPr>
          <w:ilvl w:val="0"/>
          <w:numId w:val="1027"/>
        </w:numPr>
        <w:pStyle w:val="Compact"/>
      </w:pPr>
      <w:r>
        <w:t xml:space="preserve">formador técnico;</w:t>
      </w:r>
    </w:p>
    <w:p>
      <w:pPr>
        <w:numPr>
          <w:ilvl w:val="0"/>
          <w:numId w:val="1027"/>
        </w:numPr>
        <w:pStyle w:val="Compact"/>
      </w:pPr>
      <w:r>
        <w:t xml:space="preserve">coordinador de servicio;</w:t>
      </w:r>
    </w:p>
    <w:p>
      <w:pPr>
        <w:numPr>
          <w:ilvl w:val="0"/>
          <w:numId w:val="1027"/>
        </w:numPr>
        <w:pStyle w:val="Compact"/>
      </w:pPr>
      <w:r>
        <w:t xml:space="preserve">soporte de calidad o regulación;</w:t>
      </w:r>
    </w:p>
    <w:p>
      <w:pPr>
        <w:numPr>
          <w:ilvl w:val="0"/>
          <w:numId w:val="1027"/>
        </w:numPr>
        <w:pStyle w:val="Compact"/>
      </w:pPr>
      <w:r>
        <w:t xml:space="preserve">soporte de dispositivos médicos enfocado en ciberseguridad;</w:t>
      </w:r>
    </w:p>
    <w:p>
      <w:pPr>
        <w:numPr>
          <w:ilvl w:val="0"/>
          <w:numId w:val="1027"/>
        </w:numPr>
        <w:pStyle w:val="Compact"/>
      </w:pPr>
      <w:r>
        <w:t xml:space="preserve">supervisor o gerente; o</w:t>
      </w:r>
    </w:p>
    <w:p>
      <w:pPr>
        <w:numPr>
          <w:ilvl w:val="0"/>
          <w:numId w:val="1027"/>
        </w:numPr>
        <w:pStyle w:val="Compact"/>
      </w:pPr>
      <w:r>
        <w:t xml:space="preserve">educación adicional en ingeniería/tecnología.</w:t>
      </w:r>
    </w:p>
    <w:p>
      <w:pPr>
        <w:pStyle w:val="FirstParagraph"/>
      </w:pPr>
      <w:r>
        <w:t xml:space="preserve">Un título como "ingeniero" puede estar regulado en algunas jurisdicciones. No afirme un título profesional protegido sin verificar las reglas locales.</w:t>
      </w:r>
    </w:p>
    <w:bookmarkEnd w:id="61"/>
    <w:bookmarkStart w:id="72" w:name="X3f3ceb74500a766904624a4fb99e31cf1a80a47"/>
    <w:p>
      <w:pPr>
        <w:pStyle w:val="Heading2"/>
      </w:pPr>
      <w:r>
        <w:t xml:space="preserve">Lista de fuentes — verificar antes de decisiones importantes</w:t>
      </w:r>
    </w:p>
    <w:bookmarkStart w:id="67" w:name="estados-unidos"/>
    <w:p>
      <w:pPr>
        <w:pStyle w:val="Heading3"/>
      </w:pPr>
      <w:r>
        <w:t xml:space="preserve">Estados Unidos</w:t>
      </w:r>
    </w:p>
    <w:p>
      <w:pPr>
        <w:pStyle w:val="FirstParagraph"/>
      </w:pPr>
      <w:r>
        <w:t xml:space="preserve">U.S. Bureau of Labor Statistics — Medical Equipment Repairers</w:t>
      </w:r>
      <w:r>
        <w:br/>
      </w:r>
      <w:hyperlink r:id="rId62">
        <w:hyperlink r:id="rId62">
          <w:r>
            <w:rPr>
              <w:rStyle w:val="Hyperlink"/>
            </w:rPr>
            <w:t xml:space="preserve">Source link</w:t>
          </w:r>
        </w:hyperlink>
      </w:hyperlink>
    </w:p>
    <w:p>
      <w:pPr>
        <w:pStyle w:val="BodyText"/>
      </w:pPr>
      <w:r>
        <w:t xml:space="preserve">U.S. Food and Drug Administration — Remanufacturing and Servicing Medical Devices</w:t>
      </w:r>
      <w:r>
        <w:br/>
      </w:r>
      <w:hyperlink r:id="rId63">
        <w:hyperlink r:id="rId63">
          <w:r>
            <w:rPr>
              <w:rStyle w:val="Hyperlink"/>
            </w:rPr>
            <w:t xml:space="preserve">Source link</w:t>
          </w:r>
        </w:hyperlink>
      </w:hyperlink>
    </w:p>
    <w:p>
      <w:pPr>
        <w:pStyle w:val="BodyText"/>
      </w:pPr>
      <w:r>
        <w:t xml:space="preserve">U.S. Food and Drug Administration — Remanufacturing of Medical Devices, final guidance</w:t>
      </w:r>
      <w:r>
        <w:br/>
      </w:r>
      <w:hyperlink r:id="rId64">
        <w:hyperlink r:id="rId64">
          <w:r>
            <w:rPr>
              <w:rStyle w:val="Hyperlink"/>
            </w:rPr>
            <w:t xml:space="preserve">Source link</w:t>
          </w:r>
        </w:hyperlink>
      </w:hyperlink>
    </w:p>
    <w:p>
      <w:pPr>
        <w:pStyle w:val="BodyText"/>
      </w:pPr>
      <w:r>
        <w:t xml:space="preserve">FDA — Cybersecurity</w:t>
      </w:r>
      <w:r>
        <w:br/>
      </w:r>
      <w:hyperlink r:id="rId65">
        <w:hyperlink r:id="rId65">
          <w:r>
            <w:rPr>
              <w:rStyle w:val="Hyperlink"/>
            </w:rPr>
            <w:t xml:space="preserve">Source link</w:t>
          </w:r>
        </w:hyperlink>
      </w:hyperlink>
    </w:p>
    <w:p>
      <w:pPr>
        <w:pStyle w:val="BodyText"/>
      </w:pPr>
      <w:r>
        <w:t xml:space="preserve">FDA — Postmarket Management of Cybersecurity in Medical Devices</w:t>
      </w:r>
      <w:r>
        <w:br/>
      </w:r>
      <w:hyperlink r:id="rId66">
        <w:hyperlink r:id="rId66">
          <w:r>
            <w:rPr>
              <w:rStyle w:val="Hyperlink"/>
            </w:rPr>
            <w:t xml:space="preserve">Source link</w:t>
          </w:r>
        </w:hyperlink>
      </w:hyperlink>
    </w:p>
    <w:p>
      <w:pPr>
        <w:pStyle w:val="BodyText"/>
      </w:pPr>
      <w:r>
        <w:t xml:space="preserve">CareerOneStop — American Job Center Finder</w:t>
      </w:r>
      <w:r>
        <w:br/>
      </w:r>
      <w:hyperlink r:id="rId33">
        <w:hyperlink r:id="rId33">
          <w:r>
            <w:rPr>
              <w:rStyle w:val="Hyperlink"/>
            </w:rPr>
            <w:t xml:space="preserve">Source link</w:t>
          </w:r>
        </w:hyperlink>
      </w:hyperlink>
    </w:p>
    <w:p>
      <w:pPr>
        <w:pStyle w:val="BodyText"/>
      </w:pPr>
      <w:r>
        <w:t xml:space="preserve">CareerOneStop — WIOA-Eligible Training Program Finder</w:t>
      </w:r>
      <w:r>
        <w:br/>
      </w:r>
      <w:hyperlink r:id="rId34">
        <w:hyperlink r:id="rId34">
          <w:r>
            <w:rPr>
              <w:rStyle w:val="Hyperlink"/>
            </w:rPr>
            <w:t xml:space="preserve">Source link</w:t>
          </w:r>
        </w:hyperlink>
      </w:hyperlink>
    </w:p>
    <w:bookmarkEnd w:id="67"/>
    <w:bookmarkStart w:id="70" w:name="canadá"/>
    <w:p>
      <w:pPr>
        <w:pStyle w:val="Heading3"/>
      </w:pPr>
      <w:r>
        <w:t xml:space="preserve">Canadá</w:t>
      </w:r>
    </w:p>
    <w:p>
      <w:pPr>
        <w:pStyle w:val="FirstParagraph"/>
      </w:pPr>
      <w:r>
        <w:t xml:space="preserve">Government of Canada Job Bank — Biomedical And Laboratory Equipment Repairer</w:t>
      </w:r>
      <w:r>
        <w:br/>
      </w:r>
      <w:hyperlink r:id="rId68">
        <w:hyperlink r:id="rId68">
          <w:r>
            <w:rPr>
              <w:rStyle w:val="Hyperlink"/>
            </w:rPr>
            <w:t xml:space="preserve">Source link</w:t>
          </w:r>
        </w:hyperlink>
      </w:hyperlink>
    </w:p>
    <w:p>
      <w:pPr>
        <w:pStyle w:val="BodyText"/>
      </w:pPr>
      <w:r>
        <w:t xml:space="preserve">Government of Canada Job Bank — wages</w:t>
      </w:r>
      <w:r>
        <w:br/>
      </w:r>
      <w:hyperlink r:id="rId69">
        <w:hyperlink r:id="rId69">
          <w:r>
            <w:rPr>
              <w:rStyle w:val="Hyperlink"/>
            </w:rPr>
            <w:t xml:space="preserve">Source link</w:t>
          </w:r>
        </w:hyperlink>
      </w:hyperlink>
    </w:p>
    <w:bookmarkEnd w:id="70"/>
    <w:bookmarkStart w:id="71" w:name="colombia"/>
    <w:p>
      <w:pPr>
        <w:pStyle w:val="Heading3"/>
      </w:pPr>
      <w:r>
        <w:t xml:space="preserve">Colombia</w:t>
      </w:r>
    </w:p>
    <w:p>
      <w:pPr>
        <w:pStyle w:val="FirstParagraph"/>
      </w:pPr>
      <w:r>
        <w:t xml:space="preserve">SENA — Resolución 472 de 2014, listado de programa</w:t>
      </w:r>
      <w:r>
        <w:br/>
      </w:r>
      <w:hyperlink r:id="rId40">
        <w:hyperlink r:id="rId40">
          <w:r>
            <w:rPr>
              <w:rStyle w:val="Hyperlink"/>
            </w:rPr>
            <w:t xml:space="preserve">Source link</w:t>
          </w:r>
        </w:hyperlink>
      </w:hyperlink>
    </w:p>
    <w:p>
      <w:pPr>
        <w:pStyle w:val="BodyText"/>
      </w:pPr>
      <w:r>
        <w:t xml:space="preserve">SENA — Circular 22 de 2024, listado de centro/programa</w:t>
      </w:r>
      <w:r>
        <w:br/>
      </w:r>
      <w:hyperlink r:id="rId41">
        <w:hyperlink r:id="rId41">
          <w:r>
            <w:rPr>
              <w:rStyle w:val="Hyperlink"/>
            </w:rPr>
            <w:t xml:space="preserve">Source link</w:t>
          </w:r>
        </w:hyperlink>
      </w:hyperlink>
    </w:p>
    <w:p>
      <w:pPr>
        <w:pStyle w:val="BodyText"/>
      </w:pPr>
      <w:r>
        <w:t xml:space="preserve">INVIMA — Programa Nacional de Tecnovigilancia</w:t>
      </w:r>
      <w:r>
        <w:br/>
      </w:r>
      <w:hyperlink r:id="rId43">
        <w:hyperlink r:id="rId43">
          <w:r>
            <w:rPr>
              <w:rStyle w:val="Hyperlink"/>
            </w:rPr>
            <w:t xml:space="preserve">Source link</w:t>
          </w:r>
        </w:hyperlink>
      </w:hyperlink>
    </w:p>
    <w:bookmarkEnd w:id="71"/>
    <w:bookmarkEnd w:id="72"/>
    <w:bookmarkStart w:id="73" w:name="comprobación-final-de-realidad"/>
    <w:p>
      <w:pPr>
        <w:pStyle w:val="Heading2"/>
      </w:pPr>
      <w:r>
        <w:t xml:space="preserve">Comprobación final de realidad</w:t>
      </w:r>
    </w:p>
    <w:p>
      <w:pPr>
        <w:pStyle w:val="FirstParagraph"/>
      </w:pPr>
      <w:r>
        <w:t xml:space="preserve">La reparación de equipos médicos puede ser una sólida carrera técnica en salud para personas que disfrutan el diagnóstico de fallas, la precisión, la documentación, la electrónica y el servicio. También es un trabajo crítico para la seguridad. Una reparación apresurada, un cambio no documentado, una actualización de firmware no autorizada, un problema de calibración omitido, un incidente ocultado o un error de ciberseguridad pueden tener consecuencias mucho mayores que una falla electrónica común.</w:t>
      </w:r>
    </w:p>
    <w:p>
      <w:pPr>
        <w:pStyle w:val="BodyText"/>
      </w:pPr>
      <w:r>
        <w:t xml:space="preserve">Los técnicos más sólidos no son quienes siempre dicen "yo lo arreglo". Son quienes saben verificar, documentar, probar, proteger al paciente y detenerse cuando el trabajo cruza sus límites autorizados.</w:t>
      </w:r>
    </w:p>
    <w:p>
      <w:pPr>
        <w:pStyle w:val="BodyText"/>
      </w:pPr>
      <w:r>
        <w:t xml:space="preserve">Esta guía es educativa. No proporciona autorización del fabricante, aprobación legal o regulatoria, licencia profesional, certificación humana independiente, certificación profesional de traducción, acreditación, aprobación clínica, garantía de empleo, garantía de ingresos ni asesoramiento financiero. Verifique los requisitos vigentes con el empleador, fabricante, regulador, autoridad educativa y agencia pública de financiamiento pertinentes antes de tomar decisiones importantes.</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normograma.sena.edu.co/compilacion/docs/circular_sena_0022_2024.htm" TargetMode="External" /><Relationship Type="http://schemas.openxmlformats.org/officeDocument/2006/relationships/hyperlink" Id="rId40" Target="https://normograma.sena.edu.co/compilacion/docs/resolucion_sena_0472_2014.htm" TargetMode="External" /><Relationship Type="http://schemas.openxmlformats.org/officeDocument/2006/relationships/hyperlink" Id="rId62" Target="https://www.bls.gov/ooh/installation-maintenance-and-repair/medical-equipment-repairers.htm" TargetMode="External" /><Relationship Type="http://schemas.openxmlformats.org/officeDocument/2006/relationships/hyperlink" Id="rId33" Target="https://www.careeronestop.org/LocalHelp/AmericanJobCenters/american-job-centers.aspx" TargetMode="External" /><Relationship Type="http://schemas.openxmlformats.org/officeDocument/2006/relationships/hyperlink" Id="rId34" Target="https://www.careeronestop.org/LocalHelp/EmploymentAndTraining/find-WIOA-training-programs.aspx" TargetMode="External" /><Relationship Type="http://schemas.openxmlformats.org/officeDocument/2006/relationships/hyperlink" Id="rId65" Target="https://www.fda.gov/medical-devices/digital-health-center-excellence/cybersecurity" TargetMode="External" /><Relationship Type="http://schemas.openxmlformats.org/officeDocument/2006/relationships/hyperlink" Id="rId63" Target="https://www.fda.gov/medical-devices/quality-and-compliance-medical-devices/remanufacturing-and-servicing-medical-devices" TargetMode="External" /><Relationship Type="http://schemas.openxmlformats.org/officeDocument/2006/relationships/hyperlink" Id="rId66" Target="https://www.fda.gov/regulatory-information/search-fda-guidance-documents/postmarket-management-cybersecurity-medical-devices" TargetMode="External" /><Relationship Type="http://schemas.openxmlformats.org/officeDocument/2006/relationships/hyperlink" Id="rId64" Target="https://www.fda.gov/regulatory-information/search-fda-guidance-documents/remanufacturing-medical-devices" TargetMode="External" /><Relationship Type="http://schemas.openxmlformats.org/officeDocument/2006/relationships/hyperlink" Id="rId43" Target="https://www.invima.gov.co/productos-vigilados/dispositivos-medicos/programa-nacional-de-tecnovigilancia" TargetMode="External" /><Relationship Type="http://schemas.openxmlformats.org/officeDocument/2006/relationships/hyperlink" Id="rId68" Target="https://www.jobbank.gc.ca/marketreport/summary-occupation/17999/ca" TargetMode="External" /><Relationship Type="http://schemas.openxmlformats.org/officeDocument/2006/relationships/hyperlink" Id="rId69" Target="https://www.jobbank.gc.ca/marketreport/wages-occupation/17999/ca" TargetMode="External" /></Relationships>
</file>

<file path=word/_rels/footnotes.xml.rels><?xml version="1.0" encoding="UTF-8"?><Relationships xmlns="http://schemas.openxmlformats.org/package/2006/relationships"><Relationship Type="http://schemas.openxmlformats.org/officeDocument/2006/relationships/hyperlink" Id="rId41" Target="https://normograma.sena.edu.co/compilacion/docs/circular_sena_0022_2024.htm" TargetMode="External" /><Relationship Type="http://schemas.openxmlformats.org/officeDocument/2006/relationships/hyperlink" Id="rId40" Target="https://normograma.sena.edu.co/compilacion/docs/resolucion_sena_0472_2014.htm" TargetMode="External" /><Relationship Type="http://schemas.openxmlformats.org/officeDocument/2006/relationships/hyperlink" Id="rId62" Target="https://www.bls.gov/ooh/installation-maintenance-and-repair/medical-equipment-repairers.htm" TargetMode="External" /><Relationship Type="http://schemas.openxmlformats.org/officeDocument/2006/relationships/hyperlink" Id="rId33" Target="https://www.careeronestop.org/LocalHelp/AmericanJobCenters/american-job-centers.aspx" TargetMode="External" /><Relationship Type="http://schemas.openxmlformats.org/officeDocument/2006/relationships/hyperlink" Id="rId34" Target="https://www.careeronestop.org/LocalHelp/EmploymentAndTraining/find-WIOA-training-programs.aspx" TargetMode="External" /><Relationship Type="http://schemas.openxmlformats.org/officeDocument/2006/relationships/hyperlink" Id="rId65" Target="https://www.fda.gov/medical-devices/digital-health-center-excellence/cybersecurity" TargetMode="External" /><Relationship Type="http://schemas.openxmlformats.org/officeDocument/2006/relationships/hyperlink" Id="rId63" Target="https://www.fda.gov/medical-devices/quality-and-compliance-medical-devices/remanufacturing-and-servicing-medical-devices" TargetMode="External" /><Relationship Type="http://schemas.openxmlformats.org/officeDocument/2006/relationships/hyperlink" Id="rId66" Target="https://www.fda.gov/regulatory-information/search-fda-guidance-documents/postmarket-management-cybersecurity-medical-devices" TargetMode="External" /><Relationship Type="http://schemas.openxmlformats.org/officeDocument/2006/relationships/hyperlink" Id="rId64" Target="https://www.fda.gov/regulatory-information/search-fda-guidance-documents/remanufacturing-medical-devices" TargetMode="External" /><Relationship Type="http://schemas.openxmlformats.org/officeDocument/2006/relationships/hyperlink" Id="rId43" Target="https://www.invima.gov.co/productos-vigilados/dispositivos-medicos/programa-nacional-de-tecnovigilancia" TargetMode="External" /><Relationship Type="http://schemas.openxmlformats.org/officeDocument/2006/relationships/hyperlink" Id="rId68" Target="https://www.jobbank.gc.ca/marketreport/summary-occupation/17999/ca" TargetMode="External" /><Relationship Type="http://schemas.openxmlformats.org/officeDocument/2006/relationships/hyperlink" Id="rId69" Target="https://www.jobbank.gc.ca/marketreport/wages-occupation/17999/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2026-08-20T06:03:10Z</dcterms:created>
  <dcterms:modified xsi:type="dcterms:W3CDTF">2026-08-20T06:03:10Z</dcterms:modified>
</cp:coreProperties>
</file>

<file path=docProps/custom.xml><?xml version="1.0" encoding="utf-8"?>
<Properties xmlns="http://schemas.openxmlformats.org/officeDocument/2006/custom-properties" xmlns:vt="http://schemas.openxmlformats.org/officeDocument/2006/docPropsVTypes"/>
</file>