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1031afa1cdd9a1ddc03c4bb7655ddcf33b064c2"/>
    <w:p>
      <w:pPr>
        <w:pStyle w:val="Heading1"/>
      </w:pPr>
      <w:r>
        <w:t xml:space="preserve">Guia 59 — Assistente de Serviços Sociais e Humanos</w:t>
      </w:r>
    </w:p>
    <w:p>
      <w:pPr>
        <w:pStyle w:val="FirstParagraph"/>
      </w:pPr>
      <w:r>
        <w:rPr>
          <w:bCs/>
          <w:b/>
        </w:rPr>
        <w:t xml:space="preserve">Mestre de trabalho controlado em português do Brasil — Versão 2.0</w:t>
      </w:r>
      <w:r>
        <w:br/>
      </w:r>
      <w:r>
        <w:rPr>
          <w:bCs/>
          <w:b/>
        </w:rPr>
        <w:t xml:space="preserve">Data de revisão:</w:t>
      </w:r>
      <w:r>
        <w:t xml:space="preserve"> </w:t>
      </w:r>
      <w:r>
        <w:t xml:space="preserve">20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de serviços sociais e humanos ajudam pessoas a identificar necessidades, navegar por serviços, concluir processos rotineiros, conectar-se a recursos comunitários e acompanhar planos de apoio. Podem trabalhar em organizações sem fins lucrativos, órgãos governamentais, programas de serviços familiares, abrigos, serviços para pessoas com deficiência, programas de saúde comportamental, ambientes de reabilitação, serviços para idosos, programas de habitação, programas para jovens, organizações comunitárias e outros ambientes relacionados a serviços humanos.</w:t>
      </w:r>
    </w:p>
    <w:p>
      <w:pPr>
        <w:pStyle w:val="BodyText"/>
      </w:pPr>
      <w:r>
        <w:t xml:space="preserve">Este guia concentra-se em</w:t>
      </w:r>
      <w:r>
        <w:t xml:space="preserve"> </w:t>
      </w:r>
      <w:r>
        <w:rPr>
          <w:bCs/>
          <w:b/>
        </w:rPr>
        <w:t xml:space="preserve">trabalho de apoio e navegação de serviços</w:t>
      </w:r>
      <w:r>
        <w:t xml:space="preserve">. Ele não trata assistente de serviços sociais e humanos, assistente social licenciado, psicoterapeuta, conselheiro, psicólogo, gerente de caso, advogado, responsável por decisão de benefícios ou profissional de resposta a emergências como funções intercambiáveis.</w:t>
      </w:r>
    </w:p>
    <w:p>
      <w:pPr>
        <w:pStyle w:val="BodyText"/>
      </w:pPr>
      <w:r>
        <w:t xml:space="preserve">Nos Estados Unidos, o O*NET classifica Social and Human Service Assistants como</w:t>
      </w:r>
      <w:r>
        <w:t xml:space="preserve"> </w:t>
      </w:r>
      <w:r>
        <w:rPr>
          <w:bCs/>
          <w:b/>
        </w:rPr>
        <w:t xml:space="preserve">21-1093.00</w:t>
      </w:r>
      <w:r>
        <w:t xml:space="preserve">. No Canadá, a comparação ampla mais próxima é</w:t>
      </w:r>
      <w:r>
        <w:t xml:space="preserve"> </w:t>
      </w:r>
      <w:r>
        <w:rPr>
          <w:bCs/>
          <w:b/>
        </w:rPr>
        <w:t xml:space="preserve">Social and community service workers, NOC 42201</w:t>
      </w:r>
      <w:r>
        <w:t xml:space="preserve">. Na Colômbia, a classificação ocupacional do SENA identifica</w:t>
      </w:r>
      <w:r>
        <w:t xml:space="preserve"> </w:t>
      </w:r>
      <w:r>
        <w:rPr>
          <w:bCs/>
          <w:b/>
        </w:rPr>
        <w:t xml:space="preserve">CNO 4211 — Asistentes en servicios social y comunitario</w:t>
      </w:r>
      <w:r>
        <w:t xml:space="preserve">.</w:t>
      </w:r>
    </w:p>
    <w:p>
      <w:pPr>
        <w:pStyle w:val="BodyText"/>
      </w:pPr>
      <w:r>
        <w:t xml:space="preserve">Os títulos dos cargos e os limites legais variam conforme a jurisdição e o empregador. Sempre compare as funções reais, o modelo de supervisão, os requisitos de credenciais e as regras locais antes de aceitar um cargo ou pagar por treinamento.</w:t>
      </w:r>
    </w:p>
    <w:bookmarkEnd w:id="20"/>
    <w:bookmarkStart w:id="21" w:name="o-que-você-pode-fazer"/>
    <w:p>
      <w:pPr>
        <w:pStyle w:val="Heading2"/>
      </w:pPr>
      <w:r>
        <w:t xml:space="preserve">O que você pode fazer</w:t>
      </w:r>
    </w:p>
    <w:p>
      <w:pPr>
        <w:pStyle w:val="FirstParagraph"/>
      </w:pPr>
      <w:r>
        <w:t xml:space="preserve">Dependendo da organização, do treinamento, da supervisão e das regras locais, as tarefas podem incluir:</w:t>
      </w:r>
    </w:p>
    <w:p>
      <w:pPr>
        <w:numPr>
          <w:ilvl w:val="0"/>
          <w:numId w:val="1001"/>
        </w:numPr>
        <w:pStyle w:val="Compact"/>
      </w:pPr>
      <w:r>
        <w:t xml:space="preserve">entrevistar clientes para coletar informações rotineiras de histórico e de serviços;</w:t>
      </w:r>
    </w:p>
    <w:p>
      <w:pPr>
        <w:numPr>
          <w:ilvl w:val="0"/>
          <w:numId w:val="1001"/>
        </w:numPr>
        <w:pStyle w:val="Compact"/>
      </w:pPr>
      <w:r>
        <w:t xml:space="preserve">ajudar pessoas a identificar necessidades práticas e recursos comunitários disponíveis;</w:t>
      </w:r>
    </w:p>
    <w:p>
      <w:pPr>
        <w:numPr>
          <w:ilvl w:val="0"/>
          <w:numId w:val="1001"/>
        </w:numPr>
        <w:pStyle w:val="Compact"/>
      </w:pPr>
      <w:r>
        <w:t xml:space="preserve">explicar como entrar em contato com serviços de habitação, alimentação, transporte, deficiência, emprego, saúde, família, envelhecimento, juventude, assistência jurídica ou outros serviços de encaminhamento;</w:t>
      </w:r>
    </w:p>
    <w:p>
      <w:pPr>
        <w:numPr>
          <w:ilvl w:val="0"/>
          <w:numId w:val="1001"/>
        </w:numPr>
        <w:pStyle w:val="Compact"/>
      </w:pPr>
      <w:r>
        <w:t xml:space="preserve">ajudar clientes a preencher formulários rotineiros ou organizar documentos sem tomar decisões reguladas sobre elegibilidade;</w:t>
      </w:r>
    </w:p>
    <w:p>
      <w:pPr>
        <w:numPr>
          <w:ilvl w:val="0"/>
          <w:numId w:val="1001"/>
        </w:numPr>
        <w:pStyle w:val="Compact"/>
      </w:pPr>
      <w:r>
        <w:t xml:space="preserve">fornecer informações sobre etapas de solicitação, consultas, procedimentos de programas e documentação exigida;</w:t>
      </w:r>
    </w:p>
    <w:p>
      <w:pPr>
        <w:numPr>
          <w:ilvl w:val="0"/>
          <w:numId w:val="1001"/>
        </w:numPr>
        <w:pStyle w:val="Compact"/>
      </w:pPr>
      <w:r>
        <w:t xml:space="preserve">auxiliar clientes na navegação por serviços e no acompanhamento;</w:t>
      </w:r>
    </w:p>
    <w:p>
      <w:pPr>
        <w:numPr>
          <w:ilvl w:val="0"/>
          <w:numId w:val="1001"/>
        </w:numPr>
        <w:pStyle w:val="Compact"/>
      </w:pPr>
      <w:r>
        <w:t xml:space="preserve">manter notas de caso, registros de contato, registros de encaminhamento, agendas e documentação rotineira;</w:t>
      </w:r>
    </w:p>
    <w:p>
      <w:pPr>
        <w:numPr>
          <w:ilvl w:val="0"/>
          <w:numId w:val="1001"/>
        </w:numPr>
        <w:pStyle w:val="Compact"/>
      </w:pPr>
      <w:r>
        <w:t xml:space="preserve">apoiar oficinas, atividades de alcance comunitário, eventos, programas de habilidades para a vida ou sessões educacionais;</w:t>
      </w:r>
    </w:p>
    <w:p>
      <w:pPr>
        <w:numPr>
          <w:ilvl w:val="0"/>
          <w:numId w:val="1001"/>
        </w:numPr>
        <w:pStyle w:val="Compact"/>
      </w:pPr>
      <w:r>
        <w:t xml:space="preserve">coordenar logística não clínica com prestadores de serviços, familiares, parceiros comunitários ou supervisores quando autorizado;</w:t>
      </w:r>
    </w:p>
    <w:p>
      <w:pPr>
        <w:numPr>
          <w:ilvl w:val="0"/>
          <w:numId w:val="1001"/>
        </w:numPr>
        <w:pStyle w:val="Compact"/>
      </w:pPr>
      <w:r>
        <w:t xml:space="preserve">acompanhar se encaminhamentos ou etapas de serviço acordados foram concluídos e relatar barreiras;</w:t>
      </w:r>
    </w:p>
    <w:p>
      <w:pPr>
        <w:numPr>
          <w:ilvl w:val="0"/>
          <w:numId w:val="1001"/>
        </w:numPr>
        <w:pStyle w:val="Compact"/>
      </w:pPr>
      <w:r>
        <w:t xml:space="preserve">apoiar pessoas em abrigos, residências coletivas, programas de reabilitação, programas de serviços familiares ou outros ambientes estruturados conforme procedimentos do empregador;</w:t>
      </w:r>
    </w:p>
    <w:p>
      <w:pPr>
        <w:numPr>
          <w:ilvl w:val="0"/>
          <w:numId w:val="1001"/>
        </w:numPr>
        <w:pStyle w:val="Compact"/>
      </w:pPr>
      <w:r>
        <w:t xml:space="preserve">ajudar clientes a localizar apoio para emprego, transporte, moradia, alimentação, cuidado infantil, deficiência, envelhecimento ou outras necessidades práticas;</w:t>
      </w:r>
    </w:p>
    <w:p>
      <w:pPr>
        <w:numPr>
          <w:ilvl w:val="0"/>
          <w:numId w:val="1001"/>
        </w:numPr>
        <w:pStyle w:val="Compact"/>
      </w:pPr>
      <w:r>
        <w:t xml:space="preserve">auxiliar em recepção, triagem inicial, agendamento, registros ou administração de programas; e</w:t>
      </w:r>
    </w:p>
    <w:p>
      <w:pPr>
        <w:numPr>
          <w:ilvl w:val="0"/>
          <w:numId w:val="1001"/>
        </w:numPr>
        <w:pStyle w:val="Compact"/>
      </w:pPr>
      <w:r>
        <w:t xml:space="preserve">escalar preocupações de segurança, crise, abuso, negligência, exploração, saúde, questões legais ou clínicas a profissionais qualificados conforme procedimentos estabelecidos.</w:t>
      </w:r>
    </w:p>
    <w:p>
      <w:pPr>
        <w:pStyle w:val="FirstParagraph"/>
      </w:pPr>
      <w:r>
        <w:t xml:space="preserve">A função frequentemente exige paciência, documentação precisa, resolução prática de problemas e capacidade de apoiar pessoas sem assumir decisões que pertencem ao cliente ou a um profissional regulamentado.</w:t>
      </w:r>
    </w:p>
    <w:bookmarkEnd w:id="21"/>
    <w:bookmarkStart w:id="22" w:name="Xa854196fec5e35aff326890bab66d39211702df"/>
    <w:p>
      <w:pPr>
        <w:pStyle w:val="Heading2"/>
      </w:pPr>
      <w:r>
        <w:t xml:space="preserve">O que esta função não deve ser apresentada como</w:t>
      </w:r>
    </w:p>
    <w:p>
      <w:pPr>
        <w:pStyle w:val="FirstParagraph"/>
      </w:pPr>
      <w:r>
        <w:t xml:space="preserve">Uma função de apoio não autoriza automaticamente trabalho licenciado, clínico, jurídico ou decisório.</w:t>
      </w:r>
    </w:p>
    <w:p>
      <w:pPr>
        <w:pStyle w:val="BodyText"/>
      </w:pPr>
      <w:r>
        <w:t xml:space="preserve">Não faça de forma independente:</w:t>
      </w:r>
    </w:p>
    <w:p>
      <w:pPr>
        <w:numPr>
          <w:ilvl w:val="0"/>
          <w:numId w:val="1002"/>
        </w:numPr>
        <w:pStyle w:val="Compact"/>
      </w:pPr>
      <w:r>
        <w:t xml:space="preserve">diagnóstico de condição de saúde mental, uso de substâncias, desenvolvimento ou saúde física;</w:t>
      </w:r>
    </w:p>
    <w:p>
      <w:pPr>
        <w:numPr>
          <w:ilvl w:val="0"/>
          <w:numId w:val="1002"/>
        </w:numPr>
        <w:pStyle w:val="Compact"/>
      </w:pPr>
      <w:r>
        <w:t xml:space="preserve">psicoterapia ou aconselhamento clínico, a menos que você tenha licença separada e autorização;</w:t>
      </w:r>
    </w:p>
    <w:p>
      <w:pPr>
        <w:numPr>
          <w:ilvl w:val="0"/>
          <w:numId w:val="1002"/>
        </w:numPr>
        <w:pStyle w:val="Compact"/>
      </w:pPr>
      <w:r>
        <w:t xml:space="preserve">determinações jurídicas ou aconselhamento jurídico;</w:t>
      </w:r>
    </w:p>
    <w:p>
      <w:pPr>
        <w:numPr>
          <w:ilvl w:val="0"/>
          <w:numId w:val="1002"/>
        </w:numPr>
        <w:pStyle w:val="Compact"/>
      </w:pPr>
      <w:r>
        <w:t xml:space="preserve">decisão sobre a elegibilidade legal de uma pessoa para benefício governamental quando essa autoridade pertence a um órgão ou funcionário autorizado;</w:t>
      </w:r>
    </w:p>
    <w:p>
      <w:pPr>
        <w:numPr>
          <w:ilvl w:val="0"/>
          <w:numId w:val="1002"/>
        </w:numPr>
        <w:pStyle w:val="Compact"/>
      </w:pPr>
      <w:r>
        <w:t xml:space="preserve">promessa de moradia, assistência financeira, situação migratória, benefícios por deficiência, resultados de tratamento ou ajuda emergencial que você não controla;</w:t>
      </w:r>
    </w:p>
    <w:p>
      <w:pPr>
        <w:numPr>
          <w:ilvl w:val="0"/>
          <w:numId w:val="1002"/>
        </w:numPr>
        <w:pStyle w:val="Compact"/>
      </w:pPr>
      <w:r>
        <w:t xml:space="preserve">decisão de proteção/salvaguarda que legalmente deva ser tomada por profissional qualificado ou autoridade designada;</w:t>
      </w:r>
    </w:p>
    <w:p>
      <w:pPr>
        <w:numPr>
          <w:ilvl w:val="0"/>
          <w:numId w:val="1002"/>
        </w:numPr>
        <w:pStyle w:val="Compact"/>
      </w:pPr>
      <w:r>
        <w:t xml:space="preserve">apresentação de si mesmo como assistente social licenciado, terapeuta, psicólogo, advogado, enfermeiro, médico ou outro profissional regulamentado sem possuir de fato essa credencial; ou</w:t>
      </w:r>
    </w:p>
    <w:p>
      <w:pPr>
        <w:numPr>
          <w:ilvl w:val="0"/>
          <w:numId w:val="1002"/>
        </w:numPr>
        <w:pStyle w:val="Compact"/>
      </w:pPr>
      <w:r>
        <w:t xml:space="preserve">ignorar procedimentos de escalonamento do empregador por acreditar que pode lidar sozinho com uma crise.</w:t>
      </w:r>
    </w:p>
    <w:p>
      <w:pPr>
        <w:pStyle w:val="FirstParagraph"/>
      </w:pPr>
      <w:r>
        <w:t xml:space="preserve">Quando o limite não estiver claro, pare e consulte o supervisor responsável.</w:t>
      </w:r>
    </w:p>
    <w:bookmarkEnd w:id="22"/>
    <w:bookmarkStart w:id="23" w:name="X39e9c0554774577223cc633622520bdb8480b77"/>
    <w:p>
      <w:pPr>
        <w:pStyle w:val="Heading2"/>
      </w:pPr>
      <w:r>
        <w:t xml:space="preserve">Ambiente de trabalho e demandas emocionais</w:t>
      </w:r>
    </w:p>
    <w:p>
      <w:pPr>
        <w:pStyle w:val="FirstParagraph"/>
      </w:pPr>
      <w:r>
        <w:t xml:space="preserve">O trabalho em serviços humanos pode ser significativo, mas também pode envolver estresse, urgência, recursos insuficientes e exposição a circunstâncias de vida difíceis. O trabalho pode ocorrer em escritórios, abrigos, centros comunitários, escolas, programas de reabilitação, instalações residenciais, programas de alcance comunitário, órgãos governamentais, organizações sem fins lucrativos ou outros ambientes de atendimento ao público.</w:t>
      </w:r>
    </w:p>
    <w:p>
      <w:pPr>
        <w:pStyle w:val="BodyText"/>
      </w:pPr>
      <w:r>
        <w:t xml:space="preserve">Demandas comuns podem incluir:</w:t>
      </w:r>
    </w:p>
    <w:p>
      <w:pPr>
        <w:numPr>
          <w:ilvl w:val="0"/>
          <w:numId w:val="1003"/>
        </w:numPr>
        <w:pStyle w:val="Compact"/>
      </w:pPr>
      <w:r>
        <w:t xml:space="preserve">conversas frequentes com pessoas que enfrentam estresse, pobreza, deficiência, conflito familiar, instabilidade habitacional, trauma, desemprego, doença, problemas relacionados ao uso de substâncias ou outros desafios sérios;</w:t>
      </w:r>
    </w:p>
    <w:p>
      <w:pPr>
        <w:numPr>
          <w:ilvl w:val="0"/>
          <w:numId w:val="1003"/>
        </w:numPr>
        <w:pStyle w:val="Compact"/>
      </w:pPr>
      <w:r>
        <w:t xml:space="preserve">administração de múltiplos encaminhamentos, prazos, compromissos e tarefas de documentação;</w:t>
      </w:r>
    </w:p>
    <w:p>
      <w:pPr>
        <w:numPr>
          <w:ilvl w:val="0"/>
          <w:numId w:val="1003"/>
        </w:numPr>
        <w:pStyle w:val="Compact"/>
      </w:pPr>
      <w:r>
        <w:t xml:space="preserve">trabalho com clientes frustrados, assustados, irritados, confusos ou desconfiados;</w:t>
      </w:r>
    </w:p>
    <w:p>
      <w:pPr>
        <w:numPr>
          <w:ilvl w:val="0"/>
          <w:numId w:val="1003"/>
        </w:numPr>
        <w:pStyle w:val="Compact"/>
      </w:pPr>
      <w:r>
        <w:t xml:space="preserve">horários noturnos ou de fim de semana em alguns programas;</w:t>
      </w:r>
    </w:p>
    <w:p>
      <w:pPr>
        <w:numPr>
          <w:ilvl w:val="0"/>
          <w:numId w:val="1003"/>
        </w:numPr>
        <w:pStyle w:val="Compact"/>
      </w:pPr>
      <w:r>
        <w:t xml:space="preserve">visitas comunitárias ou de campo em algumas funções;</w:t>
      </w:r>
    </w:p>
    <w:p>
      <w:pPr>
        <w:numPr>
          <w:ilvl w:val="0"/>
          <w:numId w:val="1003"/>
        </w:numPr>
        <w:pStyle w:val="Compact"/>
      </w:pPr>
      <w:r>
        <w:t xml:space="preserve">exposição repetida a histórias angustiantes ou situações de crise;</w:t>
      </w:r>
    </w:p>
    <w:p>
      <w:pPr>
        <w:numPr>
          <w:ilvl w:val="0"/>
          <w:numId w:val="1003"/>
        </w:numPr>
        <w:pStyle w:val="Compact"/>
      </w:pPr>
      <w:r>
        <w:t xml:space="preserve">equilíbrio entre empatia e limites profissionais; e</w:t>
      </w:r>
    </w:p>
    <w:p>
      <w:pPr>
        <w:numPr>
          <w:ilvl w:val="0"/>
          <w:numId w:val="1003"/>
        </w:numPr>
        <w:pStyle w:val="Compact"/>
      </w:pPr>
      <w:r>
        <w:t xml:space="preserve">trabalho dentro de capacidade limitada de programas ou regras de elegibilidade.</w:t>
      </w:r>
    </w:p>
    <w:p>
      <w:pPr>
        <w:pStyle w:val="FirstParagraph"/>
      </w:pPr>
      <w:r>
        <w:t xml:space="preserve">Limites saudáveis, supervisão, debriefing, gestão de carga de trabalho e uso de recursos de apoio ao empregado podem ser importantes para a sustentabilidade de longo prazo nessa área.</w:t>
      </w:r>
    </w:p>
    <w:bookmarkEnd w:id="23"/>
    <w:bookmarkStart w:id="24" w:name="Xc538a5fa7959903aabd03055eb7f68ede5f5348"/>
    <w:p>
      <w:pPr>
        <w:pStyle w:val="Heading2"/>
      </w:pPr>
      <w:r>
        <w:t xml:space="preserve">Limites em crises, salvaguarda e emergências</w:t>
      </w:r>
    </w:p>
    <w:p>
      <w:pPr>
        <w:pStyle w:val="FirstParagraph"/>
      </w:pPr>
      <w:r>
        <w:t xml:space="preserve">Alguns clientes podem revelar ou demonstrar sinais de abuso, negligência, exploração, risco de automutilação, risco de violência, tráfico, falta de moradia, perigo médico ou outros problemas urgentes.</w:t>
      </w:r>
    </w:p>
    <w:p>
      <w:pPr>
        <w:pStyle w:val="BodyText"/>
      </w:pPr>
      <w:r>
        <w:t xml:space="preserve">Seu trabalho não é inventar uma resposta. Siga o protocolo aprovado do empregador e a legislação local.</w:t>
      </w:r>
    </w:p>
    <w:p>
      <w:pPr>
        <w:pStyle w:val="BodyText"/>
      </w:pPr>
      <w:r>
        <w:t xml:space="preserve">Dependendo da situação, isso pode exigir:</w:t>
      </w:r>
    </w:p>
    <w:p>
      <w:pPr>
        <w:numPr>
          <w:ilvl w:val="0"/>
          <w:numId w:val="1004"/>
        </w:numPr>
        <w:pStyle w:val="Compact"/>
      </w:pPr>
      <w:r>
        <w:t xml:space="preserve">contatar um supervisor ou responsável designado por salvaguarda;</w:t>
      </w:r>
    </w:p>
    <w:p>
      <w:pPr>
        <w:numPr>
          <w:ilvl w:val="0"/>
          <w:numId w:val="1004"/>
        </w:numPr>
        <w:pStyle w:val="Compact"/>
      </w:pPr>
      <w:r>
        <w:t xml:space="preserve">usar um fluxo aprovado de resposta a crises;</w:t>
      </w:r>
    </w:p>
    <w:p>
      <w:pPr>
        <w:numPr>
          <w:ilvl w:val="0"/>
          <w:numId w:val="1004"/>
        </w:numPr>
        <w:pStyle w:val="Compact"/>
      </w:pPr>
      <w:r>
        <w:t xml:space="preserve">contatar serviços de emergência quando exigido;</w:t>
      </w:r>
    </w:p>
    <w:p>
      <w:pPr>
        <w:numPr>
          <w:ilvl w:val="0"/>
          <w:numId w:val="1004"/>
        </w:numPr>
        <w:pStyle w:val="Compact"/>
      </w:pPr>
      <w:r>
        <w:t xml:space="preserve">fazer uma denúncia legalmente obrigatória pelo canal correto se sua função estiver sujeita a regras de notificação compulsória;</w:t>
      </w:r>
    </w:p>
    <w:p>
      <w:pPr>
        <w:numPr>
          <w:ilvl w:val="0"/>
          <w:numId w:val="1004"/>
        </w:numPr>
        <w:pStyle w:val="Compact"/>
      </w:pPr>
      <w:r>
        <w:t xml:space="preserve">documentar os fatos de maneira precisa e rápida; e</w:t>
      </w:r>
    </w:p>
    <w:p>
      <w:pPr>
        <w:numPr>
          <w:ilvl w:val="0"/>
          <w:numId w:val="1004"/>
        </w:numPr>
        <w:pStyle w:val="Compact"/>
      </w:pPr>
      <w:r>
        <w:t xml:space="preserve">evitar promessas de confidencialidade que entrem em conflito com obrigações legais ou de segurança.</w:t>
      </w:r>
    </w:p>
    <w:p>
      <w:pPr>
        <w:pStyle w:val="FirstParagraph"/>
      </w:pPr>
      <w:r>
        <w:t xml:space="preserve">As regras de notificação compulsória variam conforme a jurisdição, o ambiente, a população atendida e a função profissional. Material de treinamento e ferramentas de IA não substituem política local atualizada e legislação vigente.</w:t>
      </w:r>
    </w:p>
    <w:bookmarkEnd w:id="24"/>
    <w:bookmarkStart w:id="25" w:name="X6f7e249570871c2ef93fb4c296c3fe575ad252f"/>
    <w:p>
      <w:pPr>
        <w:pStyle w:val="Heading2"/>
      </w:pPr>
      <w:r>
        <w:t xml:space="preserve">Privacidade, confidencialidade e documentação</w:t>
      </w:r>
    </w:p>
    <w:p>
      <w:pPr>
        <w:pStyle w:val="FirstParagraph"/>
      </w:pPr>
      <w:r>
        <w:t xml:space="preserve">Profissionais de serviços humanos podem ter contato com informações altamente sensíveis, incluindo nomes, endereços, datas de nascimento, informações familiares, dados sobre deficiência, saúde, saúde mental, imigração, benefícios, situação habitacional, histórico de emprego, questões jurídicas e informações sobre crises.</w:t>
      </w:r>
    </w:p>
    <w:p>
      <w:pPr>
        <w:pStyle w:val="BodyText"/>
      </w:pPr>
      <w:r>
        <w:t xml:space="preserve">Siga as regras do empregador para:</w:t>
      </w:r>
    </w:p>
    <w:p>
      <w:pPr>
        <w:numPr>
          <w:ilvl w:val="0"/>
          <w:numId w:val="1005"/>
        </w:numPr>
        <w:pStyle w:val="Compact"/>
      </w:pPr>
      <w:r>
        <w:t xml:space="preserve">coletar somente informações necessárias para a finalidade autorizada;</w:t>
      </w:r>
    </w:p>
    <w:p>
      <w:pPr>
        <w:numPr>
          <w:ilvl w:val="0"/>
          <w:numId w:val="1005"/>
        </w:numPr>
        <w:pStyle w:val="Compact"/>
      </w:pPr>
      <w:r>
        <w:t xml:space="preserve">verificar a identidade antes de divulgar informações protegidas;</w:t>
      </w:r>
    </w:p>
    <w:p>
      <w:pPr>
        <w:numPr>
          <w:ilvl w:val="0"/>
          <w:numId w:val="1005"/>
        </w:numPr>
        <w:pStyle w:val="Compact"/>
      </w:pPr>
      <w:r>
        <w:t xml:space="preserve">manter registros seguros e usar sistemas aprovados de gestão de casos;</w:t>
      </w:r>
    </w:p>
    <w:p>
      <w:pPr>
        <w:numPr>
          <w:ilvl w:val="0"/>
          <w:numId w:val="1005"/>
        </w:numPr>
        <w:pStyle w:val="Compact"/>
      </w:pPr>
      <w:r>
        <w:t xml:space="preserve">aplicar acesso baseado em função;</w:t>
      </w:r>
    </w:p>
    <w:p>
      <w:pPr>
        <w:numPr>
          <w:ilvl w:val="0"/>
          <w:numId w:val="1005"/>
        </w:numPr>
        <w:pStyle w:val="Compact"/>
      </w:pPr>
      <w:r>
        <w:t xml:space="preserve">usar senhas e autenticação multifator;</w:t>
      </w:r>
    </w:p>
    <w:p>
      <w:pPr>
        <w:numPr>
          <w:ilvl w:val="0"/>
          <w:numId w:val="1005"/>
        </w:numPr>
        <w:pStyle w:val="Compact"/>
      </w:pPr>
      <w:r>
        <w:t xml:space="preserve">compartilhar informações somente com destinatários autorizados;</w:t>
      </w:r>
    </w:p>
    <w:p>
      <w:pPr>
        <w:numPr>
          <w:ilvl w:val="0"/>
          <w:numId w:val="1005"/>
        </w:numPr>
        <w:pStyle w:val="Compact"/>
      </w:pPr>
      <w:r>
        <w:t xml:space="preserve">realizar conversas privadas e utilizar espaços físicos adequados;</w:t>
      </w:r>
    </w:p>
    <w:p>
      <w:pPr>
        <w:numPr>
          <w:ilvl w:val="0"/>
          <w:numId w:val="1005"/>
        </w:numPr>
        <w:pStyle w:val="Compact"/>
      </w:pPr>
      <w:r>
        <w:t xml:space="preserve">cumprir requisitos de retenção e destruição;</w:t>
      </w:r>
    </w:p>
    <w:p>
      <w:pPr>
        <w:numPr>
          <w:ilvl w:val="0"/>
          <w:numId w:val="1005"/>
        </w:numPr>
        <w:pStyle w:val="Compact"/>
      </w:pPr>
      <w:r>
        <w:t xml:space="preserve">comunicar incidentes; e</w:t>
      </w:r>
    </w:p>
    <w:p>
      <w:pPr>
        <w:numPr>
          <w:ilvl w:val="0"/>
          <w:numId w:val="1005"/>
        </w:numPr>
        <w:pStyle w:val="Compact"/>
      </w:pPr>
      <w:r>
        <w:t xml:space="preserve">usar dispositivos pessoais, aplicativos de mensagens, e-mail, serviços em nuvem e ferramentas de IA de acordo com as regras.</w:t>
      </w:r>
    </w:p>
    <w:p>
      <w:pPr>
        <w:pStyle w:val="FirstParagraph"/>
      </w:pPr>
      <w:r>
        <w:t xml:space="preserve">Escreva notas de caso factuais, relevantes, respeitosas e proporcionais. Diferencie o que você observou, o que o cliente relatou e o que outro profissional concluiu.</w:t>
      </w:r>
    </w:p>
    <w:bookmarkEnd w:id="25"/>
    <w:bookmarkStart w:id="26" w:name="Xed1ac822eb62751aa3e4030f44d645ea595537c"/>
    <w:p>
      <w:pPr>
        <w:pStyle w:val="Heading2"/>
      </w:pPr>
      <w:r>
        <w:t xml:space="preserve">Habilidades que os empregadores podem valorizar</w:t>
      </w:r>
    </w:p>
    <w:p>
      <w:pPr>
        <w:pStyle w:val="FirstParagraph"/>
      </w:pPr>
      <w:r>
        <w:t xml:space="preserve">Os empregadores frequentemente valorizam:</w:t>
      </w:r>
    </w:p>
    <w:p>
      <w:pPr>
        <w:numPr>
          <w:ilvl w:val="0"/>
          <w:numId w:val="1006"/>
        </w:numPr>
        <w:pStyle w:val="Compact"/>
      </w:pPr>
      <w:r>
        <w:t xml:space="preserve">escuta ativa;</w:t>
      </w:r>
    </w:p>
    <w:p>
      <w:pPr>
        <w:numPr>
          <w:ilvl w:val="0"/>
          <w:numId w:val="1006"/>
        </w:numPr>
        <w:pStyle w:val="Compact"/>
      </w:pPr>
      <w:r>
        <w:t xml:space="preserve">comunicação respeitosa;</w:t>
      </w:r>
    </w:p>
    <w:p>
      <w:pPr>
        <w:numPr>
          <w:ilvl w:val="0"/>
          <w:numId w:val="1006"/>
        </w:numPr>
        <w:pStyle w:val="Compact"/>
      </w:pPr>
      <w:r>
        <w:t xml:space="preserve">empatia com limites claros;</w:t>
      </w:r>
    </w:p>
    <w:p>
      <w:pPr>
        <w:numPr>
          <w:ilvl w:val="0"/>
          <w:numId w:val="1006"/>
        </w:numPr>
        <w:pStyle w:val="Compact"/>
      </w:pPr>
      <w:r>
        <w:t xml:space="preserve">manutenção precisa de registros;</w:t>
      </w:r>
    </w:p>
    <w:p>
      <w:pPr>
        <w:numPr>
          <w:ilvl w:val="0"/>
          <w:numId w:val="1006"/>
        </w:numPr>
        <w:pStyle w:val="Compact"/>
      </w:pPr>
      <w:r>
        <w:t xml:space="preserve">organização e acompanhamento;</w:t>
      </w:r>
    </w:p>
    <w:p>
      <w:pPr>
        <w:numPr>
          <w:ilvl w:val="0"/>
          <w:numId w:val="1006"/>
        </w:numPr>
        <w:pStyle w:val="Compact"/>
      </w:pPr>
      <w:r>
        <w:t xml:space="preserve">resolução prática de problemas;</w:t>
      </w:r>
    </w:p>
    <w:p>
      <w:pPr>
        <w:numPr>
          <w:ilvl w:val="0"/>
          <w:numId w:val="1006"/>
        </w:numPr>
        <w:pStyle w:val="Compact"/>
      </w:pPr>
      <w:r>
        <w:t xml:space="preserve">conhecimento dos recursos comunitários locais;</w:t>
      </w:r>
    </w:p>
    <w:p>
      <w:pPr>
        <w:numPr>
          <w:ilvl w:val="0"/>
          <w:numId w:val="1006"/>
        </w:numPr>
        <w:pStyle w:val="Compact"/>
      </w:pPr>
      <w:r>
        <w:t xml:space="preserve">capacidade de explicar procedimentos em linguagem simples;</w:t>
      </w:r>
    </w:p>
    <w:p>
      <w:pPr>
        <w:numPr>
          <w:ilvl w:val="0"/>
          <w:numId w:val="1006"/>
        </w:numPr>
        <w:pStyle w:val="Compact"/>
      </w:pPr>
      <w:r>
        <w:t xml:space="preserve">humildade cultural e comunicação inclusiva com pessoas com deficiência;</w:t>
      </w:r>
    </w:p>
    <w:p>
      <w:pPr>
        <w:numPr>
          <w:ilvl w:val="0"/>
          <w:numId w:val="1006"/>
        </w:numPr>
        <w:pStyle w:val="Compact"/>
      </w:pPr>
      <w:r>
        <w:t xml:space="preserve">confiabilidade e pontualidade;</w:t>
      </w:r>
    </w:p>
    <w:p>
      <w:pPr>
        <w:numPr>
          <w:ilvl w:val="0"/>
          <w:numId w:val="1006"/>
        </w:numPr>
        <w:pStyle w:val="Compact"/>
      </w:pPr>
      <w:r>
        <w:t xml:space="preserve">trabalho em equipe com profissionais e parceiros comunitários;</w:t>
      </w:r>
    </w:p>
    <w:p>
      <w:pPr>
        <w:numPr>
          <w:ilvl w:val="0"/>
          <w:numId w:val="1006"/>
        </w:numPr>
        <w:pStyle w:val="Compact"/>
      </w:pPr>
      <w:r>
        <w:t xml:space="preserve">escalonamento calmo em situações difíceis;</w:t>
      </w:r>
    </w:p>
    <w:p>
      <w:pPr>
        <w:numPr>
          <w:ilvl w:val="0"/>
          <w:numId w:val="1006"/>
        </w:numPr>
        <w:pStyle w:val="Compact"/>
      </w:pPr>
      <w:r>
        <w:t xml:space="preserve">habilidades digitais básicas; e</w:t>
      </w:r>
    </w:p>
    <w:p>
      <w:pPr>
        <w:numPr>
          <w:ilvl w:val="0"/>
          <w:numId w:val="1006"/>
        </w:numPr>
        <w:pStyle w:val="Compact"/>
      </w:pPr>
      <w:r>
        <w:t xml:space="preserve">confidencialidade e tratamento adequado de informações sensíveis.</w:t>
      </w:r>
    </w:p>
    <w:p>
      <w:pPr>
        <w:pStyle w:val="FirstParagraph"/>
      </w:pPr>
      <w:r>
        <w:t xml:space="preserve">A capacidade bilíngue ou multilíngue pode ser valorizada em algumas comunidades, mas não alegue credenciais profissionais de interpretação ou tradução que você não possui.</w:t>
      </w:r>
    </w:p>
    <w:bookmarkEnd w:id="26"/>
    <w:bookmarkStart w:id="31" w:name="educação-e-caminhos-de-entrada"/>
    <w:p>
      <w:pPr>
        <w:pStyle w:val="Heading2"/>
      </w:pPr>
      <w:r>
        <w:t xml:space="preserve">Educação e caminhos de entrada</w:t>
      </w:r>
    </w:p>
    <w:bookmarkStart w:id="27" w:name="estados-unidos"/>
    <w:p>
      <w:pPr>
        <w:pStyle w:val="Heading3"/>
      </w:pPr>
      <w:r>
        <w:t xml:space="preserve">Estados Unidos</w:t>
      </w:r>
    </w:p>
    <w:p>
      <w:pPr>
        <w:pStyle w:val="FirstParagraph"/>
      </w:pPr>
      <w:r>
        <w:t xml:space="preserve">O O*NET classifica Social and Human Service Assistants como</w:t>
      </w:r>
      <w:r>
        <w:t xml:space="preserve"> </w:t>
      </w:r>
      <w:r>
        <w:rPr>
          <w:bCs/>
          <w:b/>
        </w:rPr>
        <w:t xml:space="preserve">21-1093.00</w:t>
      </w:r>
      <w:r>
        <w:t xml:space="preserve">. O U.S. Bureau of Labor Statistics informa que os trabalhadores normalmente precisam de pelo menos</w:t>
      </w:r>
      <w:r>
        <w:t xml:space="preserve"> </w:t>
      </w:r>
      <w:r>
        <w:rPr>
          <w:bCs/>
          <w:b/>
        </w:rPr>
        <w:t xml:space="preserve">diploma do ensino médio ou equivalente</w:t>
      </w:r>
      <w:r>
        <w:t xml:space="preserve">, embora alguns empregadores possam exigir ou preferir educação adicional em determinados ambientes. Treinamento de curto prazo no trabalho é comum.</w:t>
      </w:r>
    </w:p>
    <w:p>
      <w:pPr>
        <w:pStyle w:val="BodyText"/>
      </w:pPr>
      <w:r>
        <w:t xml:space="preserve">Uma sequência prática de entrada é:</w:t>
      </w:r>
    </w:p>
    <w:p>
      <w:pPr>
        <w:numPr>
          <w:ilvl w:val="0"/>
          <w:numId w:val="1007"/>
        </w:numPr>
        <w:pStyle w:val="Compact"/>
      </w:pPr>
      <w:r>
        <w:t xml:space="preserve">Analise vagas locais para social and human service assistant, human services assistant, case aide, social services assistant, family service assistant, outreach assistant, community support, shelter support e títulos relacionados.</w:t>
      </w:r>
    </w:p>
    <w:p>
      <w:pPr>
        <w:numPr>
          <w:ilvl w:val="0"/>
          <w:numId w:val="1007"/>
        </w:numPr>
        <w:pStyle w:val="Compact"/>
      </w:pPr>
      <w:r>
        <w:t xml:space="preserve">Registre requisitos recorrentes de educação, direção, verificação de antecedentes, sistemas de documentação, treinamento para crises, experiência com populações específicas ou habilidades linguísticas.</w:t>
      </w:r>
    </w:p>
    <w:p>
      <w:pPr>
        <w:numPr>
          <w:ilvl w:val="0"/>
          <w:numId w:val="1007"/>
        </w:numPr>
        <w:pStyle w:val="Compact"/>
      </w:pPr>
      <w:r>
        <w:t xml:space="preserve">Desenvolva experiência transferível por meio de voluntariado supervisionado, programas comunitários, atendimento ao cliente, cuidado de pessoas, apoio administrativo, serviços para pessoas com deficiência, programas para jovens, serviços para idosos ou ambientes relacionados.</w:t>
      </w:r>
    </w:p>
    <w:p>
      <w:pPr>
        <w:numPr>
          <w:ilvl w:val="0"/>
          <w:numId w:val="1007"/>
        </w:numPr>
        <w:pStyle w:val="Compact"/>
      </w:pPr>
      <w:r>
        <w:t xml:space="preserve">Use treinamento público ou de baixo custo para fortalecer documentação, comunicação, consciência sobre trauma, salvaguarda, habilidades digitais e conhecimento de recursos comunitários.</w:t>
      </w:r>
    </w:p>
    <w:p>
      <w:pPr>
        <w:numPr>
          <w:ilvl w:val="0"/>
          <w:numId w:val="1007"/>
        </w:numPr>
        <w:pStyle w:val="Compact"/>
      </w:pPr>
      <w:r>
        <w:t xml:space="preserve">Candidate-se a funções compatíveis com sua formação e experiência reais.</w:t>
      </w:r>
    </w:p>
    <w:p>
      <w:pPr>
        <w:numPr>
          <w:ilvl w:val="0"/>
          <w:numId w:val="1007"/>
        </w:numPr>
        <w:pStyle w:val="Compact"/>
      </w:pPr>
      <w:r>
        <w:t xml:space="preserve">Considere educação universitária adicional somente quando ela apoiar um requisito local claro ou uma trajetória de progressão.</w:t>
      </w:r>
    </w:p>
    <w:p>
      <w:pPr>
        <w:pStyle w:val="FirstParagraph"/>
      </w:pPr>
      <w:r>
        <w:t xml:space="preserve">Não presuma que um certificado privado e caro em serviços humanos seja necessário apenas porque uma escola o anuncia.</w:t>
      </w:r>
    </w:p>
    <w:bookmarkEnd w:id="27"/>
    <w:bookmarkStart w:id="28" w:name="canadá"/>
    <w:p>
      <w:pPr>
        <w:pStyle w:val="Heading3"/>
      </w:pPr>
      <w:r>
        <w:t xml:space="preserve">Canadá</w:t>
      </w:r>
    </w:p>
    <w:p>
      <w:pPr>
        <w:pStyle w:val="FirstParagraph"/>
      </w:pPr>
      <w:r>
        <w:t xml:space="preserve">O Government of Canada Job Bank mapeia Social and community service workers para</w:t>
      </w:r>
      <w:r>
        <w:t xml:space="preserve"> </w:t>
      </w:r>
      <w:r>
        <w:rPr>
          <w:bCs/>
          <w:b/>
        </w:rPr>
        <w:t xml:space="preserve">NOC 42201</w:t>
      </w:r>
      <w:r>
        <w:t xml:space="preserve">. Os requisitos típicos incluem programa universitário ou de college em serviço social, cuidado de crianças e jovens, psicologia ou outra disciplina de ciências sociais ou saúde.</w:t>
      </w:r>
    </w:p>
    <w:p>
      <w:pPr>
        <w:pStyle w:val="BodyText"/>
      </w:pPr>
      <w:r>
        <w:t xml:space="preserve">O Job Bank também observa que experiência anterior em ambiente de serviços sociais como voluntário ou trabalhador de apoio pode substituir a educação formal para algumas ocupações dentro do grupo.</w:t>
      </w:r>
    </w:p>
    <w:p>
      <w:pPr>
        <w:pStyle w:val="BodyText"/>
      </w:pPr>
      <w:r>
        <w:t xml:space="preserve">Algumas províncias podem regulamentar determinados títulos de trabalhador de serviços sociais ou exigir registro. Uma função genérica de apoio comunitário e um título regulamentado de trabalhador de serviços sociais não são automaticamente a mesma coisa.</w:t>
      </w:r>
    </w:p>
    <w:p>
      <w:pPr>
        <w:pStyle w:val="BodyText"/>
      </w:pPr>
      <w:r>
        <w:t xml:space="preserve">Antes de se matricular, verifique:</w:t>
      </w:r>
    </w:p>
    <w:p>
      <w:pPr>
        <w:numPr>
          <w:ilvl w:val="0"/>
          <w:numId w:val="1008"/>
        </w:numPr>
        <w:pStyle w:val="Compact"/>
      </w:pPr>
      <w:r>
        <w:t xml:space="preserve">o título exato que você deseja;</w:t>
      </w:r>
    </w:p>
    <w:p>
      <w:pPr>
        <w:numPr>
          <w:ilvl w:val="0"/>
          <w:numId w:val="1008"/>
        </w:numPr>
        <w:pStyle w:val="Compact"/>
      </w:pPr>
      <w:r>
        <w:t xml:space="preserve">os requisitos provinciais;</w:t>
      </w:r>
    </w:p>
    <w:p>
      <w:pPr>
        <w:numPr>
          <w:ilvl w:val="0"/>
          <w:numId w:val="1008"/>
        </w:numPr>
        <w:pStyle w:val="Compact"/>
      </w:pPr>
      <w:r>
        <w:t xml:space="preserve">se o empregador exige diploma ou graduação;</w:t>
      </w:r>
    </w:p>
    <w:p>
      <w:pPr>
        <w:numPr>
          <w:ilvl w:val="0"/>
          <w:numId w:val="1008"/>
        </w:numPr>
        <w:pStyle w:val="Compact"/>
      </w:pPr>
      <w:r>
        <w:t xml:space="preserve">se experiência supervisionada pode substituir educação formal; e</w:t>
      </w:r>
    </w:p>
    <w:p>
      <w:pPr>
        <w:numPr>
          <w:ilvl w:val="0"/>
          <w:numId w:val="1008"/>
        </w:numPr>
        <w:pStyle w:val="Compact"/>
      </w:pPr>
      <w:r>
        <w:t xml:space="preserve">se registro é exigido para esse título.</w:t>
      </w:r>
    </w:p>
    <w:bookmarkEnd w:id="28"/>
    <w:bookmarkStart w:id="29" w:name="colômbia"/>
    <w:p>
      <w:pPr>
        <w:pStyle w:val="Heading3"/>
      </w:pPr>
      <w:r>
        <w:t xml:space="preserve">Colômbia</w:t>
      </w:r>
    </w:p>
    <w:p>
      <w:pPr>
        <w:pStyle w:val="FirstParagraph"/>
      </w:pPr>
      <w:r>
        <w:t xml:space="preserve">A Classificação Nacional de Ocupações do SENA identifica</w:t>
      </w:r>
      <w:r>
        <w:t xml:space="preserve"> </w:t>
      </w:r>
      <w:r>
        <w:rPr>
          <w:bCs/>
          <w:b/>
        </w:rPr>
        <w:t xml:space="preserve">CNO 4211 — Asistentes en servicios social y comunitario</w:t>
      </w:r>
      <w:r>
        <w:t xml:space="preserve">.</w:t>
      </w:r>
    </w:p>
    <w:p>
      <w:pPr>
        <w:pStyle w:val="BodyText"/>
      </w:pPr>
      <w:r>
        <w:t xml:space="preserve">Vagas atuais da Agencia Pública de Empleo do SENA usam títulos como:</w:t>
      </w:r>
    </w:p>
    <w:p>
      <w:pPr>
        <w:numPr>
          <w:ilvl w:val="0"/>
          <w:numId w:val="1009"/>
        </w:numPr>
        <w:pStyle w:val="Compact"/>
      </w:pPr>
      <w:r>
        <w:t xml:space="preserve">Auxiliar de servicio social y comunitario;</w:t>
      </w:r>
    </w:p>
    <w:p>
      <w:pPr>
        <w:numPr>
          <w:ilvl w:val="0"/>
          <w:numId w:val="1009"/>
        </w:numPr>
        <w:pStyle w:val="Compact"/>
      </w:pPr>
      <w:r>
        <w:t xml:space="preserve">Asistente de servicios sociales y comunitarios;</w:t>
      </w:r>
    </w:p>
    <w:p>
      <w:pPr>
        <w:numPr>
          <w:ilvl w:val="0"/>
          <w:numId w:val="1009"/>
        </w:numPr>
        <w:pStyle w:val="Compact"/>
      </w:pPr>
      <w:r>
        <w:t xml:space="preserve">Gestor comunitario; e</w:t>
      </w:r>
    </w:p>
    <w:p>
      <w:pPr>
        <w:numPr>
          <w:ilvl w:val="0"/>
          <w:numId w:val="1009"/>
        </w:numPr>
        <w:pStyle w:val="Compact"/>
      </w:pPr>
      <w:r>
        <w:t xml:space="preserve">Promotor social.</w:t>
      </w:r>
    </w:p>
    <w:p>
      <w:pPr>
        <w:pStyle w:val="FirstParagraph"/>
      </w:pPr>
      <w:r>
        <w:t xml:space="preserve">Exemplos atuais incluem apoio a encaminhamentos, navegação institucional, logística de programas comunitários, documentação rotineira, ajuda no acesso a serviços e trabalho sob protocolos institucionais em contextos de crise ou populações vulneráveis.</w:t>
      </w:r>
    </w:p>
    <w:p>
      <w:pPr>
        <w:pStyle w:val="BodyText"/>
      </w:pPr>
      <w:r>
        <w:t xml:space="preserve">O SENA Betowa também lista formação pública complementar que pode fortalecer habilidades adjacentes. Exemplos incluem</w:t>
      </w:r>
      <w:r>
        <w:t xml:space="preserve"> </w:t>
      </w:r>
      <w:r>
        <w:rPr>
          <w:bCs/>
          <w:b/>
        </w:rPr>
        <w:t xml:space="preserve">Implementación de la política de participación social en salud</w:t>
      </w:r>
      <w:r>
        <w:t xml:space="preserve"> </w:t>
      </w:r>
      <w:r>
        <w:t xml:space="preserve">e</w:t>
      </w:r>
      <w:r>
        <w:t xml:space="preserve"> </w:t>
      </w:r>
      <w:r>
        <w:rPr>
          <w:bCs/>
          <w:b/>
        </w:rPr>
        <w:t xml:space="preserve">Desarrollo de habilidades para el bienestar familiar y comunitario</w:t>
      </w:r>
      <w:r>
        <w:t xml:space="preserve">.</w:t>
      </w:r>
    </w:p>
    <w:p>
      <w:pPr>
        <w:pStyle w:val="BodyText"/>
      </w:pPr>
      <w:r>
        <w:t xml:space="preserve">Esses são exemplos de desenvolvimento de habilidades, não pré-requisitos legais universais para CNO 4211 e não substituem graduação profissional em serviço social quando a prática profissional exige essa formação.</w:t>
      </w:r>
    </w:p>
    <w:bookmarkEnd w:id="29"/>
    <w:bookmarkStart w:id="30" w:name="américa-latina-e-caribe"/>
    <w:p>
      <w:pPr>
        <w:pStyle w:val="Heading3"/>
      </w:pPr>
      <w:r>
        <w:t xml:space="preserve">América Latina e Caribe</w:t>
      </w:r>
    </w:p>
    <w:p>
      <w:pPr>
        <w:pStyle w:val="FirstParagraph"/>
      </w:pPr>
      <w:r>
        <w:t xml:space="preserve">Sistemas de formação, proteção de títulos, regras profissionais de serviço social e trajetórias de serviço comunitário variam por país. A OIT/Cinterfor mantém uma rede regional de instituições de formação profissional e sistemas de qualificações que pode ajudar a identificar o órgão público nacional apropriado.</w:t>
      </w:r>
    </w:p>
    <w:p>
      <w:pPr>
        <w:pStyle w:val="BodyText"/>
      </w:pPr>
      <w:r>
        <w:t xml:space="preserve">Use a OIT/Cinterfor como localizador e depois confirme o programa, o título, o custo, o reconhecimento e o escopo legal diretamente com a instituição nacional e o regulador local.</w:t>
      </w:r>
    </w:p>
    <w:bookmarkEnd w:id="30"/>
    <w:bookmarkEnd w:id="31"/>
    <w:bookmarkStart w:id="32" w:name="X760a29d0c97915d09fce80c1fac4f37dba16bc2"/>
    <w:p>
      <w:pPr>
        <w:pStyle w:val="Heading2"/>
      </w:pPr>
      <w:r>
        <w:t xml:space="preserve">Estratégia de treinamento gratuito primeiro e de baixo custo</w:t>
      </w:r>
    </w:p>
    <w:p>
      <w:pPr>
        <w:pStyle w:val="FirstParagraph"/>
      </w:pPr>
      <w:r>
        <w:t xml:space="preserve">Antes de pagar por treinamento:</w:t>
      </w:r>
    </w:p>
    <w:p>
      <w:pPr>
        <w:numPr>
          <w:ilvl w:val="0"/>
          <w:numId w:val="1010"/>
        </w:numPr>
        <w:pStyle w:val="Compact"/>
      </w:pPr>
      <w:r>
        <w:t xml:space="preserve">Analise 15–20 vagas reais na área onde pretende trabalhar.</w:t>
      </w:r>
    </w:p>
    <w:p>
      <w:pPr>
        <w:numPr>
          <w:ilvl w:val="0"/>
          <w:numId w:val="1010"/>
        </w:numPr>
        <w:pStyle w:val="Compact"/>
      </w:pPr>
      <w:r>
        <w:t xml:space="preserve">Separe requisitos efetivos de qualificações apenas desejáveis.</w:t>
      </w:r>
    </w:p>
    <w:p>
      <w:pPr>
        <w:numPr>
          <w:ilvl w:val="0"/>
          <w:numId w:val="1010"/>
        </w:numPr>
        <w:pStyle w:val="Compact"/>
      </w:pPr>
      <w:r>
        <w:t xml:space="preserve">Pergunte aos empregadores se fornecem integração remunerada ou treinamento específico para a função.</w:t>
      </w:r>
    </w:p>
    <w:p>
      <w:pPr>
        <w:numPr>
          <w:ilvl w:val="0"/>
          <w:numId w:val="1010"/>
        </w:numPr>
        <w:pStyle w:val="Compact"/>
      </w:pPr>
      <w:r>
        <w:t xml:space="preserve">Use primeiro treinamento público, de community college, vocacional ou de organizações sem fins lucrativos quando adequado.</w:t>
      </w:r>
    </w:p>
    <w:p>
      <w:pPr>
        <w:numPr>
          <w:ilvl w:val="0"/>
          <w:numId w:val="1010"/>
        </w:numPr>
        <w:pStyle w:val="Compact"/>
      </w:pPr>
      <w:r>
        <w:t xml:space="preserve">Compare custo total, horários, transporte, materiais, provas e exigências de estágio não remunerado.</w:t>
      </w:r>
    </w:p>
    <w:p>
      <w:pPr>
        <w:numPr>
          <w:ilvl w:val="0"/>
          <w:numId w:val="1010"/>
        </w:numPr>
        <w:pStyle w:val="Compact"/>
      </w:pPr>
      <w:r>
        <w:t xml:space="preserve">Verifique se os empregadores realmente reconhecem a credencial.</w:t>
      </w:r>
    </w:p>
    <w:p>
      <w:pPr>
        <w:numPr>
          <w:ilvl w:val="0"/>
          <w:numId w:val="1010"/>
        </w:numPr>
        <w:pStyle w:val="Compact"/>
      </w:pPr>
      <w:r>
        <w:t xml:space="preserve">Obtenha por escrito as políticas de reembolso e alegações de colocação profissional.</w:t>
      </w:r>
    </w:p>
    <w:p>
      <w:pPr>
        <w:numPr>
          <w:ilvl w:val="0"/>
          <w:numId w:val="1010"/>
        </w:numPr>
        <w:pStyle w:val="Compact"/>
      </w:pPr>
      <w:r>
        <w:t xml:space="preserve">Evite assumir dívida por uma credencial que os empregadores locais não solicitam.</w:t>
      </w:r>
    </w:p>
    <w:bookmarkEnd w:id="32"/>
    <w:bookmarkStart w:id="37" w:name="Xb11ea1759b5e6a09a500112a754092f0345cf40"/>
    <w:p>
      <w:pPr>
        <w:pStyle w:val="Heading2"/>
      </w:pPr>
      <w:r>
        <w:t xml:space="preserve">Localizadores de financiamento e treinamento público</w:t>
      </w:r>
    </w:p>
    <w:bookmarkStart w:id="33" w:name="estados-unidos-1"/>
    <w:p>
      <w:pPr>
        <w:pStyle w:val="Heading3"/>
      </w:pPr>
      <w:r>
        <w:t xml:space="preserve">Estados Unidos</w:t>
      </w:r>
    </w:p>
    <w:p>
      <w:pPr>
        <w:pStyle w:val="FirstParagraph"/>
      </w:pPr>
      <w:r>
        <w:t xml:space="preserve">CareerOneStop, patrocinado pelo U.S. Department of Labor, oferece uma rede de</w:t>
      </w:r>
      <w:r>
        <w:t xml:space="preserve"> </w:t>
      </w:r>
      <w:r>
        <w:rPr>
          <w:bCs/>
          <w:b/>
        </w:rPr>
        <w:t xml:space="preserve">American Job Centers</w:t>
      </w:r>
      <w:r>
        <w:t xml:space="preserve"> </w:t>
      </w:r>
      <w:r>
        <w:t xml:space="preserve">e um</w:t>
      </w:r>
      <w:r>
        <w:t xml:space="preserve"> </w:t>
      </w:r>
      <w:r>
        <w:rPr>
          <w:bCs/>
          <w:b/>
        </w:rPr>
        <w:t xml:space="preserve">WIOA-Eligible Training Program Finder</w:t>
      </w:r>
      <w:r>
        <w:t xml:space="preserve">.</w:t>
      </w:r>
    </w:p>
    <w:p>
      <w:pPr>
        <w:pStyle w:val="BodyText"/>
      </w:pPr>
      <w:r>
        <w:t xml:space="preserve">Apoio de treinamento pelo WIOA pode estar disponível para pessoas elegíveis, incluindo alguns trabalhadores que enfrentam barreiras ao emprego. Elegibilidade, programas aprovados, prioridades locais e fundos disponíveis variam por região. O financiamento</w:t>
      </w:r>
      <w:r>
        <w:t xml:space="preserve"> </w:t>
      </w:r>
      <w:r>
        <w:rPr>
          <w:bCs/>
          <w:b/>
        </w:rPr>
        <w:t xml:space="preserve">não é garantido</w:t>
      </w:r>
      <w:r>
        <w:t xml:space="preserve">.</w:t>
      </w:r>
    </w:p>
    <w:p>
      <w:pPr>
        <w:pStyle w:val="BodyText"/>
      </w:pPr>
      <w:r>
        <w:t xml:space="preserve">CareerOneStop também oferece ferramentas para pesquisar treinamento local, bolsas de estudo, certificações, licenças e aprendizagem profissional.</w:t>
      </w:r>
    </w:p>
    <w:bookmarkEnd w:id="33"/>
    <w:bookmarkStart w:id="34" w:name="X5a94833749c21fc170a7e04e9edc88ed2e3f93c"/>
    <w:p>
      <w:pPr>
        <w:pStyle w:val="Heading3"/>
      </w:pPr>
      <w:r>
        <w:t xml:space="preserve">Aprendizagem profissional e aprendizagem baseada no trabalho</w:t>
      </w:r>
    </w:p>
    <w:p>
      <w:pPr>
        <w:pStyle w:val="FirstParagraph"/>
      </w:pPr>
      <w:r>
        <w:t xml:space="preserve">Não existe um requisito nacional universal de aprendizagem profissional para Social and Human Service Assistants. Oportunidades de Registered Apprenticeship podem existir em algumas ocupações de serviços humanos ou áreas adjacentes, mas variam por empregador e localidade.</w:t>
      </w:r>
    </w:p>
    <w:p>
      <w:pPr>
        <w:pStyle w:val="BodyText"/>
      </w:pPr>
      <w:r>
        <w:t xml:space="preserve">Pesquise vagas atuais no Apprenticeship.gov em vez de presumir que exista um programa local.</w:t>
      </w:r>
    </w:p>
    <w:bookmarkEnd w:id="34"/>
    <w:bookmarkStart w:id="35" w:name="canadá-1"/>
    <w:p>
      <w:pPr>
        <w:pStyle w:val="Heading3"/>
      </w:pPr>
      <w:r>
        <w:t xml:space="preserve">Canadá</w:t>
      </w:r>
    </w:p>
    <w:p>
      <w:pPr>
        <w:pStyle w:val="FirstParagraph"/>
      </w:pPr>
      <w:r>
        <w:t xml:space="preserve">O Canadá não possui uma única credencial nacional ou programa de financiamento aplicável a todas as funções NOC 42201. Compare opções de community college, universidade, serviços públicos de emprego, treinamento provincial e apoio do empregador na província onde pretende trabalhar.</w:t>
      </w:r>
    </w:p>
    <w:p>
      <w:pPr>
        <w:pStyle w:val="BodyText"/>
      </w:pPr>
      <w:r>
        <w:t xml:space="preserve">Se um programa puder se qualificar para auxílio estudantil público ou apoio provincial, confirme a elegibilidade com o programa governamental responsável antes da matrícula.</w:t>
      </w:r>
    </w:p>
    <w:bookmarkEnd w:id="35"/>
    <w:bookmarkStart w:id="36" w:name="colômbia-e-américa-latina"/>
    <w:p>
      <w:pPr>
        <w:pStyle w:val="Heading3"/>
      </w:pPr>
      <w:r>
        <w:t xml:space="preserve">Colômbia e América Latina</w:t>
      </w:r>
    </w:p>
    <w:p>
      <w:pPr>
        <w:pStyle w:val="FirstParagraph"/>
      </w:pPr>
      <w:r>
        <w:t xml:space="preserve">Comece pelo SENA/Betowa e pelos serviços públicos de emprego do SENA na Colômbia. Em outros países latino-americanos, use a rede da OIT/Cinterfor para identificar a instituição nacional de formação profissional relevante e depois confirme diretamente as ofertas atuais.</w:t>
      </w:r>
    </w:p>
    <w:bookmarkEnd w:id="36"/>
    <w:bookmarkEnd w:id="37"/>
    <w:bookmarkStart w:id="38" w:name="Xf2b70a8a7de0547b65accd6dddc925e203e6e20"/>
    <w:p>
      <w:pPr>
        <w:pStyle w:val="Heading2"/>
      </w:pPr>
      <w:r>
        <w:t xml:space="preserve">Apoio do empregador e aprendizagem baseada no trabalho</w:t>
      </w:r>
    </w:p>
    <w:p>
      <w:pPr>
        <w:pStyle w:val="FirstParagraph"/>
      </w:pPr>
      <w:r>
        <w:t xml:space="preserve">Pergunte aos empregadores sobre:</w:t>
      </w:r>
    </w:p>
    <w:p>
      <w:pPr>
        <w:numPr>
          <w:ilvl w:val="0"/>
          <w:numId w:val="1011"/>
        </w:numPr>
        <w:pStyle w:val="Compact"/>
      </w:pPr>
      <w:r>
        <w:t xml:space="preserve">orientação remunerada;</w:t>
      </w:r>
    </w:p>
    <w:p>
      <w:pPr>
        <w:numPr>
          <w:ilvl w:val="0"/>
          <w:numId w:val="1011"/>
        </w:numPr>
        <w:pStyle w:val="Compact"/>
      </w:pPr>
      <w:r>
        <w:t xml:space="preserve">treinamento supervisionado para triagem inicial ou função de apoio de caso;</w:t>
      </w:r>
    </w:p>
    <w:p>
      <w:pPr>
        <w:numPr>
          <w:ilvl w:val="0"/>
          <w:numId w:val="1011"/>
        </w:numPr>
        <w:pStyle w:val="Compact"/>
      </w:pPr>
      <w:r>
        <w:t xml:space="preserve">treinamento em salvaguarda e notificação compulsória;</w:t>
      </w:r>
    </w:p>
    <w:p>
      <w:pPr>
        <w:numPr>
          <w:ilvl w:val="0"/>
          <w:numId w:val="1011"/>
        </w:numPr>
        <w:pStyle w:val="Compact"/>
      </w:pPr>
      <w:r>
        <w:t xml:space="preserve">treinamento em práticas informadas por trauma;</w:t>
      </w:r>
    </w:p>
    <w:p>
      <w:pPr>
        <w:numPr>
          <w:ilvl w:val="0"/>
          <w:numId w:val="1011"/>
        </w:numPr>
        <w:pStyle w:val="Compact"/>
      </w:pPr>
      <w:r>
        <w:t xml:space="preserve">treinamento em documentação e sistemas de gestão de casos;</w:t>
      </w:r>
    </w:p>
    <w:p>
      <w:pPr>
        <w:numPr>
          <w:ilvl w:val="0"/>
          <w:numId w:val="1011"/>
        </w:numPr>
        <w:pStyle w:val="Compact"/>
      </w:pPr>
      <w:r>
        <w:t xml:space="preserve">treinamento em desescalada de conflitos;</w:t>
      </w:r>
    </w:p>
    <w:p>
      <w:pPr>
        <w:numPr>
          <w:ilvl w:val="0"/>
          <w:numId w:val="1011"/>
        </w:numPr>
        <w:pStyle w:val="Compact"/>
      </w:pPr>
      <w:r>
        <w:t xml:space="preserve">assistência com mensalidades;</w:t>
      </w:r>
    </w:p>
    <w:p>
      <w:pPr>
        <w:numPr>
          <w:ilvl w:val="0"/>
          <w:numId w:val="1011"/>
        </w:numPr>
        <w:pStyle w:val="Compact"/>
      </w:pPr>
      <w:r>
        <w:t xml:space="preserve">reembolso de certificações ou cursos;</w:t>
      </w:r>
    </w:p>
    <w:p>
      <w:pPr>
        <w:numPr>
          <w:ilvl w:val="0"/>
          <w:numId w:val="1011"/>
        </w:numPr>
        <w:pStyle w:val="Compact"/>
      </w:pPr>
      <w:r>
        <w:t xml:space="preserve">apoio ao aprendizado de idiomas;</w:t>
      </w:r>
    </w:p>
    <w:p>
      <w:pPr>
        <w:numPr>
          <w:ilvl w:val="0"/>
          <w:numId w:val="1011"/>
        </w:numPr>
        <w:pStyle w:val="Compact"/>
      </w:pPr>
      <w:r>
        <w:t xml:space="preserve">treinamento cruzado em habitação, deficiência, juventude, envelhecimento, emprego ou serviços familiares; e</w:t>
      </w:r>
    </w:p>
    <w:p>
      <w:pPr>
        <w:numPr>
          <w:ilvl w:val="0"/>
          <w:numId w:val="1011"/>
        </w:numPr>
        <w:pStyle w:val="Compact"/>
      </w:pPr>
      <w:r>
        <w:t xml:space="preserve">trajetórias internas de promoção.</w:t>
      </w:r>
    </w:p>
    <w:p>
      <w:pPr>
        <w:pStyle w:val="FirstParagraph"/>
      </w:pPr>
      <w:r>
        <w:t xml:space="preserve">Obtenha por escrito quaisquer obrigações de reembolso antes de aceitar educação financiada pelo empregador.</w:t>
      </w:r>
    </w:p>
    <w:bookmarkEnd w:id="38"/>
    <w:bookmarkStart w:id="43" w:name="renda-e-perspectivas-de-emprego"/>
    <w:p>
      <w:pPr>
        <w:pStyle w:val="Heading2"/>
      </w:pPr>
      <w:r>
        <w:t xml:space="preserve">Renda e perspectivas de emprego</w:t>
      </w:r>
    </w:p>
    <w:bookmarkStart w:id="39" w:name="estados-unidos--dados-oficiais"/>
    <w:p>
      <w:pPr>
        <w:pStyle w:val="Heading3"/>
      </w:pPr>
      <w:r>
        <w:t xml:space="preserve">Estados Unidos — dados oficiais</w:t>
      </w:r>
    </w:p>
    <w:p>
      <w:pPr>
        <w:pStyle w:val="FirstParagraph"/>
      </w:pPr>
      <w:r>
        <w:t xml:space="preserve">O O*NET informa</w:t>
      </w:r>
      <w:r>
        <w:t xml:space="preserve"> </w:t>
      </w:r>
      <w:r>
        <w:rPr>
          <w:bCs/>
          <w:b/>
        </w:rPr>
        <w:t xml:space="preserve">dados salariais BLS de 2025</w:t>
      </w:r>
      <w:r>
        <w:t xml:space="preserve"> </w:t>
      </w:r>
      <w:r>
        <w:t xml:space="preserve">para Social and Human Service Assistants, 21-1093.00:</w:t>
      </w:r>
    </w:p>
    <w:p>
      <w:pPr>
        <w:numPr>
          <w:ilvl w:val="0"/>
          <w:numId w:val="1012"/>
        </w:numPr>
        <w:pStyle w:val="Compact"/>
      </w:pPr>
      <w:r>
        <w:rPr>
          <w:bCs/>
          <w:b/>
        </w:rPr>
        <w:t xml:space="preserve">Salário mediano por hora: USD $22.08</w:t>
      </w:r>
    </w:p>
    <w:p>
      <w:pPr>
        <w:numPr>
          <w:ilvl w:val="0"/>
          <w:numId w:val="1012"/>
        </w:numPr>
        <w:pStyle w:val="Compact"/>
      </w:pPr>
      <w:r>
        <w:rPr>
          <w:bCs/>
          <w:b/>
        </w:rPr>
        <w:t xml:space="preserve">Salário mediano anual: USD $45,930</w:t>
      </w:r>
    </w:p>
    <w:p>
      <w:pPr>
        <w:pStyle w:val="FirstParagraph"/>
      </w:pPr>
      <w:r>
        <w:t xml:space="preserve">O O*NET também informa aproximadamente</w:t>
      </w:r>
      <w:r>
        <w:t xml:space="preserve"> </w:t>
      </w:r>
      <w:r>
        <w:rPr>
          <w:bCs/>
          <w:b/>
        </w:rPr>
        <w:t xml:space="preserve">449,600 trabalhadores em 2024</w:t>
      </w:r>
      <w:r>
        <w:t xml:space="preserve">, crescimento projetado de</w:t>
      </w:r>
      <w:r>
        <w:t xml:space="preserve"> </w:t>
      </w:r>
      <w:r>
        <w:rPr>
          <w:bCs/>
          <w:b/>
        </w:rPr>
        <w:t xml:space="preserve">5% a 6% de 2024 a 2034</w:t>
      </w:r>
      <w:r>
        <w:t xml:space="preserve"> </w:t>
      </w:r>
      <w:r>
        <w:t xml:space="preserve">e aproximadamente</w:t>
      </w:r>
      <w:r>
        <w:t xml:space="preserve"> </w:t>
      </w:r>
      <w:r>
        <w:rPr>
          <w:bCs/>
          <w:b/>
        </w:rPr>
        <w:t xml:space="preserve">50,600 vagas por ano</w:t>
      </w:r>
      <w:r>
        <w:t xml:space="preserve"> </w:t>
      </w:r>
      <w:r>
        <w:t xml:space="preserve">ao longo da década.</w:t>
      </w:r>
    </w:p>
    <w:p>
      <w:pPr>
        <w:pStyle w:val="BodyText"/>
      </w:pPr>
      <w:r>
        <w:t xml:space="preserve">Esses são dados ocupacionais nacionais. Não são salários iniciais garantidos e podem variar por empregador, região, educação, horário e população atendida.</w:t>
      </w:r>
    </w:p>
    <w:bookmarkEnd w:id="39"/>
    <w:bookmarkStart w:id="40" w:name="X6e3a728b1e7e6c420a19e7d4c3aaa78a3592bae"/>
    <w:p>
      <w:pPr>
        <w:pStyle w:val="Heading3"/>
      </w:pPr>
      <w:r>
        <w:t xml:space="preserve">Estados Unidos — estimativa privada atual de mercado</w:t>
      </w:r>
    </w:p>
    <w:p>
      <w:pPr>
        <w:pStyle w:val="FirstParagraph"/>
      </w:pPr>
      <w:r>
        <w:t xml:space="preserve">O Indeed informou salário-base médio de aproximadamente</w:t>
      </w:r>
      <w:r>
        <w:t xml:space="preserve"> </w:t>
      </w:r>
      <w:r>
        <w:rPr>
          <w:bCs/>
          <w:b/>
        </w:rPr>
        <w:t xml:space="preserve">USD $21.40 por hora</w:t>
      </w:r>
      <w:r>
        <w:t xml:space="preserve"> </w:t>
      </w:r>
      <w:r>
        <w:t xml:space="preserve">para o título mais restrito</w:t>
      </w:r>
      <w:r>
        <w:t xml:space="preserve"> </w:t>
      </w:r>
      <w:r>
        <w:rPr>
          <w:iCs/>
          <w:i/>
        </w:rPr>
        <w:t xml:space="preserve">Social Services Assistant</w:t>
      </w:r>
      <w:r>
        <w:t xml:space="preserve">, com base em cerca de 1.200 salários de anúncios de emprego dos 36 meses anteriores e atualização em</w:t>
      </w:r>
      <w:r>
        <w:t xml:space="preserve"> </w:t>
      </w:r>
      <w:r>
        <w:rPr>
          <w:bCs/>
          <w:b/>
        </w:rPr>
        <w:t xml:space="preserve">1º de agosto de 2026</w:t>
      </w:r>
      <w:r>
        <w:t xml:space="preserve">.</w:t>
      </w:r>
    </w:p>
    <w:p>
      <w:pPr>
        <w:pStyle w:val="BodyText"/>
      </w:pPr>
      <w:r>
        <w:t xml:space="preserve">Esta é uma</w:t>
      </w:r>
      <w:r>
        <w:t xml:space="preserve"> </w:t>
      </w:r>
      <w:r>
        <w:rPr>
          <w:bCs/>
          <w:b/>
        </w:rPr>
        <w:t xml:space="preserve">estimativa não governamental baseada em anúncios de emprego</w:t>
      </w:r>
      <w:r>
        <w:t xml:space="preserve">, não a mediana ocupacional oficial BLS/O*NET. Não combine os dois números como se fossem o mesmo conjunto de dados.</w:t>
      </w:r>
    </w:p>
    <w:bookmarkEnd w:id="40"/>
    <w:bookmarkStart w:id="41" w:name="canadá--dados-oficiais"/>
    <w:p>
      <w:pPr>
        <w:pStyle w:val="Heading3"/>
      </w:pPr>
      <w:r>
        <w:t xml:space="preserve">Canadá — dados oficiais</w:t>
      </w:r>
    </w:p>
    <w:p>
      <w:pPr>
        <w:pStyle w:val="FirstParagraph"/>
      </w:pPr>
      <w:r>
        <w:t xml:space="preserve">O Government of Canada Job Bank informa salários nacionais para NOC 42201, atualizados em</w:t>
      </w:r>
      <w:r>
        <w:t xml:space="preserve"> </w:t>
      </w:r>
      <w:r>
        <w:rPr>
          <w:bCs/>
          <w:b/>
        </w:rPr>
        <w:t xml:space="preserve">19 de novembro de 2025</w:t>
      </w:r>
      <w:r>
        <w:t xml:space="preserve">, de aproximadamente:</w:t>
      </w:r>
    </w:p>
    <w:p>
      <w:pPr>
        <w:numPr>
          <w:ilvl w:val="0"/>
          <w:numId w:val="1013"/>
        </w:numPr>
        <w:pStyle w:val="Compact"/>
      </w:pPr>
      <w:r>
        <w:rPr>
          <w:bCs/>
          <w:b/>
        </w:rPr>
        <w:t xml:space="preserve">CAD $19.00/hora — baixo</w:t>
      </w:r>
    </w:p>
    <w:p>
      <w:pPr>
        <w:numPr>
          <w:ilvl w:val="0"/>
          <w:numId w:val="1013"/>
        </w:numPr>
        <w:pStyle w:val="Compact"/>
      </w:pPr>
      <w:r>
        <w:rPr>
          <w:bCs/>
          <w:b/>
        </w:rPr>
        <w:t xml:space="preserve">CAD $26.00/hora — mediano</w:t>
      </w:r>
    </w:p>
    <w:p>
      <w:pPr>
        <w:numPr>
          <w:ilvl w:val="0"/>
          <w:numId w:val="1013"/>
        </w:numPr>
        <w:pStyle w:val="Compact"/>
      </w:pPr>
      <w:r>
        <w:rPr>
          <w:bCs/>
          <w:b/>
        </w:rPr>
        <w:t xml:space="preserve">CAD $36.06/hora — alto</w:t>
      </w:r>
    </w:p>
    <w:p>
      <w:pPr>
        <w:pStyle w:val="FirstParagraph"/>
      </w:pPr>
      <w:r>
        <w:t xml:space="preserve">O período de referência salarial subjacente é 2023–2024. Os salários provinciais e regionais variam de forma relevante.</w:t>
      </w:r>
    </w:p>
    <w:bookmarkEnd w:id="41"/>
    <w:bookmarkStart w:id="42" w:name="colômbia-1"/>
    <w:p>
      <w:pPr>
        <w:pStyle w:val="Heading3"/>
      </w:pPr>
      <w:r>
        <w:t xml:space="preserve">Colômbia</w:t>
      </w:r>
    </w:p>
    <w:p>
      <w:pPr>
        <w:pStyle w:val="FirstParagraph"/>
      </w:pPr>
      <w:r>
        <w:t xml:space="preserve">No passe de pesquisa controlada, não foi identificada uma série salarial oficial nacional atual diretamente comparável e claramente mapeada ao Guia 59. Não invente um valor salarial nacional.</w:t>
      </w:r>
    </w:p>
    <w:p>
      <w:pPr>
        <w:pStyle w:val="BodyText"/>
      </w:pPr>
      <w:r>
        <w:t xml:space="preserve">Use vagas atuais da Agencia Pública de Empleo do SENA e outras vagas locais verificadas para avaliar remuneração, horário, tipo de contrato e expectativas de qualificação na cidade ou departamento onde pretende trabalhar.</w:t>
      </w:r>
    </w:p>
    <w:bookmarkEnd w:id="42"/>
    <w:bookmarkEnd w:id="43"/>
    <w:bookmarkStart w:id="44" w:name="plano-prático-de-início-em-12-semanas"/>
    <w:p>
      <w:pPr>
        <w:pStyle w:val="Heading2"/>
      </w:pPr>
      <w:r>
        <w:t xml:space="preserve">Plano prático de início em 12 semanas</w:t>
      </w:r>
    </w:p>
    <w:p>
      <w:pPr>
        <w:pStyle w:val="FirstParagraph"/>
      </w:pPr>
      <w:r>
        <w:rPr>
          <w:bCs/>
          <w:b/>
        </w:rPr>
        <w:t xml:space="preserve">Semanas 1–2:</w:t>
      </w:r>
      <w:r>
        <w:t xml:space="preserve"> </w:t>
      </w:r>
      <w:r>
        <w:t xml:space="preserve">Analise 15–20 vagas locais. Registre títulos recorrentes, educação, requisitos de direção, verificações de antecedentes, sistemas de documentação, populações atendidas e horários.</w:t>
      </w:r>
    </w:p>
    <w:p>
      <w:pPr>
        <w:pStyle w:val="BodyText"/>
      </w:pPr>
      <w:r>
        <w:rPr>
          <w:bCs/>
          <w:b/>
        </w:rPr>
        <w:t xml:space="preserve">Semanas 3–4:</w:t>
      </w:r>
      <w:r>
        <w:t xml:space="preserve"> </w:t>
      </w:r>
      <w:r>
        <w:t xml:space="preserve">Construa um mapa de recursos locais para habitação, alimentação, emprego, deficiência, envelhecimento, juventude, família, saúde, transporte, assistência jurídica e serviços de crise. Aprenda o que cada organização realmente faz e como funcionam os encaminhamentos.</w:t>
      </w:r>
    </w:p>
    <w:p>
      <w:pPr>
        <w:pStyle w:val="BodyText"/>
      </w:pPr>
      <w:r>
        <w:rPr>
          <w:bCs/>
          <w:b/>
        </w:rPr>
        <w:t xml:space="preserve">Semanas 5–6:</w:t>
      </w:r>
      <w:r>
        <w:t xml:space="preserve"> </w:t>
      </w:r>
      <w:r>
        <w:t xml:space="preserve">Pratique escuta ativa, explicação em linguagem simples, redação objetiva de notas, limites profissionais, privacidade e documentação básica de casos usando cenários fictícios.</w:t>
      </w:r>
    </w:p>
    <w:p>
      <w:pPr>
        <w:pStyle w:val="BodyText"/>
      </w:pPr>
      <w:r>
        <w:rPr>
          <w:bCs/>
          <w:b/>
        </w:rPr>
        <w:t xml:space="preserve">Semanas 7–8:</w:t>
      </w:r>
      <w:r>
        <w:t xml:space="preserve"> </w:t>
      </w:r>
      <w:r>
        <w:t xml:space="preserve">Conclua treinamentos públicos disponíveis ou reconhecidos por empregadores em salvaguarda, consciência sobre trauma, desescalada, inclusão de pessoas com deficiência, privacidade digital ou navegação de recursos comunitários, quando apropriado.</w:t>
      </w:r>
    </w:p>
    <w:p>
      <w:pPr>
        <w:pStyle w:val="BodyText"/>
      </w:pPr>
      <w:r>
        <w:rPr>
          <w:bCs/>
          <w:b/>
        </w:rPr>
        <w:t xml:space="preserve">Semanas 9–10:</w:t>
      </w:r>
      <w:r>
        <w:t xml:space="preserve"> </w:t>
      </w:r>
      <w:r>
        <w:t xml:space="preserve">Desenvolva experiência supervisionada por meio de voluntariado, programas comunitários, atendimento ao público, apoio administrativo, abrigos, serviços para pessoas com deficiência, programas para jovens, serviços para idosos ou outros ambientes relevantes.</w:t>
      </w:r>
    </w:p>
    <w:p>
      <w:pPr>
        <w:pStyle w:val="BodyText"/>
      </w:pPr>
      <w:r>
        <w:rPr>
          <w:bCs/>
          <w:b/>
        </w:rPr>
        <w:t xml:space="preserve">Semanas 11–12:</w:t>
      </w:r>
      <w:r>
        <w:t xml:space="preserve"> </w:t>
      </w:r>
      <w:r>
        <w:t xml:space="preserve">Candidate-se a funções compatíveis com sua educação e experiência reais. Prepare exemplos que mostrem confiabilidade, documentação, empatia, limites, navegação de recursos e escalonamento adequado.</w:t>
      </w:r>
    </w:p>
    <w:bookmarkEnd w:id="44"/>
    <w:bookmarkStart w:id="45" w:name="Xb0672ccc664f98fb6b44423e6be3c7cac805384"/>
    <w:p>
      <w:pPr>
        <w:pStyle w:val="Heading2"/>
      </w:pPr>
      <w:r>
        <w:t xml:space="preserve">Como desenvolver experiência sem já possuir o título</w:t>
      </w:r>
    </w:p>
    <w:p>
      <w:pPr>
        <w:pStyle w:val="FirstParagraph"/>
      </w:pPr>
      <w:r>
        <w:t xml:space="preserve">Experiência transferível pode vir de:</w:t>
      </w:r>
    </w:p>
    <w:p>
      <w:pPr>
        <w:numPr>
          <w:ilvl w:val="0"/>
          <w:numId w:val="1014"/>
        </w:numPr>
        <w:pStyle w:val="Compact"/>
      </w:pPr>
      <w:r>
        <w:t xml:space="preserve">voluntariado comunitário;</w:t>
      </w:r>
    </w:p>
    <w:p>
      <w:pPr>
        <w:numPr>
          <w:ilvl w:val="0"/>
          <w:numId w:val="1014"/>
        </w:numPr>
        <w:pStyle w:val="Compact"/>
      </w:pPr>
      <w:r>
        <w:t xml:space="preserve">bancos de alimentos ou centros de recursos;</w:t>
      </w:r>
    </w:p>
    <w:p>
      <w:pPr>
        <w:numPr>
          <w:ilvl w:val="0"/>
          <w:numId w:val="1014"/>
        </w:numPr>
        <w:pStyle w:val="Compact"/>
      </w:pPr>
      <w:r>
        <w:t xml:space="preserve">apoio habitacional ou em abrigos;</w:t>
      </w:r>
    </w:p>
    <w:p>
      <w:pPr>
        <w:numPr>
          <w:ilvl w:val="0"/>
          <w:numId w:val="1014"/>
        </w:numPr>
        <w:pStyle w:val="Compact"/>
      </w:pPr>
      <w:r>
        <w:t xml:space="preserve">programas de serviços para pessoas com deficiência;</w:t>
      </w:r>
    </w:p>
    <w:p>
      <w:pPr>
        <w:numPr>
          <w:ilvl w:val="0"/>
          <w:numId w:val="1014"/>
        </w:numPr>
        <w:pStyle w:val="Compact"/>
      </w:pPr>
      <w:r>
        <w:t xml:space="preserve">serviços para idosos;</w:t>
      </w:r>
    </w:p>
    <w:p>
      <w:pPr>
        <w:numPr>
          <w:ilvl w:val="0"/>
          <w:numId w:val="1014"/>
        </w:numPr>
        <w:pStyle w:val="Compact"/>
      </w:pPr>
      <w:r>
        <w:t xml:space="preserve">programas para jovens;</w:t>
      </w:r>
    </w:p>
    <w:p>
      <w:pPr>
        <w:numPr>
          <w:ilvl w:val="0"/>
          <w:numId w:val="1014"/>
        </w:numPr>
        <w:pStyle w:val="Compact"/>
      </w:pPr>
      <w:r>
        <w:t xml:space="preserve">atendimento ao cliente;</w:t>
      </w:r>
    </w:p>
    <w:p>
      <w:pPr>
        <w:numPr>
          <w:ilvl w:val="0"/>
          <w:numId w:val="1014"/>
        </w:numPr>
        <w:pStyle w:val="Compact"/>
      </w:pPr>
      <w:r>
        <w:t xml:space="preserve">administração em saúde;</w:t>
      </w:r>
    </w:p>
    <w:p>
      <w:pPr>
        <w:numPr>
          <w:ilvl w:val="0"/>
          <w:numId w:val="1014"/>
        </w:numPr>
        <w:pStyle w:val="Compact"/>
      </w:pPr>
      <w:r>
        <w:t xml:space="preserve">recepção e agendamento;</w:t>
      </w:r>
    </w:p>
    <w:p>
      <w:pPr>
        <w:numPr>
          <w:ilvl w:val="0"/>
          <w:numId w:val="1014"/>
        </w:numPr>
        <w:pStyle w:val="Compact"/>
      </w:pPr>
      <w:r>
        <w:t xml:space="preserve">cuidado de pessoas;</w:t>
      </w:r>
    </w:p>
    <w:p>
      <w:pPr>
        <w:numPr>
          <w:ilvl w:val="0"/>
          <w:numId w:val="1014"/>
        </w:numPr>
        <w:pStyle w:val="Compact"/>
      </w:pPr>
      <w:r>
        <w:t xml:space="preserve">organizações religiosas ou comunitárias;</w:t>
      </w:r>
    </w:p>
    <w:p>
      <w:pPr>
        <w:numPr>
          <w:ilvl w:val="0"/>
          <w:numId w:val="1014"/>
        </w:numPr>
        <w:pStyle w:val="Compact"/>
      </w:pPr>
      <w:r>
        <w:t xml:space="preserve">apoio escolar; ou</w:t>
      </w:r>
    </w:p>
    <w:p>
      <w:pPr>
        <w:numPr>
          <w:ilvl w:val="0"/>
          <w:numId w:val="1014"/>
        </w:numPr>
        <w:pStyle w:val="Compact"/>
      </w:pPr>
      <w:r>
        <w:t xml:space="preserve">programas de emprego e força de trabalho.</w:t>
      </w:r>
    </w:p>
    <w:p>
      <w:pPr>
        <w:pStyle w:val="FirstParagraph"/>
      </w:pPr>
      <w:r>
        <w:t xml:space="preserve">Descreva sua experiência com precisão. Evidências úteis incluem registros corretos, encaminhamentos concluídos com sucesso, volume de atendimento, presença confiável, apoio linguístico, logística de oficinas, desescalada sob supervisão ou ajuda a pessoas para concluir processos rotineiros.</w:t>
      </w:r>
    </w:p>
    <w:p>
      <w:pPr>
        <w:pStyle w:val="BodyText"/>
      </w:pPr>
      <w:r>
        <w:t xml:space="preserve">Não alegue aconselhamento clínico, licença de serviço social, autoridade de gestão de casos, decisão sobre benefícios, autoridade de comando em crises ou conhecimento jurídico que você não possui.</w:t>
      </w:r>
    </w:p>
    <w:bookmarkEnd w:id="45"/>
    <w:bookmarkStart w:id="46" w:name="progressão-de-carreira"/>
    <w:p>
      <w:pPr>
        <w:pStyle w:val="Heading2"/>
      </w:pPr>
      <w:r>
        <w:t xml:space="preserve">Progressão de carreira</w:t>
      </w:r>
    </w:p>
    <w:p>
      <w:pPr>
        <w:pStyle w:val="FirstParagraph"/>
      </w:pPr>
      <w:r>
        <w:t xml:space="preserve">Possíveis próximos passos podem incluir assistente sênior de serviços humanos, case aide, community support worker, outreach worker, housing navigator, family-support worker, coordenador de apoio à deficiência, trabalhador de serviços de emprego, coordenador de programa, especialista de intake ou outras funções de serviço comunitário.</w:t>
      </w:r>
    </w:p>
    <w:p>
      <w:pPr>
        <w:pStyle w:val="BodyText"/>
      </w:pPr>
      <w:r>
        <w:t xml:space="preserve">Com educação adicional e credenciais específicas da jurisdição, algumas pessoas posteriormente avançam para serviço social, aconselhamento, reabilitação, administração pública, desenvolvimento comunitário, saúde comportamental ou profissões relacionadas.</w:t>
      </w:r>
    </w:p>
    <w:p>
      <w:pPr>
        <w:pStyle w:val="BodyText"/>
      </w:pPr>
      <w:r>
        <w:t xml:space="preserve">Não presuma que a experiência por si só confere um título profissional protegido. Verifique os requisitos legais e educacionais da próxima função antes de se matricular ou se apresentar sob esse título.</w:t>
      </w:r>
    </w:p>
    <w:bookmarkEnd w:id="46"/>
    <w:bookmarkStart w:id="47" w:name="uso-responsável-de-ia-neste-trabalho"/>
    <w:p>
      <w:pPr>
        <w:pStyle w:val="Heading2"/>
      </w:pPr>
      <w:r>
        <w:t xml:space="preserve">Uso responsável de IA neste trabalho</w:t>
      </w:r>
    </w:p>
    <w:p>
      <w:pPr>
        <w:pStyle w:val="FirstParagraph"/>
      </w:pPr>
      <w:r>
        <w:t xml:space="preserve">A IA pode ser útil para:</w:t>
      </w:r>
    </w:p>
    <w:p>
      <w:pPr>
        <w:numPr>
          <w:ilvl w:val="0"/>
          <w:numId w:val="1015"/>
        </w:numPr>
        <w:pStyle w:val="Compact"/>
      </w:pPr>
      <w:r>
        <w:t xml:space="preserve">praticar perguntas de entrevista;</w:t>
      </w:r>
    </w:p>
    <w:p>
      <w:pPr>
        <w:numPr>
          <w:ilvl w:val="0"/>
          <w:numId w:val="1015"/>
        </w:numPr>
        <w:pStyle w:val="Compact"/>
      </w:pPr>
      <w:r>
        <w:t xml:space="preserve">explicar terminologia geral não sensível;</w:t>
      </w:r>
    </w:p>
    <w:p>
      <w:pPr>
        <w:numPr>
          <w:ilvl w:val="0"/>
          <w:numId w:val="1015"/>
        </w:numPr>
        <w:pStyle w:val="Compact"/>
      </w:pPr>
      <w:r>
        <w:t xml:space="preserve">elaborar notas de estudo genéricas;</w:t>
      </w:r>
    </w:p>
    <w:p>
      <w:pPr>
        <w:numPr>
          <w:ilvl w:val="0"/>
          <w:numId w:val="1015"/>
        </w:numPr>
        <w:pStyle w:val="Compact"/>
      </w:pPr>
      <w:r>
        <w:t xml:space="preserve">criar cenários fictícios para simulação; ou</w:t>
      </w:r>
    </w:p>
    <w:p>
      <w:pPr>
        <w:numPr>
          <w:ilvl w:val="0"/>
          <w:numId w:val="1015"/>
        </w:numPr>
        <w:pStyle w:val="Compact"/>
      </w:pPr>
      <w:r>
        <w:t xml:space="preserve">organizar uma lista genérica de recursos.</w:t>
      </w:r>
    </w:p>
    <w:p>
      <w:pPr>
        <w:pStyle w:val="FirstParagraph"/>
      </w:pPr>
      <w:r>
        <w:t xml:space="preserve">A IA</w:t>
      </w:r>
      <w:r>
        <w:t xml:space="preserve"> </w:t>
      </w:r>
      <w:r>
        <w:rPr>
          <w:bCs/>
          <w:b/>
        </w:rPr>
        <w:t xml:space="preserve">não deve</w:t>
      </w:r>
      <w:r>
        <w:t xml:space="preserve"> </w:t>
      </w:r>
      <w:r>
        <w:t xml:space="preserve">substituir julgamento profissional, avaliação de crise, decisões de elegibilidade para benefícios, aconselhamento jurídico, diagnóstico clínico, decisões de salvaguarda, decisões sobre notificação compulsória ou procedimentos de gestão de casos aprovados pelo empregador.</w:t>
      </w:r>
    </w:p>
    <w:p>
      <w:pPr>
        <w:pStyle w:val="BodyText"/>
      </w:pPr>
      <w:r>
        <w:t xml:space="preserve">Não cole registros identificáveis de clientes, nomes, endereços, datas de nascimento, informações médicas ou de saúde mental, detalhes de imigração, informações de benefícios, dados familiares, credenciais, notas de caso ou outros dados protegidos em ferramentas públicas de IA, a menos que sua organização tenha aprovado explicitamente esse uso e que os controles exigidos de privacidade e segurança estejam implementados.</w:t>
      </w:r>
    </w:p>
    <w:p>
      <w:pPr>
        <w:pStyle w:val="BodyText"/>
      </w:pPr>
      <w:r>
        <w:t xml:space="preserve">Verifique qualquer recurso, resumo de política, informação de contato ou declaração jurídica gerada por IA antes de confiar nela. Recursos comunitários, regras de programas, números de telefone, critérios de elegibilidade e leis podem mudar.</w:t>
      </w:r>
    </w:p>
    <w:bookmarkEnd w:id="47"/>
    <w:bookmarkStart w:id="48" w:name="X73c1dc6fed9cebb995f2b3fb845a9defe41fa9c"/>
    <w:p>
      <w:pPr>
        <w:pStyle w:val="Heading2"/>
      </w:pPr>
      <w:r>
        <w:t xml:space="preserve">Fundamentos de cibersegurança e privacidade</w:t>
      </w:r>
    </w:p>
    <w:p>
      <w:pPr>
        <w:pStyle w:val="FirstParagraph"/>
      </w:pPr>
      <w:r>
        <w:t xml:space="preserve">Organizações de serviços humanos podem usar sistemas de gestão de casos, unidades compartilhadas, e-mail, plataformas de mensagens, portais de benefícios, sistemas de saúde, portais governamentais e dispositivos móveis.</w:t>
      </w:r>
    </w:p>
    <w:p>
      <w:pPr>
        <w:pStyle w:val="BodyText"/>
      </w:pPr>
      <w:r>
        <w:t xml:space="preserve">Siga as regras do empregador para:</w:t>
      </w:r>
    </w:p>
    <w:p>
      <w:pPr>
        <w:numPr>
          <w:ilvl w:val="0"/>
          <w:numId w:val="1016"/>
        </w:numPr>
        <w:pStyle w:val="Compact"/>
      </w:pPr>
      <w:r>
        <w:t xml:space="preserve">autenticação multifator;</w:t>
      </w:r>
    </w:p>
    <w:p>
      <w:pPr>
        <w:numPr>
          <w:ilvl w:val="0"/>
          <w:numId w:val="1016"/>
        </w:numPr>
        <w:pStyle w:val="Compact"/>
      </w:pPr>
      <w:r>
        <w:t xml:space="preserve">senhas e compartilhamento de credenciais;</w:t>
      </w:r>
    </w:p>
    <w:p>
      <w:pPr>
        <w:numPr>
          <w:ilvl w:val="0"/>
          <w:numId w:val="1016"/>
        </w:numPr>
        <w:pStyle w:val="Compact"/>
      </w:pPr>
      <w:r>
        <w:t xml:space="preserve">dispositivos e aplicativos aprovados;</w:t>
      </w:r>
    </w:p>
    <w:p>
      <w:pPr>
        <w:numPr>
          <w:ilvl w:val="0"/>
          <w:numId w:val="1016"/>
        </w:numPr>
        <w:pStyle w:val="Compact"/>
      </w:pPr>
      <w:r>
        <w:t xml:space="preserve">phishing e links suspeitos;</w:t>
      </w:r>
    </w:p>
    <w:p>
      <w:pPr>
        <w:numPr>
          <w:ilvl w:val="0"/>
          <w:numId w:val="1016"/>
        </w:numPr>
        <w:pStyle w:val="Compact"/>
      </w:pPr>
      <w:r>
        <w:t xml:space="preserve">compartilhamento de arquivos criptografado ou aprovado;</w:t>
      </w:r>
    </w:p>
    <w:p>
      <w:pPr>
        <w:numPr>
          <w:ilvl w:val="0"/>
          <w:numId w:val="1016"/>
        </w:numPr>
        <w:pStyle w:val="Compact"/>
      </w:pPr>
      <w:r>
        <w:t xml:space="preserve">verificação de identidade do cliente;</w:t>
      </w:r>
    </w:p>
    <w:p>
      <w:pPr>
        <w:numPr>
          <w:ilvl w:val="0"/>
          <w:numId w:val="1016"/>
        </w:numPr>
        <w:pStyle w:val="Compact"/>
      </w:pPr>
      <w:r>
        <w:t xml:space="preserve">acesso baseado em função;</w:t>
      </w:r>
    </w:p>
    <w:p>
      <w:pPr>
        <w:numPr>
          <w:ilvl w:val="0"/>
          <w:numId w:val="1016"/>
        </w:numPr>
        <w:pStyle w:val="Compact"/>
      </w:pPr>
      <w:r>
        <w:t xml:space="preserve">impressão e registros físicos;</w:t>
      </w:r>
    </w:p>
    <w:p>
      <w:pPr>
        <w:numPr>
          <w:ilvl w:val="0"/>
          <w:numId w:val="1016"/>
        </w:numPr>
        <w:pStyle w:val="Compact"/>
      </w:pPr>
      <w:r>
        <w:t xml:space="preserve">trabalho remoto;</w:t>
      </w:r>
    </w:p>
    <w:p>
      <w:pPr>
        <w:numPr>
          <w:ilvl w:val="0"/>
          <w:numId w:val="1016"/>
        </w:numPr>
        <w:pStyle w:val="Compact"/>
      </w:pPr>
      <w:r>
        <w:t xml:space="preserve">comunicação de incidentes; e</w:t>
      </w:r>
    </w:p>
    <w:p>
      <w:pPr>
        <w:numPr>
          <w:ilvl w:val="0"/>
          <w:numId w:val="1016"/>
        </w:numPr>
        <w:pStyle w:val="Compact"/>
      </w:pPr>
      <w:r>
        <w:t xml:space="preserve">descarte de informações sensíveis.</w:t>
      </w:r>
    </w:p>
    <w:p>
      <w:pPr>
        <w:pStyle w:val="FirstParagraph"/>
      </w:pPr>
      <w:r>
        <w:t xml:space="preserve">Tenha cuidado especial com solicitações urgentes para alterar dados bancários de clientes, redirecionar benefícios, redefinir credenciais, compartilhar registros ou enviar documentos sensíveis por um canal inesperado. Verifique pelo processo aprovado antes de agir.</w:t>
      </w:r>
    </w:p>
    <w:bookmarkEnd w:id="48"/>
    <w:bookmarkStart w:id="49" w:name="X8f79df2e857976c996ca6b49f712c76a228e8f1"/>
    <w:p>
      <w:pPr>
        <w:pStyle w:val="Heading2"/>
      </w:pPr>
      <w:r>
        <w:t xml:space="preserve">Como evitar golpes e ofertas fracas de treinamento</w:t>
      </w:r>
    </w:p>
    <w:p>
      <w:pPr>
        <w:pStyle w:val="FirstParagraph"/>
      </w:pPr>
      <w:r>
        <w:t xml:space="preserve">Tenha cautela quando uma escola, recrutador ou vendedor de treinamento:</w:t>
      </w:r>
    </w:p>
    <w:p>
      <w:pPr>
        <w:numPr>
          <w:ilvl w:val="0"/>
          <w:numId w:val="1017"/>
        </w:numPr>
        <w:pStyle w:val="Compact"/>
      </w:pPr>
      <w:r>
        <w:t xml:space="preserve">garante emprego ou salário específico;</w:t>
      </w:r>
    </w:p>
    <w:p>
      <w:pPr>
        <w:numPr>
          <w:ilvl w:val="0"/>
          <w:numId w:val="1017"/>
        </w:numPr>
        <w:pStyle w:val="Compact"/>
      </w:pPr>
      <w:r>
        <w:t xml:space="preserve">afirma que um certificado privado é legalmente obrigatório sem evidência oficial;</w:t>
      </w:r>
    </w:p>
    <w:p>
      <w:pPr>
        <w:numPr>
          <w:ilvl w:val="0"/>
          <w:numId w:val="1017"/>
        </w:numPr>
        <w:pStyle w:val="Compact"/>
      </w:pPr>
      <w:r>
        <w:t xml:space="preserve">pressiona você a pagar imediatamente;</w:t>
      </w:r>
    </w:p>
    <w:p>
      <w:pPr>
        <w:numPr>
          <w:ilvl w:val="0"/>
          <w:numId w:val="1017"/>
        </w:numPr>
        <w:pStyle w:val="Compact"/>
      </w:pPr>
      <w:r>
        <w:t xml:space="preserve">oculta o custo total, termos de financiamento, obrigações de prática ou regras de reembolso;</w:t>
      </w:r>
    </w:p>
    <w:p>
      <w:pPr>
        <w:numPr>
          <w:ilvl w:val="0"/>
          <w:numId w:val="1017"/>
        </w:numPr>
        <w:pStyle w:val="Compact"/>
      </w:pPr>
      <w:r>
        <w:t xml:space="preserve">não consegue explicar quais empregadores reconhecem o programa;</w:t>
      </w:r>
    </w:p>
    <w:p>
      <w:pPr>
        <w:numPr>
          <w:ilvl w:val="0"/>
          <w:numId w:val="1017"/>
        </w:numPr>
        <w:pStyle w:val="Compact"/>
      </w:pPr>
      <w:r>
        <w:t xml:space="preserve">pede pagamento por uma oferta de emprego ou equipamento usando cartões-presente ou criptomoeda;</w:t>
      </w:r>
    </w:p>
    <w:p>
      <w:pPr>
        <w:numPr>
          <w:ilvl w:val="0"/>
          <w:numId w:val="1017"/>
        </w:numPr>
        <w:pStyle w:val="Compact"/>
      </w:pPr>
      <w:r>
        <w:t xml:space="preserve">promete benefícios governamentais ou licença profissional que não controla; ou</w:t>
      </w:r>
    </w:p>
    <w:p>
      <w:pPr>
        <w:numPr>
          <w:ilvl w:val="0"/>
          <w:numId w:val="1017"/>
        </w:numPr>
        <w:pStyle w:val="Compact"/>
      </w:pPr>
      <w:r>
        <w:t xml:space="preserve">solicita informações sensíveis de identidade ou dados bancários antes de você verificar a organização.</w:t>
      </w:r>
    </w:p>
    <w:p>
      <w:pPr>
        <w:pStyle w:val="FirstParagraph"/>
      </w:pPr>
      <w:r>
        <w:t xml:space="preserve">Use fontes oficiais de governo, empregadores, reguladores, faculdades públicas, serviços públicos de emprego ou instituições reconhecidas de formação profissional para verificar alegações.</w:t>
      </w:r>
    </w:p>
    <w:bookmarkEnd w:id="49"/>
    <w:bookmarkStart w:id="50" w:name="quando-pausar-antes-de-gastar-dinheiro"/>
    <w:p>
      <w:pPr>
        <w:pStyle w:val="Heading2"/>
      </w:pPr>
      <w:r>
        <w:t xml:space="preserve">Quando pausar antes de gastar dinheiro</w:t>
      </w:r>
    </w:p>
    <w:p>
      <w:pPr>
        <w:pStyle w:val="FirstParagraph"/>
      </w:pPr>
      <w:r>
        <w:t xml:space="preserve">Pause ou adie a matrícula quando:</w:t>
      </w:r>
    </w:p>
    <w:p>
      <w:pPr>
        <w:numPr>
          <w:ilvl w:val="0"/>
          <w:numId w:val="1018"/>
        </w:numPr>
        <w:pStyle w:val="Compact"/>
      </w:pPr>
      <w:r>
        <w:t xml:space="preserve">os empregadores locais não solicitam a credencial;</w:t>
      </w:r>
    </w:p>
    <w:p>
      <w:pPr>
        <w:numPr>
          <w:ilvl w:val="0"/>
          <w:numId w:val="1018"/>
        </w:numPr>
        <w:pStyle w:val="Compact"/>
      </w:pPr>
      <w:r>
        <w:t xml:space="preserve">o provedor não divulga o custo total e as regras de reembolso por escrito;</w:t>
      </w:r>
    </w:p>
    <w:p>
      <w:pPr>
        <w:numPr>
          <w:ilvl w:val="0"/>
          <w:numId w:val="1018"/>
        </w:numPr>
        <w:pStyle w:val="Compact"/>
      </w:pPr>
      <w:r>
        <w:t xml:space="preserve">uma opção pública, paga pelo empregador, financiada por programa de força de trabalho ou de menor custo puder cobrir a mesma habilidade;</w:t>
      </w:r>
    </w:p>
    <w:p>
      <w:pPr>
        <w:numPr>
          <w:ilvl w:val="0"/>
          <w:numId w:val="1018"/>
        </w:numPr>
        <w:pStyle w:val="Compact"/>
      </w:pPr>
      <w:r>
        <w:t xml:space="preserve">você ainda não confirmou se o título é regulamentado onde pretende trabalhar;</w:t>
      </w:r>
    </w:p>
    <w:p>
      <w:pPr>
        <w:numPr>
          <w:ilvl w:val="0"/>
          <w:numId w:val="1018"/>
        </w:numPr>
        <w:pStyle w:val="Compact"/>
      </w:pPr>
      <w:r>
        <w:t xml:space="preserve">você não verificou se o programa se qualifica para o financiamento que pretende usar;</w:t>
      </w:r>
    </w:p>
    <w:p>
      <w:pPr>
        <w:numPr>
          <w:ilvl w:val="0"/>
          <w:numId w:val="1018"/>
        </w:numPr>
        <w:pStyle w:val="Compact"/>
      </w:pPr>
      <w:r>
        <w:t xml:space="preserve">a prática não remunerada exigida ou o horário não é realista para você; ou</w:t>
      </w:r>
    </w:p>
    <w:p>
      <w:pPr>
        <w:numPr>
          <w:ilvl w:val="0"/>
          <w:numId w:val="1018"/>
        </w:numPr>
        <w:pStyle w:val="Compact"/>
      </w:pPr>
      <w:r>
        <w:t xml:space="preserve">o financiamento criaria uma dívida que você não consegue pagar confortavelmente.</w:t>
      </w:r>
    </w:p>
    <w:bookmarkEnd w:id="50"/>
    <w:bookmarkStart w:id="67" w:name="fontes-atuais"/>
    <w:p>
      <w:pPr>
        <w:pStyle w:val="Heading2"/>
      </w:pPr>
      <w:r>
        <w:t xml:space="preserve">Fontes atuais</w:t>
      </w:r>
    </w:p>
    <w:p>
      <w:pPr>
        <w:pStyle w:val="FirstParagraph"/>
      </w:pPr>
      <w:r>
        <w:t xml:space="preserve">Fontes oficiais/públicas:</w:t>
      </w:r>
    </w:p>
    <w:p>
      <w:pPr>
        <w:numPr>
          <w:ilvl w:val="0"/>
          <w:numId w:val="1019"/>
        </w:numPr>
        <w:pStyle w:val="Compact"/>
      </w:pPr>
      <w:r>
        <w:t xml:space="preserve">O*NET OnLine — Social and Human Service Assistants, 21-1093.00:</w:t>
      </w:r>
      <w:r>
        <w:t xml:space="preserve"> </w:t>
      </w:r>
      <w:hyperlink r:id="rId51">
        <w:hyperlink r:id="rId51">
          <w:r>
            <w:rPr>
              <w:rStyle w:val="Hyperlink"/>
            </w:rPr>
            <w:t xml:space="preserve">Source link</w:t>
          </w:r>
        </w:hyperlink>
      </w:hyperlink>
    </w:p>
    <w:p>
      <w:pPr>
        <w:numPr>
          <w:ilvl w:val="0"/>
          <w:numId w:val="1019"/>
        </w:numPr>
        <w:pStyle w:val="Compact"/>
      </w:pPr>
      <w:r>
        <w:t xml:space="preserve">O*NET OnLine — National wages, 21-1093.00:</w:t>
      </w:r>
      <w:r>
        <w:t xml:space="preserve"> </w:t>
      </w:r>
      <w:hyperlink r:id="rId52">
        <w:hyperlink r:id="rId52">
          <w:r>
            <w:rPr>
              <w:rStyle w:val="Hyperlink"/>
            </w:rPr>
            <w:t xml:space="preserve">Source link</w:t>
          </w:r>
        </w:hyperlink>
      </w:hyperlink>
    </w:p>
    <w:p>
      <w:pPr>
        <w:numPr>
          <w:ilvl w:val="0"/>
          <w:numId w:val="1019"/>
        </w:numPr>
        <w:pStyle w:val="Compact"/>
      </w:pPr>
      <w:r>
        <w:t xml:space="preserve">U.S. Bureau of Labor Statistics — Social and Human Service Assistants:</w:t>
      </w:r>
      <w:r>
        <w:t xml:space="preserve"> </w:t>
      </w:r>
      <w:hyperlink r:id="rId53">
        <w:hyperlink r:id="rId53">
          <w:r>
            <w:rPr>
              <w:rStyle w:val="Hyperlink"/>
            </w:rPr>
            <w:t xml:space="preserve">Source link</w:t>
          </w:r>
        </w:hyperlink>
      </w:hyperlink>
    </w:p>
    <w:p>
      <w:pPr>
        <w:numPr>
          <w:ilvl w:val="0"/>
          <w:numId w:val="1019"/>
        </w:numPr>
        <w:pStyle w:val="Compact"/>
      </w:pPr>
      <w:r>
        <w:t xml:space="preserve">CareerOneStop — WIOA-Eligible Training Program Finder:</w:t>
      </w:r>
      <w:r>
        <w:t xml:space="preserve"> </w:t>
      </w:r>
      <w:hyperlink r:id="rId54">
        <w:hyperlink r:id="rId54">
          <w:r>
            <w:rPr>
              <w:rStyle w:val="Hyperlink"/>
            </w:rPr>
            <w:t xml:space="preserve">Source link</w:t>
          </w:r>
        </w:hyperlink>
      </w:hyperlink>
    </w:p>
    <w:p>
      <w:pPr>
        <w:numPr>
          <w:ilvl w:val="0"/>
          <w:numId w:val="1019"/>
        </w:numPr>
        <w:pStyle w:val="Compact"/>
      </w:pPr>
      <w:r>
        <w:t xml:space="preserve">CareerOneStop — Find Training:</w:t>
      </w:r>
      <w:r>
        <w:t xml:space="preserve"> </w:t>
      </w:r>
      <w:hyperlink r:id="rId55">
        <w:hyperlink r:id="rId55">
          <w:r>
            <w:rPr>
              <w:rStyle w:val="Hyperlink"/>
            </w:rPr>
            <w:t xml:space="preserve">Source link</w:t>
          </w:r>
        </w:hyperlink>
      </w:hyperlink>
    </w:p>
    <w:p>
      <w:pPr>
        <w:numPr>
          <w:ilvl w:val="0"/>
          <w:numId w:val="1019"/>
        </w:numPr>
        <w:pStyle w:val="Compact"/>
      </w:pPr>
      <w:r>
        <w:t xml:space="preserve">Apprenticeship.gov:</w:t>
      </w:r>
      <w:r>
        <w:t xml:space="preserve"> </w:t>
      </w:r>
      <w:hyperlink r:id="rId56">
        <w:r>
          <w:rPr>
            <w:rStyle w:val="Hyperlink"/>
          </w:rPr>
          <w:t xml:space="preserve">https://www.apprenticeship.gov/</w:t>
        </w:r>
      </w:hyperlink>
    </w:p>
    <w:p>
      <w:pPr>
        <w:numPr>
          <w:ilvl w:val="0"/>
          <w:numId w:val="1019"/>
        </w:numPr>
        <w:pStyle w:val="Compact"/>
      </w:pPr>
      <w:r>
        <w:t xml:space="preserve">Government of Canada Job Bank — NOC 42201 national summary:</w:t>
      </w:r>
      <w:r>
        <w:t xml:space="preserve"> </w:t>
      </w:r>
      <w:hyperlink r:id="rId57">
        <w:hyperlink r:id="rId57">
          <w:r>
            <w:rPr>
              <w:rStyle w:val="Hyperlink"/>
            </w:rPr>
            <w:t xml:space="preserve">Source link</w:t>
          </w:r>
        </w:hyperlink>
      </w:hyperlink>
    </w:p>
    <w:p>
      <w:pPr>
        <w:numPr>
          <w:ilvl w:val="0"/>
          <w:numId w:val="1019"/>
        </w:numPr>
        <w:pStyle w:val="Compact"/>
      </w:pPr>
      <w:r>
        <w:t xml:space="preserve">Government of Canada Job Bank — NOC 42201 requirements:</w:t>
      </w:r>
      <w:r>
        <w:t xml:space="preserve"> </w:t>
      </w:r>
      <w:hyperlink r:id="rId58">
        <w:hyperlink r:id="rId58">
          <w:r>
            <w:rPr>
              <w:rStyle w:val="Hyperlink"/>
            </w:rPr>
            <w:t xml:space="preserve">Source link</w:t>
          </w:r>
        </w:hyperlink>
      </w:hyperlink>
    </w:p>
    <w:p>
      <w:pPr>
        <w:numPr>
          <w:ilvl w:val="0"/>
          <w:numId w:val="1019"/>
        </w:numPr>
        <w:pStyle w:val="Compact"/>
      </w:pPr>
      <w:r>
        <w:t xml:space="preserve">Government of Canada Job Bank — NOC 42201 wages:</w:t>
      </w:r>
      <w:r>
        <w:t xml:space="preserve"> </w:t>
      </w:r>
      <w:hyperlink r:id="rId59">
        <w:hyperlink r:id="rId59">
          <w:r>
            <w:rPr>
              <w:rStyle w:val="Hyperlink"/>
            </w:rPr>
            <w:t xml:space="preserve">Source link</w:t>
          </w:r>
        </w:hyperlink>
      </w:hyperlink>
    </w:p>
    <w:p>
      <w:pPr>
        <w:numPr>
          <w:ilvl w:val="0"/>
          <w:numId w:val="1019"/>
        </w:numPr>
        <w:pStyle w:val="Compact"/>
      </w:pPr>
      <w:r>
        <w:t xml:space="preserve">SENA Observatorio — CNO 4211 Asistentes en servicios social y comunitario:</w:t>
      </w:r>
      <w:r>
        <w:t xml:space="preserve"> </w:t>
      </w:r>
      <w:hyperlink r:id="rId60">
        <w:hyperlink r:id="rId60">
          <w:r>
            <w:rPr>
              <w:rStyle w:val="Hyperlink"/>
            </w:rPr>
            <w:t xml:space="preserve">Source link</w:t>
          </w:r>
        </w:hyperlink>
      </w:hyperlink>
    </w:p>
    <w:p>
      <w:pPr>
        <w:numPr>
          <w:ilvl w:val="0"/>
          <w:numId w:val="1019"/>
        </w:numPr>
        <w:pStyle w:val="Compact"/>
      </w:pPr>
      <w:r>
        <w:t xml:space="preserve">SENA APE — Auxiliar de servicio social y comunitario example:</w:t>
      </w:r>
      <w:r>
        <w:t xml:space="preserve"> </w:t>
      </w:r>
      <w:hyperlink r:id="rId61">
        <w:hyperlink r:id="rId61">
          <w:r>
            <w:rPr>
              <w:rStyle w:val="Hyperlink"/>
            </w:rPr>
            <w:t xml:space="preserve">Source link</w:t>
          </w:r>
        </w:hyperlink>
      </w:hyperlink>
    </w:p>
    <w:p>
      <w:pPr>
        <w:numPr>
          <w:ilvl w:val="0"/>
          <w:numId w:val="1019"/>
        </w:numPr>
        <w:pStyle w:val="Compact"/>
      </w:pPr>
      <w:r>
        <w:t xml:space="preserve">SENA APE — Gestor comunitario example:</w:t>
      </w:r>
      <w:r>
        <w:t xml:space="preserve"> </w:t>
      </w:r>
      <w:hyperlink r:id="rId62">
        <w:hyperlink r:id="rId62">
          <w:r>
            <w:rPr>
              <w:rStyle w:val="Hyperlink"/>
            </w:rPr>
            <w:t xml:space="preserve">Source link</w:t>
          </w:r>
        </w:hyperlink>
      </w:hyperlink>
    </w:p>
    <w:p>
      <w:pPr>
        <w:numPr>
          <w:ilvl w:val="0"/>
          <w:numId w:val="1019"/>
        </w:numPr>
        <w:pStyle w:val="Compact"/>
      </w:pPr>
      <w:r>
        <w:t xml:space="preserve">SENA Betowa — Implementación de la política de participación social en salud:</w:t>
      </w:r>
      <w:r>
        <w:t xml:space="preserve"> </w:t>
      </w:r>
      <w:hyperlink r:id="rId63">
        <w:hyperlink r:id="rId63">
          <w:r>
            <w:rPr>
              <w:rStyle w:val="Hyperlink"/>
            </w:rPr>
            <w:t xml:space="preserve">Source link</w:t>
          </w:r>
        </w:hyperlink>
      </w:hyperlink>
    </w:p>
    <w:p>
      <w:pPr>
        <w:numPr>
          <w:ilvl w:val="0"/>
          <w:numId w:val="1019"/>
        </w:numPr>
        <w:pStyle w:val="Compact"/>
      </w:pPr>
      <w:r>
        <w:t xml:space="preserve">SENA Betowa — Desarrollo de habilidades para el bienestar familiar y comunitario:</w:t>
      </w:r>
      <w:r>
        <w:t xml:space="preserve"> </w:t>
      </w:r>
      <w:hyperlink r:id="rId64">
        <w:hyperlink r:id="rId64">
          <w:r>
            <w:rPr>
              <w:rStyle w:val="Hyperlink"/>
            </w:rPr>
            <w:t xml:space="preserve">Source link</w:t>
          </w:r>
        </w:hyperlink>
      </w:hyperlink>
    </w:p>
    <w:p>
      <w:pPr>
        <w:numPr>
          <w:ilvl w:val="0"/>
          <w:numId w:val="1019"/>
        </w:numPr>
        <w:pStyle w:val="Compact"/>
      </w:pPr>
      <w:r>
        <w:t xml:space="preserve">OIT/Cinterfor:</w:t>
      </w:r>
      <w:r>
        <w:t xml:space="preserve"> </w:t>
      </w:r>
      <w:hyperlink r:id="rId65">
        <w:r>
          <w:rPr>
            <w:rStyle w:val="Hyperlink"/>
          </w:rPr>
          <w:t xml:space="preserve">https://www.oitcinterfor.org/</w:t>
        </w:r>
      </w:hyperlink>
    </w:p>
    <w:p>
      <w:pPr>
        <w:pStyle w:val="FirstParagraph"/>
      </w:pPr>
      <w:r>
        <w:t xml:space="preserve">Fonte complementar de remuneração não governamental:</w:t>
      </w:r>
    </w:p>
    <w:p>
      <w:pPr>
        <w:numPr>
          <w:ilvl w:val="0"/>
          <w:numId w:val="1020"/>
        </w:numPr>
        <w:pStyle w:val="Compact"/>
      </w:pPr>
      <w:r>
        <w:t xml:space="preserve">Indeed — Social Services Assistant salary in the United States:</w:t>
      </w:r>
      <w:r>
        <w:t xml:space="preserve"> </w:t>
      </w:r>
      <w:hyperlink r:id="rId66">
        <w:hyperlink r:id="rId66">
          <w:r>
            <w:rPr>
              <w:rStyle w:val="Hyperlink"/>
            </w:rPr>
            <w:t xml:space="preserve">Source link</w:t>
          </w:r>
        </w:hyperlink>
      </w:hyperlink>
    </w:p>
    <w:bookmarkEnd w:id="67"/>
    <w:bookmarkStart w:id="68" w:name="nota-sobre-fontes-e-revisão"/>
    <w:p>
      <w:pPr>
        <w:pStyle w:val="Heading2"/>
      </w:pPr>
      <w:r>
        <w:t xml:space="preserve">Nota sobre fontes e revisão</w:t>
      </w:r>
    </w:p>
    <w:p>
      <w:pPr>
        <w:pStyle w:val="FirstParagraph"/>
      </w:pPr>
      <w:r>
        <w:t xml:space="preserve">Este guia usa pesquisa de fontes atuais registrada em 20 de agosto de 2026. Salários, programas públicos, disponibilidade de treinamento, regras de elegibilidade, requisitos de registro, informações de prestadores de serviços e expectativas locais de emprego podem mudar. Verifique novamente fontes oficiais e vagas atuais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alega certificação humana independente, acreditação profissional, tradução certificada, revisão jurídica, revisão clínica, aconselhamento financeiro ou resultados de emprego garantidos.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genciapublicadeempleo.sena.edu.co/spe-web/spe/demanda/solicitud-sintesis/3912643" TargetMode="External" /><Relationship Type="http://schemas.openxmlformats.org/officeDocument/2006/relationships/hyperlink" Id="rId62" Target="https://ape.sena.edu.co/spe-web/spe/demanda/solicitud-sintesis/4111884" TargetMode="External" /><Relationship Type="http://schemas.openxmlformats.org/officeDocument/2006/relationships/hyperlink" Id="rId64" Target="https://betowa.sena.edu.co/oferta/desarrollo-de-habilidades-para-el-bienestar-familiar-y-comunitario?location=57011001&amp;programId=144936" TargetMode="External" /><Relationship Type="http://schemas.openxmlformats.org/officeDocument/2006/relationships/hyperlink" Id="rId63" Target="https://betowa.sena.edu.co/oferta/implementacion-de-la-politica-de-participacion-social-en-salud?modality=P&amp;offertype=open&amp;programId=127774" TargetMode="External" /><Relationship Type="http://schemas.openxmlformats.org/officeDocument/2006/relationships/hyperlink" Id="rId60" Target="https://observatorio.sena.edu.co/Comportamiento/CnoDetalleFunciones?tags=4211" TargetMode="External" /><Relationship Type="http://schemas.openxmlformats.org/officeDocument/2006/relationships/hyperlink" Id="rId56" Target="https://www.apprenticeship.gov/" TargetMode="External" /><Relationship Type="http://schemas.openxmlformats.org/officeDocument/2006/relationships/hyperlink" Id="rId53" Target="https://www.bls.gov/ooh/community-and-social-service/social-and-human-service-assistants.htm"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6" Target="https://www.indeed.com/career/social-services-assistant/salaries" TargetMode="External" /><Relationship Type="http://schemas.openxmlformats.org/officeDocument/2006/relationships/hyperlink" Id="rId58" Target="https://www.jobbank.gc.ca/marketreport/requirements/5096/ca" TargetMode="External" /><Relationship Type="http://schemas.openxmlformats.org/officeDocument/2006/relationships/hyperlink" Id="rId57" Target="https://www.jobbank.gc.ca/marketreport/summary-occupation/5112/ca" TargetMode="External" /><Relationship Type="http://schemas.openxmlformats.org/officeDocument/2006/relationships/hyperlink" Id="rId59" Target="https://www.jobbank.gc.ca/wagereport/occupation/5113" TargetMode="External" /><Relationship Type="http://schemas.openxmlformats.org/officeDocument/2006/relationships/hyperlink" Id="rId65" Target="https://www.oitcinterfor.org/" TargetMode="External" /><Relationship Type="http://schemas.openxmlformats.org/officeDocument/2006/relationships/hyperlink" Id="rId52" Target="https://www.onetonline.org/link/localwages/21-1093.00" TargetMode="External" /><Relationship Type="http://schemas.openxmlformats.org/officeDocument/2006/relationships/hyperlink" Id="rId51" Target="https://www.onetonline.org/link/summary/21-1093.00" TargetMode="External" /></Relationships>
</file>

<file path=word/_rels/footnotes.xml.rels><?xml version="1.0" encoding="UTF-8"?><Relationships xmlns="http://schemas.openxmlformats.org/package/2006/relationships"><Relationship Type="http://schemas.openxmlformats.org/officeDocument/2006/relationships/hyperlink" Id="rId61" Target="https://agenciapublicadeempleo.sena.edu.co/spe-web/spe/demanda/solicitud-sintesis/3912643" TargetMode="External" /><Relationship Type="http://schemas.openxmlformats.org/officeDocument/2006/relationships/hyperlink" Id="rId62" Target="https://ape.sena.edu.co/spe-web/spe/demanda/solicitud-sintesis/4111884" TargetMode="External" /><Relationship Type="http://schemas.openxmlformats.org/officeDocument/2006/relationships/hyperlink" Id="rId64" Target="https://betowa.sena.edu.co/oferta/desarrollo-de-habilidades-para-el-bienestar-familiar-y-comunitario?location=57011001&amp;programId=144936" TargetMode="External" /><Relationship Type="http://schemas.openxmlformats.org/officeDocument/2006/relationships/hyperlink" Id="rId63" Target="https://betowa.sena.edu.co/oferta/implementacion-de-la-politica-de-participacion-social-en-salud?modality=P&amp;offertype=open&amp;programId=127774" TargetMode="External" /><Relationship Type="http://schemas.openxmlformats.org/officeDocument/2006/relationships/hyperlink" Id="rId60" Target="https://observatorio.sena.edu.co/Comportamiento/CnoDetalleFunciones?tags=4211" TargetMode="External" /><Relationship Type="http://schemas.openxmlformats.org/officeDocument/2006/relationships/hyperlink" Id="rId56" Target="https://www.apprenticeship.gov/" TargetMode="External" /><Relationship Type="http://schemas.openxmlformats.org/officeDocument/2006/relationships/hyperlink" Id="rId53" Target="https://www.bls.gov/ooh/community-and-social-service/social-and-human-service-assistants.htm"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6" Target="https://www.indeed.com/career/social-services-assistant/salaries" TargetMode="External" /><Relationship Type="http://schemas.openxmlformats.org/officeDocument/2006/relationships/hyperlink" Id="rId58" Target="https://www.jobbank.gc.ca/marketreport/requirements/5096/ca" TargetMode="External" /><Relationship Type="http://schemas.openxmlformats.org/officeDocument/2006/relationships/hyperlink" Id="rId57" Target="https://www.jobbank.gc.ca/marketreport/summary-occupation/5112/ca" TargetMode="External" /><Relationship Type="http://schemas.openxmlformats.org/officeDocument/2006/relationships/hyperlink" Id="rId59" Target="https://www.jobbank.gc.ca/wagereport/occupation/5113" TargetMode="External" /><Relationship Type="http://schemas.openxmlformats.org/officeDocument/2006/relationships/hyperlink" Id="rId65" Target="https://www.oitcinterfor.org/" TargetMode="External" /><Relationship Type="http://schemas.openxmlformats.org/officeDocument/2006/relationships/hyperlink" Id="rId52" Target="https://www.onetonline.org/link/localwages/21-1093.00" TargetMode="External" /><Relationship Type="http://schemas.openxmlformats.org/officeDocument/2006/relationships/hyperlink" Id="rId51" Target="https://www.onetonline.org/link/summary/21-109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2026-08-20T11:56:14Z</dcterms:created>
  <dcterms:modified xsi:type="dcterms:W3CDTF">2026-08-20T11:56:14Z</dcterms:modified>
</cp:coreProperties>
</file>

<file path=docProps/custom.xml><?xml version="1.0" encoding="utf-8"?>
<Properties xmlns="http://schemas.openxmlformats.org/officeDocument/2006/custom-properties" xmlns:vt="http://schemas.openxmlformats.org/officeDocument/2006/docPropsVTypes"/>
</file>