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763a20b7f2b6f84716358bc1d526fa15bc661b2"/>
    <w:p>
      <w:pPr>
        <w:pStyle w:val="Heading1"/>
      </w:pPr>
      <w:r>
        <w:t xml:space="preserve">Guía 59 — Asistente de servicios sociales y humanos</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de servicios sociales y humanos ayudan a las personas a identificar necesidades, navegar servicios, completar procesos rutinarios, conectarse con recursos comunitarios y dar seguimiento a planes de apoyo. Pueden trabajar en organizaciones sin fines de lucro, entidades gubernamentales, programas de servicios familiares, refugios, servicios para personas con discapacidad, programas de salud conductual, rehabilitación, servicios para personas mayores, vivienda, juventud, organizaciones comunitarias y otros entornos de servicios humanos.</w:t>
      </w:r>
    </w:p>
    <w:p>
      <w:pPr>
        <w:pStyle w:val="BodyText"/>
      </w:pPr>
      <w:r>
        <w:t xml:space="preserve">Esta guía se concentra en</w:t>
      </w:r>
      <w:r>
        <w:t xml:space="preserve"> </w:t>
      </w:r>
      <w:r>
        <w:rPr>
          <w:bCs/>
          <w:b/>
        </w:rPr>
        <w:t xml:space="preserve">trabajo de apoyo y navegación</w:t>
      </w:r>
      <w:r>
        <w:t xml:space="preserve">. No considera equivalentes a un asistente de servicios sociales y humanos, un trabajador social licenciado, un psicoterapeuta, un consejero clínico, un psicólogo, un gestor de casos con autoridad profesional, un abogado, un funcionario que decide elegibilidad de beneficios o un respondiente de emergencias.</w:t>
      </w:r>
    </w:p>
    <w:p>
      <w:pPr>
        <w:pStyle w:val="BodyText"/>
      </w:pPr>
      <w:r>
        <w:t xml:space="preserve">En Estados Unidos, O*NET clasifica Social and Human Service Assistants como</w:t>
      </w:r>
      <w:r>
        <w:t xml:space="preserve"> </w:t>
      </w:r>
      <w:r>
        <w:rPr>
          <w:bCs/>
          <w:b/>
        </w:rPr>
        <w:t xml:space="preserve">21-1093.00</w:t>
      </w:r>
      <w:r>
        <w:t xml:space="preserve">. En Canadá, la comparación amplia más cercana es</w:t>
      </w:r>
      <w:r>
        <w:t xml:space="preserve"> </w:t>
      </w:r>
      <w:r>
        <w:rPr>
          <w:bCs/>
          <w:b/>
        </w:rPr>
        <w:t xml:space="preserve">Social and community service workers, NOC 42201</w:t>
      </w:r>
      <w:r>
        <w:t xml:space="preserve">. En Colombia, la clasificación ocupacional del SENA identifica</w:t>
      </w:r>
      <w:r>
        <w:t xml:space="preserve"> </w:t>
      </w:r>
      <w:r>
        <w:rPr>
          <w:bCs/>
          <w:b/>
        </w:rPr>
        <w:t xml:space="preserve">CNO 4211 — Asistentes en servicios social y comunitario</w:t>
      </w:r>
      <w:r>
        <w:t xml:space="preserve">.</w:t>
      </w:r>
    </w:p>
    <w:p>
      <w:pPr>
        <w:pStyle w:val="BodyText"/>
      </w:pPr>
      <w:r>
        <w:t xml:space="preserve">Los títulos, requisitos y límites legales varían según jurisdicción y empleador. Compare siempre las funciones reales, el modelo de supervisión, las credenciales requeridas y las reglas locales antes de aceptar un cargo o pagar por formación.</w:t>
      </w:r>
    </w:p>
    <w:bookmarkEnd w:id="20"/>
    <w:bookmarkStart w:id="21" w:name="qué-puede-hacer"/>
    <w:p>
      <w:pPr>
        <w:pStyle w:val="Heading2"/>
      </w:pPr>
      <w:r>
        <w:t xml:space="preserve">Qué puede hacer</w:t>
      </w:r>
    </w:p>
    <w:p>
      <w:pPr>
        <w:pStyle w:val="FirstParagraph"/>
      </w:pPr>
      <w:r>
        <w:t xml:space="preserve">Según la organización, formación, supervisión y normas locales, las funciones pueden incluir:</w:t>
      </w:r>
    </w:p>
    <w:p>
      <w:pPr>
        <w:numPr>
          <w:ilvl w:val="0"/>
          <w:numId w:val="1001"/>
        </w:numPr>
        <w:pStyle w:val="Compact"/>
      </w:pPr>
      <w:r>
        <w:t xml:space="preserve">entrevistar a usuarios para recopilar información básica de antecedentes y servicios;</w:t>
      </w:r>
    </w:p>
    <w:p>
      <w:pPr>
        <w:numPr>
          <w:ilvl w:val="0"/>
          <w:numId w:val="1001"/>
        </w:numPr>
        <w:pStyle w:val="Compact"/>
      </w:pPr>
      <w:r>
        <w:t xml:space="preserve">ayudar a las personas a identificar necesidades prácticas y recursos comunitarios disponibles;</w:t>
      </w:r>
    </w:p>
    <w:p>
      <w:pPr>
        <w:numPr>
          <w:ilvl w:val="0"/>
          <w:numId w:val="1001"/>
        </w:numPr>
        <w:pStyle w:val="Compact"/>
      </w:pPr>
      <w:r>
        <w:t xml:space="preserve">explicar cómo contactar servicios de vivienda, alimentación, transporte, discapacidad, empleo, salud, familia, envejecimiento, juventud, ayuda jurídica u otras referencias;</w:t>
      </w:r>
    </w:p>
    <w:p>
      <w:pPr>
        <w:numPr>
          <w:ilvl w:val="0"/>
          <w:numId w:val="1001"/>
        </w:numPr>
        <w:pStyle w:val="Compact"/>
      </w:pPr>
      <w:r>
        <w:t xml:space="preserve">ayudar a completar formularios rutinarios u organizar documentos sin tomar decisiones reguladas de elegibilidad;</w:t>
      </w:r>
    </w:p>
    <w:p>
      <w:pPr>
        <w:numPr>
          <w:ilvl w:val="0"/>
          <w:numId w:val="1001"/>
        </w:numPr>
        <w:pStyle w:val="Compact"/>
      </w:pPr>
      <w:r>
        <w:t xml:space="preserve">proporcionar información sobre pasos de solicitud, citas, procedimientos de programas y documentación requerida;</w:t>
      </w:r>
    </w:p>
    <w:p>
      <w:pPr>
        <w:numPr>
          <w:ilvl w:val="0"/>
          <w:numId w:val="1001"/>
        </w:numPr>
        <w:pStyle w:val="Compact"/>
      </w:pPr>
      <w:r>
        <w:t xml:space="preserve">apoyar la navegación de servicios y el seguimiento;</w:t>
      </w:r>
    </w:p>
    <w:p>
      <w:pPr>
        <w:numPr>
          <w:ilvl w:val="0"/>
          <w:numId w:val="1001"/>
        </w:numPr>
        <w:pStyle w:val="Compact"/>
      </w:pPr>
      <w:r>
        <w:t xml:space="preserve">mantener notas de caso, registros de contacto, referencias, agendas y documentación rutinaria;</w:t>
      </w:r>
    </w:p>
    <w:p>
      <w:pPr>
        <w:numPr>
          <w:ilvl w:val="0"/>
          <w:numId w:val="1001"/>
        </w:numPr>
        <w:pStyle w:val="Compact"/>
      </w:pPr>
      <w:r>
        <w:t xml:space="preserve">apoyar talleres, actividades de alcance comunitario, eventos, programas de habilidades para la vida o sesiones educativas;</w:t>
      </w:r>
    </w:p>
    <w:p>
      <w:pPr>
        <w:numPr>
          <w:ilvl w:val="0"/>
          <w:numId w:val="1001"/>
        </w:numPr>
        <w:pStyle w:val="Compact"/>
      </w:pPr>
      <w:r>
        <w:t xml:space="preserve">coordinar logística no clínica con proveedores, familiares, socios comunitarios o supervisores cuando esté autorizado;</w:t>
      </w:r>
    </w:p>
    <w:p>
      <w:pPr>
        <w:numPr>
          <w:ilvl w:val="0"/>
          <w:numId w:val="1001"/>
        </w:numPr>
        <w:pStyle w:val="Compact"/>
      </w:pPr>
      <w:r>
        <w:t xml:space="preserve">verificar si se completaron referencias o pasos de servicio acordados y reportar barreras;</w:t>
      </w:r>
    </w:p>
    <w:p>
      <w:pPr>
        <w:numPr>
          <w:ilvl w:val="0"/>
          <w:numId w:val="1001"/>
        </w:numPr>
        <w:pStyle w:val="Compact"/>
      </w:pPr>
      <w:r>
        <w:t xml:space="preserve">apoyar a personas en refugios, hogares grupales, programas de rehabilitación, servicios familiares u otros entornos estructurados bajo procedimientos del empleador;</w:t>
      </w:r>
    </w:p>
    <w:p>
      <w:pPr>
        <w:numPr>
          <w:ilvl w:val="0"/>
          <w:numId w:val="1001"/>
        </w:numPr>
        <w:pStyle w:val="Compact"/>
      </w:pPr>
      <w:r>
        <w:t xml:space="preserve">ayudar a localizar recursos de empleo, transporte, vivienda, alimentación, cuidado infantil, discapacidad, envejecimiento u otros apoyos prácticos;</w:t>
      </w:r>
    </w:p>
    <w:p>
      <w:pPr>
        <w:numPr>
          <w:ilvl w:val="0"/>
          <w:numId w:val="1001"/>
        </w:numPr>
        <w:pStyle w:val="Compact"/>
      </w:pPr>
      <w:r>
        <w:t xml:space="preserve">apoyar admisión, programación de citas, recepción, registros o administración de programas; y</w:t>
      </w:r>
    </w:p>
    <w:p>
      <w:pPr>
        <w:numPr>
          <w:ilvl w:val="0"/>
          <w:numId w:val="1001"/>
        </w:numPr>
        <w:pStyle w:val="Compact"/>
      </w:pPr>
      <w:r>
        <w:t xml:space="preserve">escalar preocupaciones de seguridad, crisis, abuso, negligencia, explotación, salud, asuntos legales o clínicos a personal calificado conforme a procedimientos establecidos.</w:t>
      </w:r>
    </w:p>
    <w:p>
      <w:pPr>
        <w:pStyle w:val="FirstParagraph"/>
      </w:pPr>
      <w:r>
        <w:t xml:space="preserve">El rol suele exigir paciencia, documentación precisa, resolución práctica de problemas y capacidad para apoyar sin asumir decisiones que corresponden al usuario o a un profesional regulado.</w:t>
      </w:r>
    </w:p>
    <w:bookmarkEnd w:id="21"/>
    <w:bookmarkStart w:id="22" w:name="X93e58ae30bc78b108ae9bee83589175a68906a2"/>
    <w:p>
      <w:pPr>
        <w:pStyle w:val="Heading2"/>
      </w:pPr>
      <w:r>
        <w:t xml:space="preserve">Qué no debe presentarse como parte de este rol</w:t>
      </w:r>
    </w:p>
    <w:p>
      <w:pPr>
        <w:pStyle w:val="FirstParagraph"/>
      </w:pPr>
      <w:r>
        <w:t xml:space="preserve">Un cargo de apoyo no autoriza automáticamente a realizar trabajo licenciado, clínico, jurídico o adjudicativo.</w:t>
      </w:r>
    </w:p>
    <w:p>
      <w:pPr>
        <w:pStyle w:val="BodyText"/>
      </w:pPr>
      <w:r>
        <w:t xml:space="preserve">No debe, de manera independiente:</w:t>
      </w:r>
    </w:p>
    <w:p>
      <w:pPr>
        <w:numPr>
          <w:ilvl w:val="0"/>
          <w:numId w:val="1002"/>
        </w:numPr>
        <w:pStyle w:val="Compact"/>
      </w:pPr>
      <w:r>
        <w:t xml:space="preserve">diagnosticar una condición de salud mental, consumo de sustancias, desarrollo o salud física;</w:t>
      </w:r>
    </w:p>
    <w:p>
      <w:pPr>
        <w:numPr>
          <w:ilvl w:val="0"/>
          <w:numId w:val="1002"/>
        </w:numPr>
        <w:pStyle w:val="Compact"/>
      </w:pPr>
      <w:r>
        <w:t xml:space="preserve">proporcionar psicoterapia o consejería clínica salvo que tenga licencia y autorización separadas;</w:t>
      </w:r>
    </w:p>
    <w:p>
      <w:pPr>
        <w:numPr>
          <w:ilvl w:val="0"/>
          <w:numId w:val="1002"/>
        </w:numPr>
        <w:pStyle w:val="Compact"/>
      </w:pPr>
      <w:r>
        <w:t xml:space="preserve">hacer determinaciones jurídicas ni prestar asesoría legal;</w:t>
      </w:r>
    </w:p>
    <w:p>
      <w:pPr>
        <w:numPr>
          <w:ilvl w:val="0"/>
          <w:numId w:val="1002"/>
        </w:numPr>
        <w:pStyle w:val="Compact"/>
      </w:pPr>
      <w:r>
        <w:t xml:space="preserve">decidir si una persona es legalmente elegible para un beneficio gubernamental cuando esa autoridad corresponde a una entidad o funcionario autorizado;</w:t>
      </w:r>
    </w:p>
    <w:p>
      <w:pPr>
        <w:numPr>
          <w:ilvl w:val="0"/>
          <w:numId w:val="1002"/>
        </w:numPr>
        <w:pStyle w:val="Compact"/>
      </w:pPr>
      <w:r>
        <w:t xml:space="preserve">prometer vivienda, ayuda económica, estatus migratorio, beneficios por discapacidad, resultados de tratamiento o asistencia de emergencia que usted no controla;</w:t>
      </w:r>
    </w:p>
    <w:p>
      <w:pPr>
        <w:numPr>
          <w:ilvl w:val="0"/>
          <w:numId w:val="1002"/>
        </w:numPr>
        <w:pStyle w:val="Compact"/>
      </w:pPr>
      <w:r>
        <w:t xml:space="preserve">tomar decisiones de salvaguarda que legalmente correspondan a un profesional calificado o autoridad designada;</w:t>
      </w:r>
    </w:p>
    <w:p>
      <w:pPr>
        <w:numPr>
          <w:ilvl w:val="0"/>
          <w:numId w:val="1002"/>
        </w:numPr>
        <w:pStyle w:val="Compact"/>
      </w:pPr>
      <w:r>
        <w:t xml:space="preserve">presentarse como trabajador social licenciado, terapeuta, psicólogo, abogado, enfermero, médico u otro profesional regulado si no posee realmente esa credencial; ni</w:t>
      </w:r>
    </w:p>
    <w:p>
      <w:pPr>
        <w:numPr>
          <w:ilvl w:val="0"/>
          <w:numId w:val="1002"/>
        </w:numPr>
        <w:pStyle w:val="Compact"/>
      </w:pPr>
      <w:r>
        <w:t xml:space="preserve">ignorar procedimientos de escalamiento porque crea que puede manejar una crisis por sí solo.</w:t>
      </w:r>
    </w:p>
    <w:p>
      <w:pPr>
        <w:pStyle w:val="FirstParagraph"/>
      </w:pPr>
      <w:r>
        <w:t xml:space="preserve">Cuando el límite no esté claro, deténgase y consulte al supervisor responsable.</w:t>
      </w:r>
    </w:p>
    <w:bookmarkEnd w:id="22"/>
    <w:bookmarkStart w:id="23" w:name="X311f7efa155d925ea3cc9cb03f9744e963323fa"/>
    <w:p>
      <w:pPr>
        <w:pStyle w:val="Heading2"/>
      </w:pPr>
      <w:r>
        <w:t xml:space="preserve">Entorno de trabajo y exigencias emocionales</w:t>
      </w:r>
    </w:p>
    <w:p>
      <w:pPr>
        <w:pStyle w:val="FirstParagraph"/>
      </w:pPr>
      <w:r>
        <w:t xml:space="preserve">El trabajo de servicios humanos puede ser significativo, pero también puede implicar estrés, urgencia, recursos insuficientes y exposición a situaciones difíciles. Puede realizarse en oficinas, refugios, centros comunitarios, escuelas, programas de rehabilitación, instalaciones residenciales, programas de alcance, entidades gubernamentales, organizaciones sin fines de lucro u otros entornos de atención al público.</w:t>
      </w:r>
    </w:p>
    <w:p>
      <w:pPr>
        <w:pStyle w:val="BodyText"/>
      </w:pPr>
      <w:r>
        <w:t xml:space="preserve">Las exigencias comunes pueden incluir:</w:t>
      </w:r>
    </w:p>
    <w:p>
      <w:pPr>
        <w:numPr>
          <w:ilvl w:val="0"/>
          <w:numId w:val="1003"/>
        </w:numPr>
        <w:pStyle w:val="Compact"/>
      </w:pPr>
      <w:r>
        <w:t xml:space="preserve">conversaciones frecuentes con personas que enfrentan estrés, pobreza, discapacidad, conflicto familiar, inestabilidad de vivienda, trauma, desempleo, enfermedad, consumo problemático de sustancias u otros retos graves;</w:t>
      </w:r>
    </w:p>
    <w:p>
      <w:pPr>
        <w:numPr>
          <w:ilvl w:val="0"/>
          <w:numId w:val="1003"/>
        </w:numPr>
        <w:pStyle w:val="Compact"/>
      </w:pPr>
      <w:r>
        <w:t xml:space="preserve">manejo simultáneo de referencias, fechas límite, citas y documentación;</w:t>
      </w:r>
    </w:p>
    <w:p>
      <w:pPr>
        <w:numPr>
          <w:ilvl w:val="0"/>
          <w:numId w:val="1003"/>
        </w:numPr>
        <w:pStyle w:val="Compact"/>
      </w:pPr>
      <w:r>
        <w:t xml:space="preserve">atención a usuarios frustrados, temerosos, enojados, confundidos o desconfiados;</w:t>
      </w:r>
    </w:p>
    <w:p>
      <w:pPr>
        <w:numPr>
          <w:ilvl w:val="0"/>
          <w:numId w:val="1003"/>
        </w:numPr>
        <w:pStyle w:val="Compact"/>
      </w:pPr>
      <w:r>
        <w:t xml:space="preserve">horarios nocturnos o de fin de semana en algunos programas;</w:t>
      </w:r>
    </w:p>
    <w:p>
      <w:pPr>
        <w:numPr>
          <w:ilvl w:val="0"/>
          <w:numId w:val="1003"/>
        </w:numPr>
        <w:pStyle w:val="Compact"/>
      </w:pPr>
      <w:r>
        <w:t xml:space="preserve">visitas comunitarias o de campo en ciertos cargos;</w:t>
      </w:r>
    </w:p>
    <w:p>
      <w:pPr>
        <w:numPr>
          <w:ilvl w:val="0"/>
          <w:numId w:val="1003"/>
        </w:numPr>
        <w:pStyle w:val="Compact"/>
      </w:pPr>
      <w:r>
        <w:t xml:space="preserve">exposición repetida a historias difíciles o situaciones de crisis;</w:t>
      </w:r>
    </w:p>
    <w:p>
      <w:pPr>
        <w:numPr>
          <w:ilvl w:val="0"/>
          <w:numId w:val="1003"/>
        </w:numPr>
        <w:pStyle w:val="Compact"/>
      </w:pPr>
      <w:r>
        <w:t xml:space="preserve">equilibrio entre empatía y límites profesionales; y</w:t>
      </w:r>
    </w:p>
    <w:p>
      <w:pPr>
        <w:numPr>
          <w:ilvl w:val="0"/>
          <w:numId w:val="1003"/>
        </w:numPr>
        <w:pStyle w:val="Compact"/>
      </w:pPr>
      <w:r>
        <w:t xml:space="preserve">trabajo dentro de capacidades limitadas de programas o reglas de elegibilidad.</w:t>
      </w:r>
    </w:p>
    <w:p>
      <w:pPr>
        <w:pStyle w:val="FirstParagraph"/>
      </w:pPr>
      <w:r>
        <w:t xml:space="preserve">Los límites saludables, supervisión, espacios de debriefing, manejo de carga laboral y recursos de apoyo al empleado pueden ser importantes para sostener una carrera en este campo.</w:t>
      </w:r>
    </w:p>
    <w:bookmarkEnd w:id="23"/>
    <w:bookmarkStart w:id="24" w:name="X4769fcf45d1d3db4ae23530ad5c71844fbfe05d"/>
    <w:p>
      <w:pPr>
        <w:pStyle w:val="Heading2"/>
      </w:pPr>
      <w:r>
        <w:t xml:space="preserve">Límites en crisis, salvaguarda y emergencias</w:t>
      </w:r>
    </w:p>
    <w:p>
      <w:pPr>
        <w:pStyle w:val="FirstParagraph"/>
      </w:pPr>
      <w:r>
        <w:t xml:space="preserve">Algunos usuarios pueden revelar o mostrar señales de abuso, negligencia, explotación, riesgo de autolesión, riesgo de violencia, trata, falta de vivienda, peligro médico u otros problemas urgentes.</w:t>
      </w:r>
    </w:p>
    <w:p>
      <w:pPr>
        <w:pStyle w:val="BodyText"/>
      </w:pPr>
      <w:r>
        <w:t xml:space="preserve">Su función no es improvisar una respuesta. Siga el protocolo aprobado del empleador y la ley local.</w:t>
      </w:r>
    </w:p>
    <w:p>
      <w:pPr>
        <w:pStyle w:val="BodyText"/>
      </w:pPr>
      <w:r>
        <w:t xml:space="preserve">Según la situación, esto puede requerir:</w:t>
      </w:r>
    </w:p>
    <w:p>
      <w:pPr>
        <w:numPr>
          <w:ilvl w:val="0"/>
          <w:numId w:val="1004"/>
        </w:numPr>
        <w:pStyle w:val="Compact"/>
      </w:pPr>
      <w:r>
        <w:t xml:space="preserve">contactar a un supervisor o responsable designado de salvaguarda;</w:t>
      </w:r>
    </w:p>
    <w:p>
      <w:pPr>
        <w:numPr>
          <w:ilvl w:val="0"/>
          <w:numId w:val="1004"/>
        </w:numPr>
        <w:pStyle w:val="Compact"/>
      </w:pPr>
      <w:r>
        <w:t xml:space="preserve">usar una ruta aprobada de respuesta a crisis;</w:t>
      </w:r>
    </w:p>
    <w:p>
      <w:pPr>
        <w:numPr>
          <w:ilvl w:val="0"/>
          <w:numId w:val="1004"/>
        </w:numPr>
        <w:pStyle w:val="Compact"/>
      </w:pPr>
      <w:r>
        <w:t xml:space="preserve">contactar servicios de emergencia cuando corresponda;</w:t>
      </w:r>
    </w:p>
    <w:p>
      <w:pPr>
        <w:numPr>
          <w:ilvl w:val="0"/>
          <w:numId w:val="1004"/>
        </w:numPr>
        <w:pStyle w:val="Compact"/>
      </w:pPr>
      <w:r>
        <w:t xml:space="preserve">realizar un reporte obligatorio por el canal correcto si las reglas de denuncia obligatoria aplican a su rol;</w:t>
      </w:r>
    </w:p>
    <w:p>
      <w:pPr>
        <w:numPr>
          <w:ilvl w:val="0"/>
          <w:numId w:val="1004"/>
        </w:numPr>
        <w:pStyle w:val="Compact"/>
      </w:pPr>
      <w:r>
        <w:t xml:space="preserve">documentar hechos con precisión y rapidez; y</w:t>
      </w:r>
    </w:p>
    <w:p>
      <w:pPr>
        <w:numPr>
          <w:ilvl w:val="0"/>
          <w:numId w:val="1004"/>
        </w:numPr>
        <w:pStyle w:val="Compact"/>
      </w:pPr>
      <w:r>
        <w:t xml:space="preserve">evitar promesas de confidencialidad que contradigan obligaciones legales o de seguridad.</w:t>
      </w:r>
    </w:p>
    <w:p>
      <w:pPr>
        <w:pStyle w:val="FirstParagraph"/>
      </w:pPr>
      <w:r>
        <w:t xml:space="preserve">Las reglas de reporte obligatorio varían según jurisdicción, entorno, población atendida y rol profesional. Los materiales de formación y las herramientas de IA no sustituyen la política ni la ley vigente.</w:t>
      </w:r>
    </w:p>
    <w:bookmarkEnd w:id="24"/>
    <w:bookmarkStart w:id="25" w:name="Xc37fd068d6afc2900379319339b0d95591cfb65"/>
    <w:p>
      <w:pPr>
        <w:pStyle w:val="Heading2"/>
      </w:pPr>
      <w:r>
        <w:t xml:space="preserve">Privacidad, confidencialidad y documentación</w:t>
      </w:r>
    </w:p>
    <w:p>
      <w:pPr>
        <w:pStyle w:val="FirstParagraph"/>
      </w:pPr>
      <w:r>
        <w:t xml:space="preserve">Los trabajadores de servicios humanos pueden manejar información muy sensible, incluidos nombres, direcciones, fechas de nacimiento, información familiar, discapacidad, salud, salud mental, migración, beneficios, vivienda, empleo, asuntos legales y crisis.</w:t>
      </w:r>
    </w:p>
    <w:p>
      <w:pPr>
        <w:pStyle w:val="BodyText"/>
      </w:pPr>
      <w:r>
        <w:t xml:space="preserve">Siga las reglas del empleador para:</w:t>
      </w:r>
    </w:p>
    <w:p>
      <w:pPr>
        <w:numPr>
          <w:ilvl w:val="0"/>
          <w:numId w:val="1005"/>
        </w:numPr>
        <w:pStyle w:val="Compact"/>
      </w:pPr>
      <w:r>
        <w:t xml:space="preserve">recopilar solo la información necesaria para el propósito autorizado;</w:t>
      </w:r>
    </w:p>
    <w:p>
      <w:pPr>
        <w:numPr>
          <w:ilvl w:val="0"/>
          <w:numId w:val="1005"/>
        </w:numPr>
        <w:pStyle w:val="Compact"/>
      </w:pPr>
      <w:r>
        <w:t xml:space="preserve">verificar identidad antes de divulgar información protegida;</w:t>
      </w:r>
    </w:p>
    <w:p>
      <w:pPr>
        <w:numPr>
          <w:ilvl w:val="0"/>
          <w:numId w:val="1005"/>
        </w:numPr>
        <w:pStyle w:val="Compact"/>
      </w:pPr>
      <w:r>
        <w:t xml:space="preserve">usar sistemas aprobados de registros y gestión de casos;</w:t>
      </w:r>
    </w:p>
    <w:p>
      <w:pPr>
        <w:numPr>
          <w:ilvl w:val="0"/>
          <w:numId w:val="1005"/>
        </w:numPr>
        <w:pStyle w:val="Compact"/>
      </w:pPr>
      <w:r>
        <w:t xml:space="preserve">aplicar acceso basado en funciones;</w:t>
      </w:r>
    </w:p>
    <w:p>
      <w:pPr>
        <w:numPr>
          <w:ilvl w:val="0"/>
          <w:numId w:val="1005"/>
        </w:numPr>
        <w:pStyle w:val="Compact"/>
      </w:pPr>
      <w:r>
        <w:t xml:space="preserve">proteger contraseñas y usar autenticación multifactor;</w:t>
      </w:r>
    </w:p>
    <w:p>
      <w:pPr>
        <w:numPr>
          <w:ilvl w:val="0"/>
          <w:numId w:val="1005"/>
        </w:numPr>
        <w:pStyle w:val="Compact"/>
      </w:pPr>
      <w:r>
        <w:t xml:space="preserve">compartir información solo con destinatarios autorizados;</w:t>
      </w:r>
    </w:p>
    <w:p>
      <w:pPr>
        <w:numPr>
          <w:ilvl w:val="0"/>
          <w:numId w:val="1005"/>
        </w:numPr>
        <w:pStyle w:val="Compact"/>
      </w:pPr>
      <w:r>
        <w:t xml:space="preserve">mantener conversaciones privadas en espacios apropiados;</w:t>
      </w:r>
    </w:p>
    <w:p>
      <w:pPr>
        <w:numPr>
          <w:ilvl w:val="0"/>
          <w:numId w:val="1005"/>
        </w:numPr>
        <w:pStyle w:val="Compact"/>
      </w:pPr>
      <w:r>
        <w:t xml:space="preserve">cumplir requisitos de conservación y destrucción;</w:t>
      </w:r>
    </w:p>
    <w:p>
      <w:pPr>
        <w:numPr>
          <w:ilvl w:val="0"/>
          <w:numId w:val="1005"/>
        </w:numPr>
        <w:pStyle w:val="Compact"/>
      </w:pPr>
      <w:r>
        <w:t xml:space="preserve">reportar incidentes; y</w:t>
      </w:r>
    </w:p>
    <w:p>
      <w:pPr>
        <w:numPr>
          <w:ilvl w:val="0"/>
          <w:numId w:val="1005"/>
        </w:numPr>
        <w:pStyle w:val="Compact"/>
      </w:pPr>
      <w:r>
        <w:t xml:space="preserve">usar correctamente dispositivos personales, mensajería, correo electrónico, servicios en la nube y herramientas de IA.</w:t>
      </w:r>
    </w:p>
    <w:p>
      <w:pPr>
        <w:pStyle w:val="FirstParagraph"/>
      </w:pPr>
      <w:r>
        <w:t xml:space="preserve">Redacte notas de caso objetivas, relevantes, respetuosas y proporcionales. Distinga entre lo que observó, lo que informó el usuario y lo que concluyó otro profesional.</w:t>
      </w:r>
    </w:p>
    <w:bookmarkEnd w:id="25"/>
    <w:bookmarkStart w:id="26" w:name="X666864e509bf1ba73b30353b8fe68bc518859d0"/>
    <w:p>
      <w:pPr>
        <w:pStyle w:val="Heading2"/>
      </w:pPr>
      <w:r>
        <w:t xml:space="preserve">Habilidades que pueden valorar los empleadores</w:t>
      </w:r>
    </w:p>
    <w:p>
      <w:pPr>
        <w:pStyle w:val="FirstParagraph"/>
      </w:pPr>
      <w:r>
        <w:t xml:space="preserve">Los empleadores suelen valorar:</w:t>
      </w:r>
    </w:p>
    <w:p>
      <w:pPr>
        <w:numPr>
          <w:ilvl w:val="0"/>
          <w:numId w:val="1006"/>
        </w:numPr>
        <w:pStyle w:val="Compact"/>
      </w:pPr>
      <w:r>
        <w:t xml:space="preserve">escucha activa;</w:t>
      </w:r>
    </w:p>
    <w:p>
      <w:pPr>
        <w:numPr>
          <w:ilvl w:val="0"/>
          <w:numId w:val="1006"/>
        </w:numPr>
        <w:pStyle w:val="Compact"/>
      </w:pPr>
      <w:r>
        <w:t xml:space="preserve">comunicación respetuosa;</w:t>
      </w:r>
    </w:p>
    <w:p>
      <w:pPr>
        <w:numPr>
          <w:ilvl w:val="0"/>
          <w:numId w:val="1006"/>
        </w:numPr>
        <w:pStyle w:val="Compact"/>
      </w:pPr>
      <w:r>
        <w:t xml:space="preserve">empatía con límites claros;</w:t>
      </w:r>
    </w:p>
    <w:p>
      <w:pPr>
        <w:numPr>
          <w:ilvl w:val="0"/>
          <w:numId w:val="1006"/>
        </w:numPr>
        <w:pStyle w:val="Compact"/>
      </w:pPr>
      <w:r>
        <w:t xml:space="preserve">registros precisos;</w:t>
      </w:r>
    </w:p>
    <w:p>
      <w:pPr>
        <w:numPr>
          <w:ilvl w:val="0"/>
          <w:numId w:val="1006"/>
        </w:numPr>
        <w:pStyle w:val="Compact"/>
      </w:pPr>
      <w:r>
        <w:t xml:space="preserve">organización y seguimiento;</w:t>
      </w:r>
    </w:p>
    <w:p>
      <w:pPr>
        <w:numPr>
          <w:ilvl w:val="0"/>
          <w:numId w:val="1006"/>
        </w:numPr>
        <w:pStyle w:val="Compact"/>
      </w:pPr>
      <w:r>
        <w:t xml:space="preserve">resolución práctica de problemas;</w:t>
      </w:r>
    </w:p>
    <w:p>
      <w:pPr>
        <w:numPr>
          <w:ilvl w:val="0"/>
          <w:numId w:val="1006"/>
        </w:numPr>
        <w:pStyle w:val="Compact"/>
      </w:pPr>
      <w:r>
        <w:t xml:space="preserve">conocimiento de recursos comunitarios locales;</w:t>
      </w:r>
    </w:p>
    <w:p>
      <w:pPr>
        <w:numPr>
          <w:ilvl w:val="0"/>
          <w:numId w:val="1006"/>
        </w:numPr>
        <w:pStyle w:val="Compact"/>
      </w:pPr>
      <w:r>
        <w:t xml:space="preserve">capacidad para explicar procedimientos en lenguaje sencillo;</w:t>
      </w:r>
    </w:p>
    <w:p>
      <w:pPr>
        <w:numPr>
          <w:ilvl w:val="0"/>
          <w:numId w:val="1006"/>
        </w:numPr>
        <w:pStyle w:val="Compact"/>
      </w:pPr>
      <w:r>
        <w:t xml:space="preserve">humildad cultural y comunicación inclusiva con personas con discapacidad;</w:t>
      </w:r>
    </w:p>
    <w:p>
      <w:pPr>
        <w:numPr>
          <w:ilvl w:val="0"/>
          <w:numId w:val="1006"/>
        </w:numPr>
        <w:pStyle w:val="Compact"/>
      </w:pPr>
      <w:r>
        <w:t xml:space="preserve">confiabilidad y puntualidad;</w:t>
      </w:r>
    </w:p>
    <w:p>
      <w:pPr>
        <w:numPr>
          <w:ilvl w:val="0"/>
          <w:numId w:val="1006"/>
        </w:numPr>
        <w:pStyle w:val="Compact"/>
      </w:pPr>
      <w:r>
        <w:t xml:space="preserve">trabajo en equipo con profesionales y socios comunitarios;</w:t>
      </w:r>
    </w:p>
    <w:p>
      <w:pPr>
        <w:numPr>
          <w:ilvl w:val="0"/>
          <w:numId w:val="1006"/>
        </w:numPr>
        <w:pStyle w:val="Compact"/>
      </w:pPr>
      <w:r>
        <w:t xml:space="preserve">escalamiento calmado de situaciones difíciles;</w:t>
      </w:r>
    </w:p>
    <w:p>
      <w:pPr>
        <w:numPr>
          <w:ilvl w:val="0"/>
          <w:numId w:val="1006"/>
        </w:numPr>
        <w:pStyle w:val="Compact"/>
      </w:pPr>
      <w:r>
        <w:t xml:space="preserve">habilidades digitales básicas; y</w:t>
      </w:r>
    </w:p>
    <w:p>
      <w:pPr>
        <w:numPr>
          <w:ilvl w:val="0"/>
          <w:numId w:val="1006"/>
        </w:numPr>
        <w:pStyle w:val="Compact"/>
      </w:pPr>
      <w:r>
        <w:t xml:space="preserve">confidencialidad y manejo apropiado de información sensible.</w:t>
      </w:r>
    </w:p>
    <w:p>
      <w:pPr>
        <w:pStyle w:val="FirstParagraph"/>
      </w:pPr>
      <w:r>
        <w:t xml:space="preserve">El dominio de dos o más idiomas puede ser valioso en algunas comunidades, pero no afirme credenciales profesionales de interpretación o traducción que no posea.</w:t>
      </w:r>
    </w:p>
    <w:bookmarkEnd w:id="26"/>
    <w:bookmarkStart w:id="31" w:name="educación-y-vías-de-entrada"/>
    <w:p>
      <w:pPr>
        <w:pStyle w:val="Heading2"/>
      </w:pPr>
      <w:r>
        <w:t xml:space="preserve">Educación y vías de entrada</w:t>
      </w:r>
    </w:p>
    <w:bookmarkStart w:id="27" w:name="estados-unidos"/>
    <w:p>
      <w:pPr>
        <w:pStyle w:val="Heading3"/>
      </w:pPr>
      <w:r>
        <w:t xml:space="preserve">Estados Unidos</w:t>
      </w:r>
    </w:p>
    <w:p>
      <w:pPr>
        <w:pStyle w:val="FirstParagraph"/>
      </w:pPr>
      <w:r>
        <w:t xml:space="preserve">O*NET clasifica Social and Human Service Assistants como</w:t>
      </w:r>
      <w:r>
        <w:t xml:space="preserve"> </w:t>
      </w:r>
      <w:r>
        <w:rPr>
          <w:bCs/>
          <w:b/>
        </w:rPr>
        <w:t xml:space="preserve">21-1093.00</w:t>
      </w:r>
      <w:r>
        <w:t xml:space="preserve">. La Oficina de Estadísticas Laborales de Estados Unidos indica que normalmente se requiere al menos un</w:t>
      </w:r>
      <w:r>
        <w:t xml:space="preserve"> </w:t>
      </w:r>
      <w:r>
        <w:rPr>
          <w:bCs/>
          <w:b/>
        </w:rPr>
        <w:t xml:space="preserve">diploma de secundaria o equivalente</w:t>
      </w:r>
      <w:r>
        <w:t xml:space="preserve">, aunque algunos empleadores pueden exigir o preferir educación adicional. Es común la capacitación breve en el trabajo.</w:t>
      </w:r>
    </w:p>
    <w:p>
      <w:pPr>
        <w:pStyle w:val="BodyText"/>
      </w:pPr>
      <w:r>
        <w:t xml:space="preserve">Una secuencia práctica de entrada es:</w:t>
      </w:r>
    </w:p>
    <w:p>
      <w:pPr>
        <w:numPr>
          <w:ilvl w:val="0"/>
          <w:numId w:val="1007"/>
        </w:numPr>
        <w:pStyle w:val="Compact"/>
      </w:pPr>
      <w:r>
        <w:t xml:space="preserve">Revise vacantes locales para social and human service assistant, human services assistant, case aide, social services assistant, family service assistant, outreach assistant, community support, shelter support y títulos relacionados.</w:t>
      </w:r>
    </w:p>
    <w:p>
      <w:pPr>
        <w:numPr>
          <w:ilvl w:val="0"/>
          <w:numId w:val="1007"/>
        </w:numPr>
        <w:pStyle w:val="Compact"/>
      </w:pPr>
      <w:r>
        <w:t xml:space="preserve">Registre requisitos recurrentes de educación, conducción, antecedentes, sistemas de documentación, formación en crisis, experiencia con poblaciones específicas o idiomas.</w:t>
      </w:r>
    </w:p>
    <w:p>
      <w:pPr>
        <w:numPr>
          <w:ilvl w:val="0"/>
          <w:numId w:val="1007"/>
        </w:numPr>
        <w:pStyle w:val="Compact"/>
      </w:pPr>
      <w:r>
        <w:t xml:space="preserve">Desarrolle experiencia transferible mediante voluntariado supervisado, programas comunitarios, servicio al cliente, cuidado, apoyo administrativo, discapacidad, juventud, personas mayores u otros entornos relacionados.</w:t>
      </w:r>
    </w:p>
    <w:p>
      <w:pPr>
        <w:numPr>
          <w:ilvl w:val="0"/>
          <w:numId w:val="1007"/>
        </w:numPr>
        <w:pStyle w:val="Compact"/>
      </w:pPr>
      <w:r>
        <w:t xml:space="preserve">Use formación pública o de bajo costo para fortalecer documentación, comunicación, conciencia de trauma, salvaguarda, habilidades digitales y conocimiento de recursos comunitarios.</w:t>
      </w:r>
    </w:p>
    <w:p>
      <w:pPr>
        <w:numPr>
          <w:ilvl w:val="0"/>
          <w:numId w:val="1007"/>
        </w:numPr>
        <w:pStyle w:val="Compact"/>
      </w:pPr>
      <w:r>
        <w:t xml:space="preserve">Postúlese a cargos compatibles con su formación y experiencia reales.</w:t>
      </w:r>
    </w:p>
    <w:p>
      <w:pPr>
        <w:numPr>
          <w:ilvl w:val="0"/>
          <w:numId w:val="1007"/>
        </w:numPr>
        <w:pStyle w:val="Compact"/>
      </w:pPr>
      <w:r>
        <w:t xml:space="preserve">Considere educación universitaria adicional solo cuando responda a un requisito local claro o a una ruta de avance definida.</w:t>
      </w:r>
    </w:p>
    <w:p>
      <w:pPr>
        <w:pStyle w:val="FirstParagraph"/>
      </w:pPr>
      <w:r>
        <w:t xml:space="preserve">No suponga que un certificado privado costoso de servicios humanos es obligatorio solo porque una institución lo comercializa.</w:t>
      </w:r>
    </w:p>
    <w:bookmarkEnd w:id="27"/>
    <w:bookmarkStart w:id="28" w:name="canadá"/>
    <w:p>
      <w:pPr>
        <w:pStyle w:val="Heading3"/>
      </w:pPr>
      <w:r>
        <w:t xml:space="preserve">Canadá</w:t>
      </w:r>
    </w:p>
    <w:p>
      <w:pPr>
        <w:pStyle w:val="FirstParagraph"/>
      </w:pPr>
      <w:r>
        <w:t xml:space="preserve">Government of Canada Job Bank clasifica Social and community service workers bajo</w:t>
      </w:r>
      <w:r>
        <w:t xml:space="preserve"> </w:t>
      </w:r>
      <w:r>
        <w:rPr>
          <w:bCs/>
          <w:b/>
        </w:rPr>
        <w:t xml:space="preserve">NOC 42201</w:t>
      </w:r>
      <w:r>
        <w:t xml:space="preserve">. Los requisitos típicos incluyen un programa universitario o de college en trabajo social, atención infantil y juvenil, psicología u otra disciplina de ciencias sociales o salud.</w:t>
      </w:r>
    </w:p>
    <w:p>
      <w:pPr>
        <w:pStyle w:val="BodyText"/>
      </w:pPr>
      <w:r>
        <w:t xml:space="preserve">Job Bank también indica que, para algunas ocupaciones del grupo, experiencia previa en servicios sociales como voluntario o en un cargo de apoyo puede sustituir requisitos formales de educación.</w:t>
      </w:r>
    </w:p>
    <w:p>
      <w:pPr>
        <w:pStyle w:val="BodyText"/>
      </w:pPr>
      <w:r>
        <w:t xml:space="preserve">Algunas provincias pueden regular determinados títulos de trabajador de servicios sociales o exigir registro. Un cargo genérico de apoyo comunitario y un título regulado de social service worker no son necesariamente equivalentes.</w:t>
      </w:r>
    </w:p>
    <w:p>
      <w:pPr>
        <w:pStyle w:val="BodyText"/>
      </w:pPr>
      <w:r>
        <w:t xml:space="preserve">Antes de matricularse, verifique:</w:t>
      </w:r>
    </w:p>
    <w:p>
      <w:pPr>
        <w:numPr>
          <w:ilvl w:val="0"/>
          <w:numId w:val="1008"/>
        </w:numPr>
        <w:pStyle w:val="Compact"/>
      </w:pPr>
      <w:r>
        <w:t xml:space="preserve">el título exacto que busca;</w:t>
      </w:r>
    </w:p>
    <w:p>
      <w:pPr>
        <w:numPr>
          <w:ilvl w:val="0"/>
          <w:numId w:val="1008"/>
        </w:numPr>
        <w:pStyle w:val="Compact"/>
      </w:pPr>
      <w:r>
        <w:t xml:space="preserve">requisitos provinciales;</w:t>
      </w:r>
    </w:p>
    <w:p>
      <w:pPr>
        <w:numPr>
          <w:ilvl w:val="0"/>
          <w:numId w:val="1008"/>
        </w:numPr>
        <w:pStyle w:val="Compact"/>
      </w:pPr>
      <w:r>
        <w:t xml:space="preserve">si el empleador exige diploma o título universitario;</w:t>
      </w:r>
    </w:p>
    <w:p>
      <w:pPr>
        <w:numPr>
          <w:ilvl w:val="0"/>
          <w:numId w:val="1008"/>
        </w:numPr>
        <w:pStyle w:val="Compact"/>
      </w:pPr>
      <w:r>
        <w:t xml:space="preserve">si experiencia supervisada puede sustituir educación; y</w:t>
      </w:r>
    </w:p>
    <w:p>
      <w:pPr>
        <w:numPr>
          <w:ilvl w:val="0"/>
          <w:numId w:val="1008"/>
        </w:numPr>
        <w:pStyle w:val="Compact"/>
      </w:pPr>
      <w:r>
        <w:t xml:space="preserve">si el título requiere registro.</w:t>
      </w:r>
    </w:p>
    <w:bookmarkEnd w:id="28"/>
    <w:bookmarkStart w:id="29" w:name="colombia"/>
    <w:p>
      <w:pPr>
        <w:pStyle w:val="Heading3"/>
      </w:pPr>
      <w:r>
        <w:t xml:space="preserve">Colombia</w:t>
      </w:r>
    </w:p>
    <w:p>
      <w:pPr>
        <w:pStyle w:val="FirstParagraph"/>
      </w:pPr>
      <w:r>
        <w:t xml:space="preserve">La Clasificación Nacional de Ocupaciones del SENA identifica</w:t>
      </w:r>
      <w:r>
        <w:t xml:space="preserve"> </w:t>
      </w:r>
      <w:r>
        <w:rPr>
          <w:bCs/>
          <w:b/>
        </w:rPr>
        <w:t xml:space="preserve">CNO 4211 — Asistentes en servicios social y comunitario</w:t>
      </w:r>
      <w:r>
        <w:t xml:space="preserve">.</w:t>
      </w:r>
    </w:p>
    <w:p>
      <w:pPr>
        <w:pStyle w:val="BodyText"/>
      </w:pPr>
      <w:r>
        <w:t xml:space="preserve">Vacantes actuales de la Agencia Pública de Empleo del SENA usan títulos como:</w:t>
      </w:r>
    </w:p>
    <w:p>
      <w:pPr>
        <w:numPr>
          <w:ilvl w:val="0"/>
          <w:numId w:val="1009"/>
        </w:numPr>
        <w:pStyle w:val="Compact"/>
      </w:pPr>
      <w:r>
        <w:t xml:space="preserve">Auxiliar de servicio social y comunitario;</w:t>
      </w:r>
    </w:p>
    <w:p>
      <w:pPr>
        <w:numPr>
          <w:ilvl w:val="0"/>
          <w:numId w:val="1009"/>
        </w:numPr>
        <w:pStyle w:val="Compact"/>
      </w:pPr>
      <w:r>
        <w:t xml:space="preserve">Asistente de servicios sociales y comunitarios;</w:t>
      </w:r>
    </w:p>
    <w:p>
      <w:pPr>
        <w:numPr>
          <w:ilvl w:val="0"/>
          <w:numId w:val="1009"/>
        </w:numPr>
        <w:pStyle w:val="Compact"/>
      </w:pPr>
      <w:r>
        <w:t xml:space="preserve">Gestor comunitario; y</w:t>
      </w:r>
    </w:p>
    <w:p>
      <w:pPr>
        <w:numPr>
          <w:ilvl w:val="0"/>
          <w:numId w:val="1009"/>
        </w:numPr>
        <w:pStyle w:val="Compact"/>
      </w:pPr>
      <w:r>
        <w:t xml:space="preserve">Promotor social.</w:t>
      </w:r>
    </w:p>
    <w:p>
      <w:pPr>
        <w:pStyle w:val="FirstParagraph"/>
      </w:pPr>
      <w:r>
        <w:t xml:space="preserve">Ejemplos actuales incluyen apoyo en referencias, navegación institucional, logística de programas comunitarios, documentación rutinaria, acceso a servicios y trabajo bajo protocolos institucionales en crisis o con poblaciones vulnerables.</w:t>
      </w:r>
    </w:p>
    <w:p>
      <w:pPr>
        <w:pStyle w:val="BodyText"/>
      </w:pPr>
      <w:r>
        <w:t xml:space="preserve">SENA Betowa también publica formación pública complementaria para fortalecer habilidades relacionadas. Entre los ejemplos se encuentran</w:t>
      </w:r>
      <w:r>
        <w:t xml:space="preserve"> </w:t>
      </w:r>
      <w:r>
        <w:rPr>
          <w:bCs/>
          <w:b/>
        </w:rPr>
        <w:t xml:space="preserve">Implementación de la política de participación social en salud</w:t>
      </w:r>
      <w:r>
        <w:t xml:space="preserve"> </w:t>
      </w:r>
      <w:r>
        <w:t xml:space="preserve">y</w:t>
      </w:r>
      <w:r>
        <w:t xml:space="preserve"> </w:t>
      </w:r>
      <w:r>
        <w:rPr>
          <w:bCs/>
          <w:b/>
        </w:rPr>
        <w:t xml:space="preserve">Desarrollo de habilidades para el bienestar familiar y comunitario</w:t>
      </w:r>
      <w:r>
        <w:t xml:space="preserve">.</w:t>
      </w:r>
    </w:p>
    <w:p>
      <w:pPr>
        <w:pStyle w:val="BodyText"/>
      </w:pPr>
      <w:r>
        <w:t xml:space="preserve">Estos cursos son ejemplos de desarrollo de habilidades, no requisitos legales universales para CNO 4211 ni sustitutos de una carrera profesional en trabajo social cuando la práctica profesional la exige.</w:t>
      </w:r>
    </w:p>
    <w:bookmarkEnd w:id="29"/>
    <w:bookmarkStart w:id="30" w:name="américa-latina-y-el-caribe"/>
    <w:p>
      <w:pPr>
        <w:pStyle w:val="Heading3"/>
      </w:pPr>
      <w:r>
        <w:t xml:space="preserve">América Latina y el Caribe</w:t>
      </w:r>
    </w:p>
    <w:p>
      <w:pPr>
        <w:pStyle w:val="FirstParagraph"/>
      </w:pPr>
      <w:r>
        <w:t xml:space="preserve">Los sistemas de formación, protección de títulos, normas profesionales de trabajo social y rutas de servicios comunitarios varían por país. OIT/Cinterfor mantiene una red regional de instituciones de formación profesional y sistemas de cualificaciones que puede ayudar a identificar la entidad pública nacional adecuada.</w:t>
      </w:r>
    </w:p>
    <w:p>
      <w:pPr>
        <w:pStyle w:val="BodyText"/>
      </w:pPr>
      <w:r>
        <w:t xml:space="preserve">Use OIT/Cinterfor como localizador y luego verifique directamente con la institución nacional y el regulador local el programa, título, costo, reconocimiento y alcance legal.</w:t>
      </w:r>
    </w:p>
    <w:bookmarkEnd w:id="30"/>
    <w:bookmarkEnd w:id="31"/>
    <w:bookmarkStart w:id="32" w:name="X8b8c488a5743dba6fe3f92d051ea5a50c4b67bf"/>
    <w:p>
      <w:pPr>
        <w:pStyle w:val="Heading2"/>
      </w:pPr>
      <w:r>
        <w:t xml:space="preserve">Estrategia de formación gratuita primero y de bajo costo</w:t>
      </w:r>
    </w:p>
    <w:p>
      <w:pPr>
        <w:pStyle w:val="FirstParagraph"/>
      </w:pPr>
      <w:r>
        <w:t xml:space="preserve">Antes de pagar por capacitación:</w:t>
      </w:r>
    </w:p>
    <w:p>
      <w:pPr>
        <w:numPr>
          <w:ilvl w:val="0"/>
          <w:numId w:val="1010"/>
        </w:numPr>
        <w:pStyle w:val="Compact"/>
      </w:pPr>
      <w:r>
        <w:t xml:space="preserve">Revise 15–20 vacantes reales de su zona objetivo.</w:t>
      </w:r>
    </w:p>
    <w:p>
      <w:pPr>
        <w:numPr>
          <w:ilvl w:val="0"/>
          <w:numId w:val="1010"/>
        </w:numPr>
        <w:pStyle w:val="Compact"/>
      </w:pPr>
      <w:r>
        <w:t xml:space="preserve">Separe requisitos obligatorios de calificaciones preferidas.</w:t>
      </w:r>
    </w:p>
    <w:p>
      <w:pPr>
        <w:numPr>
          <w:ilvl w:val="0"/>
          <w:numId w:val="1010"/>
        </w:numPr>
        <w:pStyle w:val="Compact"/>
      </w:pPr>
      <w:r>
        <w:t xml:space="preserve">Pregunte a empleadores si ofrecen inducción pagada o capacitación específica del cargo.</w:t>
      </w:r>
    </w:p>
    <w:p>
      <w:pPr>
        <w:numPr>
          <w:ilvl w:val="0"/>
          <w:numId w:val="1010"/>
        </w:numPr>
        <w:pStyle w:val="Compact"/>
      </w:pPr>
      <w:r>
        <w:t xml:space="preserve">Priorice formación pública, workforce, college comunitario, formación profesional o programas de organizaciones sin fines de lucro cuando sean adecuados.</w:t>
      </w:r>
    </w:p>
    <w:p>
      <w:pPr>
        <w:numPr>
          <w:ilvl w:val="0"/>
          <w:numId w:val="1010"/>
        </w:numPr>
        <w:pStyle w:val="Compact"/>
      </w:pPr>
      <w:r>
        <w:t xml:space="preserve">Compare costo total, horario, transporte, materiales, exámenes y requisitos de prácticas no remuneradas.</w:t>
      </w:r>
    </w:p>
    <w:p>
      <w:pPr>
        <w:numPr>
          <w:ilvl w:val="0"/>
          <w:numId w:val="1010"/>
        </w:numPr>
        <w:pStyle w:val="Compact"/>
      </w:pPr>
      <w:r>
        <w:t xml:space="preserve">Verifique si los empleadores realmente reconocen la credencial.</w:t>
      </w:r>
    </w:p>
    <w:p>
      <w:pPr>
        <w:numPr>
          <w:ilvl w:val="0"/>
          <w:numId w:val="1010"/>
        </w:numPr>
        <w:pStyle w:val="Compact"/>
      </w:pPr>
      <w:r>
        <w:t xml:space="preserve">Obtenga por escrito reglas de reembolso y afirmaciones sobre colocación laboral.</w:t>
      </w:r>
    </w:p>
    <w:p>
      <w:pPr>
        <w:numPr>
          <w:ilvl w:val="0"/>
          <w:numId w:val="1010"/>
        </w:numPr>
        <w:pStyle w:val="Compact"/>
      </w:pPr>
      <w:r>
        <w:t xml:space="preserve">Evite endeudarse por una credencial que los empleadores locales no solicitan.</w:t>
      </w:r>
    </w:p>
    <w:bookmarkEnd w:id="32"/>
    <w:bookmarkStart w:id="37" w:name="X18ba9471aae34057ff35ba7604162b78150de79"/>
    <w:p>
      <w:pPr>
        <w:pStyle w:val="Heading2"/>
      </w:pPr>
      <w:r>
        <w:t xml:space="preserve">Financiamiento y localizadores de formación pública</w:t>
      </w:r>
    </w:p>
    <w:bookmarkStart w:id="33" w:name="estados-unidos-1"/>
    <w:p>
      <w:pPr>
        <w:pStyle w:val="Heading3"/>
      </w:pPr>
      <w:r>
        <w:t xml:space="preserve">Estados Unidos</w:t>
      </w:r>
    </w:p>
    <w:p>
      <w:pPr>
        <w:pStyle w:val="FirstParagraph"/>
      </w:pPr>
      <w:r>
        <w:t xml:space="preserve">CareerOneStop, patrocinado por el Departamento de Trabajo de Estados Unidos, ofrece la red de</w:t>
      </w:r>
      <w:r>
        <w:t xml:space="preserve"> </w:t>
      </w:r>
      <w:r>
        <w:rPr>
          <w:bCs/>
          <w:b/>
        </w:rPr>
        <w:t xml:space="preserve">American Job Centers</w:t>
      </w:r>
      <w:r>
        <w:t xml:space="preserve"> </w:t>
      </w:r>
      <w:r>
        <w:t xml:space="preserve">y un</w:t>
      </w:r>
      <w:r>
        <w:t xml:space="preserve"> </w:t>
      </w:r>
      <w:r>
        <w:rPr>
          <w:bCs/>
          <w:b/>
        </w:rPr>
        <w:t xml:space="preserve">WIOA-Eligible Training Program Finder</w:t>
      </w:r>
      <w:r>
        <w:t xml:space="preserve">.</w:t>
      </w:r>
    </w:p>
    <w:p>
      <w:pPr>
        <w:pStyle w:val="BodyText"/>
      </w:pPr>
      <w:r>
        <w:t xml:space="preserve">El apoyo de formación WIOA puede estar disponible para personas elegibles, incluidas algunas que enfrentan barreras de empleo. La elegibilidad, los programas aprobados, las prioridades locales y los fondos disponibles varían según el área. El financiamiento</w:t>
      </w:r>
      <w:r>
        <w:t xml:space="preserve"> </w:t>
      </w:r>
      <w:r>
        <w:rPr>
          <w:bCs/>
          <w:b/>
        </w:rPr>
        <w:t xml:space="preserve">no está garantizado</w:t>
      </w:r>
      <w:r>
        <w:t xml:space="preserve">.</w:t>
      </w:r>
    </w:p>
    <w:p>
      <w:pPr>
        <w:pStyle w:val="BodyText"/>
      </w:pPr>
      <w:r>
        <w:t xml:space="preserve">CareerOneStop también ofrece herramientas para buscar formación local, becas, certificaciones, licencias y aprendizajes.</w:t>
      </w:r>
    </w:p>
    <w:bookmarkEnd w:id="33"/>
    <w:bookmarkStart w:id="34" w:name="X38380834c0a8d8963a8d98c6d42cc3a5b1c9064"/>
    <w:p>
      <w:pPr>
        <w:pStyle w:val="Heading3"/>
      </w:pPr>
      <w:r>
        <w:t xml:space="preserve">Aprendizajes y formación basada en el trabajo</w:t>
      </w:r>
    </w:p>
    <w:p>
      <w:pPr>
        <w:pStyle w:val="FirstParagraph"/>
      </w:pPr>
      <w:r>
        <w:t xml:space="preserve">No existe un requisito nacional universal de aprendizaje formal para Social and Human Service Assistants. Puede haber Registered Apprenticeship en algunas ocupaciones de servicios humanos o relacionadas, pero depende del empleador y la ubicación.</w:t>
      </w:r>
    </w:p>
    <w:p>
      <w:pPr>
        <w:pStyle w:val="BodyText"/>
      </w:pPr>
      <w:r>
        <w:t xml:space="preserve">Busque oportunidades actuales en Apprenticeship.gov en lugar de asumir que existe un programa local.</w:t>
      </w:r>
    </w:p>
    <w:bookmarkEnd w:id="34"/>
    <w:bookmarkStart w:id="35" w:name="canadá-1"/>
    <w:p>
      <w:pPr>
        <w:pStyle w:val="Heading3"/>
      </w:pPr>
      <w:r>
        <w:t xml:space="preserve">Canadá</w:t>
      </w:r>
    </w:p>
    <w:p>
      <w:pPr>
        <w:pStyle w:val="FirstParagraph"/>
      </w:pPr>
      <w:r>
        <w:t xml:space="preserve">Canadá no tiene una única credencial nacional ni un solo programa de financiación aplicable a todos los cargos NOC 42201. Compare programas de college comunitario, universidad, servicios públicos de empleo, formación provincial y opciones apoyadas por empleadores en la provincia donde planea trabajar.</w:t>
      </w:r>
    </w:p>
    <w:p>
      <w:pPr>
        <w:pStyle w:val="BodyText"/>
      </w:pPr>
      <w:r>
        <w:t xml:space="preserve">Si un programa puede calificar para ayuda estudiantil pública o apoyo provincial, confirme la elegibilidad con el programa gubernamental responsable antes de matricularse.</w:t>
      </w:r>
    </w:p>
    <w:bookmarkEnd w:id="35"/>
    <w:bookmarkStart w:id="36" w:name="colombia-y-américa-latina"/>
    <w:p>
      <w:pPr>
        <w:pStyle w:val="Heading3"/>
      </w:pPr>
      <w:r>
        <w:t xml:space="preserve">Colombia y América Latina</w:t>
      </w:r>
    </w:p>
    <w:p>
      <w:pPr>
        <w:pStyle w:val="FirstParagraph"/>
      </w:pPr>
      <w:r>
        <w:t xml:space="preserve">En Colombia, comience por SENA/Betowa y los servicios públicos de empleo del SENA. En otros países latinoamericanos, use la red de OIT/Cinterfor para identificar la institución nacional de formación profesional correspondiente y luego confirme las ofertas vigentes directamente.</w:t>
      </w:r>
    </w:p>
    <w:bookmarkEnd w:id="36"/>
    <w:bookmarkEnd w:id="37"/>
    <w:bookmarkStart w:id="38" w:name="X53c5ab1e70201dfc89a08cf032d31b0710ce8a9"/>
    <w:p>
      <w:pPr>
        <w:pStyle w:val="Heading2"/>
      </w:pPr>
      <w:r>
        <w:t xml:space="preserve">Apoyo del empleador y aprendizaje en el trabajo</w:t>
      </w:r>
    </w:p>
    <w:p>
      <w:pPr>
        <w:pStyle w:val="FirstParagraph"/>
      </w:pPr>
      <w:r>
        <w:t xml:space="preserve">Pregunte a los empleadores por:</w:t>
      </w:r>
    </w:p>
    <w:p>
      <w:pPr>
        <w:numPr>
          <w:ilvl w:val="0"/>
          <w:numId w:val="1011"/>
        </w:numPr>
        <w:pStyle w:val="Compact"/>
      </w:pPr>
      <w:r>
        <w:t xml:space="preserve">orientación pagada;</w:t>
      </w:r>
    </w:p>
    <w:p>
      <w:pPr>
        <w:numPr>
          <w:ilvl w:val="0"/>
          <w:numId w:val="1011"/>
        </w:numPr>
        <w:pStyle w:val="Compact"/>
      </w:pPr>
      <w:r>
        <w:t xml:space="preserve">formación supervisada en admisión o funciones de case aide;</w:t>
      </w:r>
    </w:p>
    <w:p>
      <w:pPr>
        <w:numPr>
          <w:ilvl w:val="0"/>
          <w:numId w:val="1011"/>
        </w:numPr>
        <w:pStyle w:val="Compact"/>
      </w:pPr>
      <w:r>
        <w:t xml:space="preserve">capacitación en salvaguarda y reporte obligatorio;</w:t>
      </w:r>
    </w:p>
    <w:p>
      <w:pPr>
        <w:numPr>
          <w:ilvl w:val="0"/>
          <w:numId w:val="1011"/>
        </w:numPr>
        <w:pStyle w:val="Compact"/>
      </w:pPr>
      <w:r>
        <w:t xml:space="preserve">formación con enfoque informado por trauma;</w:t>
      </w:r>
    </w:p>
    <w:p>
      <w:pPr>
        <w:numPr>
          <w:ilvl w:val="0"/>
          <w:numId w:val="1011"/>
        </w:numPr>
        <w:pStyle w:val="Compact"/>
      </w:pPr>
      <w:r>
        <w:t xml:space="preserve">capacitación en documentación y sistemas de gestión de casos;</w:t>
      </w:r>
    </w:p>
    <w:p>
      <w:pPr>
        <w:numPr>
          <w:ilvl w:val="0"/>
          <w:numId w:val="1011"/>
        </w:numPr>
        <w:pStyle w:val="Compact"/>
      </w:pPr>
      <w:r>
        <w:t xml:space="preserve">desescalamiento de conflictos;</w:t>
      </w:r>
    </w:p>
    <w:p>
      <w:pPr>
        <w:numPr>
          <w:ilvl w:val="0"/>
          <w:numId w:val="1011"/>
        </w:numPr>
        <w:pStyle w:val="Compact"/>
      </w:pPr>
      <w:r>
        <w:t xml:space="preserve">ayuda para matrícula;</w:t>
      </w:r>
    </w:p>
    <w:p>
      <w:pPr>
        <w:numPr>
          <w:ilvl w:val="0"/>
          <w:numId w:val="1011"/>
        </w:numPr>
        <w:pStyle w:val="Compact"/>
      </w:pPr>
      <w:r>
        <w:t xml:space="preserve">reembolso de cursos o certificaciones;</w:t>
      </w:r>
    </w:p>
    <w:p>
      <w:pPr>
        <w:numPr>
          <w:ilvl w:val="0"/>
          <w:numId w:val="1011"/>
        </w:numPr>
        <w:pStyle w:val="Compact"/>
      </w:pPr>
      <w:r>
        <w:t xml:space="preserve">apoyo para aprendizaje de idiomas;</w:t>
      </w:r>
    </w:p>
    <w:p>
      <w:pPr>
        <w:numPr>
          <w:ilvl w:val="0"/>
          <w:numId w:val="1011"/>
        </w:numPr>
        <w:pStyle w:val="Compact"/>
      </w:pPr>
      <w:r>
        <w:t xml:space="preserve">formación cruzada en vivienda, discapacidad, juventud, envejecimiento, empleo o servicios familiares; y</w:t>
      </w:r>
    </w:p>
    <w:p>
      <w:pPr>
        <w:numPr>
          <w:ilvl w:val="0"/>
          <w:numId w:val="1011"/>
        </w:numPr>
        <w:pStyle w:val="Compact"/>
      </w:pPr>
      <w:r>
        <w:t xml:space="preserve">rutas internas de promoción.</w:t>
      </w:r>
    </w:p>
    <w:p>
      <w:pPr>
        <w:pStyle w:val="FirstParagraph"/>
      </w:pPr>
      <w:r>
        <w:t xml:space="preserve">Obtenga por escrito cualquier obligación de reembolso antes de aceptar educación pagada por el empleador.</w:t>
      </w:r>
    </w:p>
    <w:bookmarkEnd w:id="38"/>
    <w:bookmarkStart w:id="43" w:name="ingresos-y-perspectiva-laboral"/>
    <w:p>
      <w:pPr>
        <w:pStyle w:val="Heading2"/>
      </w:pPr>
      <w:r>
        <w:t xml:space="preserve">Ingresos y perspectiva laboral</w:t>
      </w:r>
    </w:p>
    <w:bookmarkStart w:id="39" w:name="estados-unidos--datos-oficiales"/>
    <w:p>
      <w:pPr>
        <w:pStyle w:val="Heading3"/>
      </w:pPr>
      <w:r>
        <w:t xml:space="preserve">Estados Unidos — datos oficiales</w:t>
      </w:r>
    </w:p>
    <w:p>
      <w:pPr>
        <w:pStyle w:val="FirstParagraph"/>
      </w:pPr>
      <w:r>
        <w:t xml:space="preserve">O*NET reporta</w:t>
      </w:r>
      <w:r>
        <w:t xml:space="preserve"> </w:t>
      </w:r>
      <w:r>
        <w:rPr>
          <w:bCs/>
          <w:b/>
        </w:rPr>
        <w:t xml:space="preserve">datos salariales BLS de 2025</w:t>
      </w:r>
      <w:r>
        <w:t xml:space="preserve"> </w:t>
      </w:r>
      <w:r>
        <w:t xml:space="preserve">para Social and Human Service Assistants, 21-1093.00:</w:t>
      </w:r>
    </w:p>
    <w:p>
      <w:pPr>
        <w:numPr>
          <w:ilvl w:val="0"/>
          <w:numId w:val="1012"/>
        </w:numPr>
        <w:pStyle w:val="Compact"/>
      </w:pPr>
      <w:r>
        <w:rPr>
          <w:bCs/>
          <w:b/>
        </w:rPr>
        <w:t xml:space="preserve">Salario mediano por hora: USD $22.08</w:t>
      </w:r>
    </w:p>
    <w:p>
      <w:pPr>
        <w:numPr>
          <w:ilvl w:val="0"/>
          <w:numId w:val="1012"/>
        </w:numPr>
        <w:pStyle w:val="Compact"/>
      </w:pPr>
      <w:r>
        <w:rPr>
          <w:bCs/>
          <w:b/>
        </w:rPr>
        <w:t xml:space="preserve">Salario mediano anual: USD $45,930</w:t>
      </w:r>
    </w:p>
    <w:p>
      <w:pPr>
        <w:pStyle w:val="FirstParagraph"/>
      </w:pPr>
      <w:r>
        <w:t xml:space="preserve">O*NET también reporta aproximadamente</w:t>
      </w:r>
      <w:r>
        <w:t xml:space="preserve"> </w:t>
      </w:r>
      <w:r>
        <w:rPr>
          <w:bCs/>
          <w:b/>
        </w:rPr>
        <w:t xml:space="preserve">449,600 trabajadores en 2024</w:t>
      </w:r>
      <w:r>
        <w:t xml:space="preserve">, crecimiento proyectado de</w:t>
      </w:r>
      <w:r>
        <w:t xml:space="preserve"> </w:t>
      </w:r>
      <w:r>
        <w:rPr>
          <w:bCs/>
          <w:b/>
        </w:rPr>
        <w:t xml:space="preserve">5% a 6% entre 2024 y 2034</w:t>
      </w:r>
      <w:r>
        <w:t xml:space="preserve"> </w:t>
      </w:r>
      <w:r>
        <w:t xml:space="preserve">y aproximadamente</w:t>
      </w:r>
      <w:r>
        <w:t xml:space="preserve"> </w:t>
      </w:r>
      <w:r>
        <w:rPr>
          <w:bCs/>
          <w:b/>
        </w:rPr>
        <w:t xml:space="preserve">50,600 vacantes por año</w:t>
      </w:r>
      <w:r>
        <w:t xml:space="preserve"> </w:t>
      </w:r>
      <w:r>
        <w:t xml:space="preserve">durante la década.</w:t>
      </w:r>
    </w:p>
    <w:p>
      <w:pPr>
        <w:pStyle w:val="BodyText"/>
      </w:pPr>
      <w:r>
        <w:t xml:space="preserve">Son cifras ocupacionales nacionales. No son salarios iniciales garantizados y pueden variar por empleador, región, educación, horario y población atendida.</w:t>
      </w:r>
    </w:p>
    <w:bookmarkEnd w:id="39"/>
    <w:bookmarkStart w:id="40" w:name="Xde98123bd42d691753bea3bda6844996797ec0d"/>
    <w:p>
      <w:pPr>
        <w:pStyle w:val="Heading3"/>
      </w:pPr>
      <w:r>
        <w:t xml:space="preserve">Estados Unidos — estimación privada actual del mercado</w:t>
      </w:r>
    </w:p>
    <w:p>
      <w:pPr>
        <w:pStyle w:val="FirstParagraph"/>
      </w:pPr>
      <w:r>
        <w:t xml:space="preserve">Indeed reportó un salario base promedio de aproximadamente</w:t>
      </w:r>
      <w:r>
        <w:t xml:space="preserve"> </w:t>
      </w:r>
      <w:r>
        <w:rPr>
          <w:bCs/>
          <w:b/>
        </w:rPr>
        <w:t xml:space="preserve">USD $21.40 por hora</w:t>
      </w:r>
      <w:r>
        <w:t xml:space="preserve"> </w:t>
      </w:r>
      <w:r>
        <w:t xml:space="preserve">para el título más estrecho</w:t>
      </w:r>
      <w:r>
        <w:t xml:space="preserve"> </w:t>
      </w:r>
      <w:r>
        <w:rPr>
          <w:iCs/>
          <w:i/>
        </w:rPr>
        <w:t xml:space="preserve">Social Services Assistant</w:t>
      </w:r>
      <w:r>
        <w:t xml:space="preserve">, basado en aproximadamente 1,200 salarios de publicaciones de empleo de los 36 meses anteriores y actualizado el</w:t>
      </w:r>
      <w:r>
        <w:t xml:space="preserve"> </w:t>
      </w:r>
      <w:r>
        <w:rPr>
          <w:bCs/>
          <w:b/>
        </w:rPr>
        <w:t xml:space="preserve">1 de agosto de 2026</w:t>
      </w:r>
      <w:r>
        <w:t xml:space="preserve">.</w:t>
      </w:r>
    </w:p>
    <w:p>
      <w:pPr>
        <w:pStyle w:val="BodyText"/>
      </w:pPr>
      <w:r>
        <w:t xml:space="preserve">Esta es una</w:t>
      </w:r>
      <w:r>
        <w:t xml:space="preserve"> </w:t>
      </w:r>
      <w:r>
        <w:rPr>
          <w:bCs/>
          <w:b/>
        </w:rPr>
        <w:t xml:space="preserve">estimación no gubernamental basada en publicaciones de empleo</w:t>
      </w:r>
      <w:r>
        <w:t xml:space="preserve">, no la mediana ocupacional oficial de BLS/O*NET. No combine ambos datos como si fueran la misma fuente.</w:t>
      </w:r>
    </w:p>
    <w:bookmarkEnd w:id="40"/>
    <w:bookmarkStart w:id="41" w:name="canadá--datos-oficiales"/>
    <w:p>
      <w:pPr>
        <w:pStyle w:val="Heading3"/>
      </w:pPr>
      <w:r>
        <w:t xml:space="preserve">Canadá — datos oficiales</w:t>
      </w:r>
    </w:p>
    <w:p>
      <w:pPr>
        <w:pStyle w:val="FirstParagraph"/>
      </w:pPr>
      <w:r>
        <w:t xml:space="preserve">Government of Canada Job Bank reporta salarios nacionales para NOC 42201, actualizados el</w:t>
      </w:r>
      <w:r>
        <w:t xml:space="preserve"> </w:t>
      </w:r>
      <w:r>
        <w:rPr>
          <w:bCs/>
          <w:b/>
        </w:rPr>
        <w:t xml:space="preserve">19 de noviembre de 2025</w:t>
      </w:r>
      <w:r>
        <w:t xml:space="preserve">, de aproximadamente:</w:t>
      </w:r>
    </w:p>
    <w:p>
      <w:pPr>
        <w:numPr>
          <w:ilvl w:val="0"/>
          <w:numId w:val="1013"/>
        </w:numPr>
        <w:pStyle w:val="Compact"/>
      </w:pPr>
      <w:r>
        <w:rPr>
          <w:bCs/>
          <w:b/>
        </w:rPr>
        <w:t xml:space="preserve">CAD $19.00/hora — bajo</w:t>
      </w:r>
    </w:p>
    <w:p>
      <w:pPr>
        <w:numPr>
          <w:ilvl w:val="0"/>
          <w:numId w:val="1013"/>
        </w:numPr>
        <w:pStyle w:val="Compact"/>
      </w:pPr>
      <w:r>
        <w:rPr>
          <w:bCs/>
          <w:b/>
        </w:rPr>
        <w:t xml:space="preserve">CAD $26.00/hora — mediano</w:t>
      </w:r>
    </w:p>
    <w:p>
      <w:pPr>
        <w:numPr>
          <w:ilvl w:val="0"/>
          <w:numId w:val="1013"/>
        </w:numPr>
        <w:pStyle w:val="Compact"/>
      </w:pPr>
      <w:r>
        <w:rPr>
          <w:bCs/>
          <w:b/>
        </w:rPr>
        <w:t xml:space="preserve">CAD $36.06/hora — alto</w:t>
      </w:r>
    </w:p>
    <w:p>
      <w:pPr>
        <w:pStyle w:val="FirstParagraph"/>
      </w:pPr>
      <w:r>
        <w:t xml:space="preserve">El período de referencia salarial subyacente es 2023–2024. Los salarios provinciales y regionales varían considerablemente.</w:t>
      </w:r>
    </w:p>
    <w:bookmarkEnd w:id="41"/>
    <w:bookmarkStart w:id="42" w:name="colombia-1"/>
    <w:p>
      <w:pPr>
        <w:pStyle w:val="Heading3"/>
      </w:pPr>
      <w:r>
        <w:t xml:space="preserve">Colombia</w:t>
      </w:r>
    </w:p>
    <w:p>
      <w:pPr>
        <w:pStyle w:val="FirstParagraph"/>
      </w:pPr>
      <w:r>
        <w:t xml:space="preserve">En la investigación controlada no se identificó una serie salarial oficial nacional actual y directamente comparable que corresponda de forma limpia a la Guía 59. No invente una cifra salarial nacional.</w:t>
      </w:r>
    </w:p>
    <w:p>
      <w:pPr>
        <w:pStyle w:val="BodyText"/>
      </w:pPr>
      <w:r>
        <w:t xml:space="preserve">Use vacantes actuales de la Agencia Pública de Empleo del SENA y otras publicaciones locales verificadas para evaluar remuneración, horario, tipo de contrato y requisitos en la ciudad o departamento donde planea trabajar.</w:t>
      </w:r>
    </w:p>
    <w:bookmarkEnd w:id="42"/>
    <w:bookmarkEnd w:id="43"/>
    <w:bookmarkStart w:id="44"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Revise 15–20 vacantes locales. Registre títulos recurrentes, educación, requisitos de conducción, antecedentes, sistemas de documentación, poblaciones atendidas y horarios.</w:t>
      </w:r>
    </w:p>
    <w:p>
      <w:pPr>
        <w:pStyle w:val="BodyText"/>
      </w:pPr>
      <w:r>
        <w:rPr>
          <w:bCs/>
          <w:b/>
        </w:rPr>
        <w:t xml:space="preserve">Semanas 3–4:</w:t>
      </w:r>
      <w:r>
        <w:t xml:space="preserve"> </w:t>
      </w:r>
      <w:r>
        <w:t xml:space="preserve">Construya un mapa de recursos locales para vivienda, alimentación, empleo, discapacidad, envejecimiento, juventud, familia, salud, transporte, ayuda jurídica y crisis. Aprenda qué hace realmente cada organización y cómo funcionan las referencias.</w:t>
      </w:r>
    </w:p>
    <w:p>
      <w:pPr>
        <w:pStyle w:val="BodyText"/>
      </w:pPr>
      <w:r>
        <w:rPr>
          <w:bCs/>
          <w:b/>
        </w:rPr>
        <w:t xml:space="preserve">Semanas 5–6:</w:t>
      </w:r>
      <w:r>
        <w:t xml:space="preserve"> </w:t>
      </w:r>
      <w:r>
        <w:t xml:space="preserve">Practique escucha activa, explicación en lenguaje sencillo, redacción objetiva de notas, límites profesionales, privacidad y documentación básica con escenarios ficticios.</w:t>
      </w:r>
    </w:p>
    <w:p>
      <w:pPr>
        <w:pStyle w:val="BodyText"/>
      </w:pPr>
      <w:r>
        <w:rPr>
          <w:bCs/>
          <w:b/>
        </w:rPr>
        <w:t xml:space="preserve">Semanas 7–8:</w:t>
      </w:r>
      <w:r>
        <w:t xml:space="preserve"> </w:t>
      </w:r>
      <w:r>
        <w:t xml:space="preserve">Complete formación pública o reconocida por empleadores en salvaguarda, trauma, desescalamiento, inclusión de discapacidad, privacidad digital o navegación de recursos comunitarios cuando sea apropiado.</w:t>
      </w:r>
    </w:p>
    <w:p>
      <w:pPr>
        <w:pStyle w:val="BodyText"/>
      </w:pPr>
      <w:r>
        <w:rPr>
          <w:bCs/>
          <w:b/>
        </w:rPr>
        <w:t xml:space="preserve">Semanas 9–10:</w:t>
      </w:r>
      <w:r>
        <w:t xml:space="preserve"> </w:t>
      </w:r>
      <w:r>
        <w:t xml:space="preserve">Desarrolle experiencia supervisada mediante voluntariado, programas comunitarios, servicio al cliente, apoyo administrativo, refugios, discapacidad, juventud, personas mayores u otros entornos relevantes.</w:t>
      </w:r>
    </w:p>
    <w:p>
      <w:pPr>
        <w:pStyle w:val="BodyText"/>
      </w:pPr>
      <w:r>
        <w:rPr>
          <w:bCs/>
          <w:b/>
        </w:rPr>
        <w:t xml:space="preserve">Semanas 11–12:</w:t>
      </w:r>
      <w:r>
        <w:t xml:space="preserve"> </w:t>
      </w:r>
      <w:r>
        <w:t xml:space="preserve">Postúlese a cargos compatibles con su educación y experiencia reales. Prepare ejemplos que demuestren confiabilidad, documentación, empatía, límites, navegación de recursos y escalamiento apropiado.</w:t>
      </w:r>
    </w:p>
    <w:bookmarkEnd w:id="44"/>
    <w:bookmarkStart w:id="45" w:name="Xfa8f541ae4c013d733e297ba7281756694f69c0"/>
    <w:p>
      <w:pPr>
        <w:pStyle w:val="Heading2"/>
      </w:pPr>
      <w:r>
        <w:t xml:space="preserve">Cómo construir experiencia sin tener todavía el título</w:t>
      </w:r>
    </w:p>
    <w:p>
      <w:pPr>
        <w:pStyle w:val="FirstParagraph"/>
      </w:pPr>
      <w:r>
        <w:t xml:space="preserve">La experiencia transferible puede provenir de:</w:t>
      </w:r>
    </w:p>
    <w:p>
      <w:pPr>
        <w:numPr>
          <w:ilvl w:val="0"/>
          <w:numId w:val="1014"/>
        </w:numPr>
        <w:pStyle w:val="Compact"/>
      </w:pPr>
      <w:r>
        <w:t xml:space="preserve">voluntariado comunitario;</w:t>
      </w:r>
    </w:p>
    <w:p>
      <w:pPr>
        <w:numPr>
          <w:ilvl w:val="0"/>
          <w:numId w:val="1014"/>
        </w:numPr>
        <w:pStyle w:val="Compact"/>
      </w:pPr>
      <w:r>
        <w:t xml:space="preserve">bancos de alimentos o centros de recursos;</w:t>
      </w:r>
    </w:p>
    <w:p>
      <w:pPr>
        <w:numPr>
          <w:ilvl w:val="0"/>
          <w:numId w:val="1014"/>
        </w:numPr>
        <w:pStyle w:val="Compact"/>
      </w:pPr>
      <w:r>
        <w:t xml:space="preserve">apoyo en vivienda o refugios;</w:t>
      </w:r>
    </w:p>
    <w:p>
      <w:pPr>
        <w:numPr>
          <w:ilvl w:val="0"/>
          <w:numId w:val="1014"/>
        </w:numPr>
        <w:pStyle w:val="Compact"/>
      </w:pPr>
      <w:r>
        <w:t xml:space="preserve">programas de discapacidad;</w:t>
      </w:r>
    </w:p>
    <w:p>
      <w:pPr>
        <w:numPr>
          <w:ilvl w:val="0"/>
          <w:numId w:val="1014"/>
        </w:numPr>
        <w:pStyle w:val="Compact"/>
      </w:pPr>
      <w:r>
        <w:t xml:space="preserve">servicios para personas mayores;</w:t>
      </w:r>
    </w:p>
    <w:p>
      <w:pPr>
        <w:numPr>
          <w:ilvl w:val="0"/>
          <w:numId w:val="1014"/>
        </w:numPr>
        <w:pStyle w:val="Compact"/>
      </w:pPr>
      <w:r>
        <w:t xml:space="preserve">programas juveniles;</w:t>
      </w:r>
    </w:p>
    <w:p>
      <w:pPr>
        <w:numPr>
          <w:ilvl w:val="0"/>
          <w:numId w:val="1014"/>
        </w:numPr>
        <w:pStyle w:val="Compact"/>
      </w:pPr>
      <w:r>
        <w:t xml:space="preserve">servicio al cliente;</w:t>
      </w:r>
    </w:p>
    <w:p>
      <w:pPr>
        <w:numPr>
          <w:ilvl w:val="0"/>
          <w:numId w:val="1014"/>
        </w:numPr>
        <w:pStyle w:val="Compact"/>
      </w:pPr>
      <w:r>
        <w:t xml:space="preserve">administración de salud;</w:t>
      </w:r>
    </w:p>
    <w:p>
      <w:pPr>
        <w:numPr>
          <w:ilvl w:val="0"/>
          <w:numId w:val="1014"/>
        </w:numPr>
        <w:pStyle w:val="Compact"/>
      </w:pPr>
      <w:r>
        <w:t xml:space="preserve">recepción y programación de citas;</w:t>
      </w:r>
    </w:p>
    <w:p>
      <w:pPr>
        <w:numPr>
          <w:ilvl w:val="0"/>
          <w:numId w:val="1014"/>
        </w:numPr>
        <w:pStyle w:val="Compact"/>
      </w:pPr>
      <w:r>
        <w:t xml:space="preserve">cuidado de personas;</w:t>
      </w:r>
    </w:p>
    <w:p>
      <w:pPr>
        <w:numPr>
          <w:ilvl w:val="0"/>
          <w:numId w:val="1014"/>
        </w:numPr>
        <w:pStyle w:val="Compact"/>
      </w:pPr>
      <w:r>
        <w:t xml:space="preserve">organizaciones comunitarias o de fe;</w:t>
      </w:r>
    </w:p>
    <w:p>
      <w:pPr>
        <w:numPr>
          <w:ilvl w:val="0"/>
          <w:numId w:val="1014"/>
        </w:numPr>
        <w:pStyle w:val="Compact"/>
      </w:pPr>
      <w:r>
        <w:t xml:space="preserve">apoyo escolar; o</w:t>
      </w:r>
    </w:p>
    <w:p>
      <w:pPr>
        <w:numPr>
          <w:ilvl w:val="0"/>
          <w:numId w:val="1014"/>
        </w:numPr>
        <w:pStyle w:val="Compact"/>
      </w:pPr>
      <w:r>
        <w:t xml:space="preserve">programas de empleo y workforce.</w:t>
      </w:r>
    </w:p>
    <w:p>
      <w:pPr>
        <w:pStyle w:val="FirstParagraph"/>
      </w:pPr>
      <w:r>
        <w:t xml:space="preserve">Describa su experiencia con precisión. Evidencia útil incluye registros correctos, referencias exitosas, volumen de atención, asistencia confiable, apoyo lingüístico, logística de talleres, desescalamiento bajo supervisión o ayuda en procesos rutinarios.</w:t>
      </w:r>
    </w:p>
    <w:p>
      <w:pPr>
        <w:pStyle w:val="BodyText"/>
      </w:pPr>
      <w:r>
        <w:t xml:space="preserve">No afirme consejería clínica, licencia de trabajo social, autoridad de gestión de casos, adjudicación de beneficios, mando de crisis ni experiencia jurídica que no tenga.</w:t>
      </w:r>
    </w:p>
    <w:bookmarkEnd w:id="45"/>
    <w:bookmarkStart w:id="46" w:name="avance-profesional"/>
    <w:p>
      <w:pPr>
        <w:pStyle w:val="Heading2"/>
      </w:pPr>
      <w:r>
        <w:t xml:space="preserve">Avance profesional</w:t>
      </w:r>
    </w:p>
    <w:p>
      <w:pPr>
        <w:pStyle w:val="FirstParagraph"/>
      </w:pPr>
      <w:r>
        <w:t xml:space="preserve">Los siguientes pasos pueden incluir asistente senior de servicios humanos, case aide, trabajador de apoyo comunitario, outreach worker, navegador de vivienda, apoyo familiar, coordinador de discapacidad, trabajador de servicios de empleo, coordinador de programas, especialista de admisión u otros cargos comunitarios.</w:t>
      </w:r>
    </w:p>
    <w:p>
      <w:pPr>
        <w:pStyle w:val="BodyText"/>
      </w:pPr>
      <w:r>
        <w:t xml:space="preserve">Con educación adicional y credenciales específicas de la jurisdicción, algunas personas avanzan hacia trabajo social, consejería, rehabilitación, administración pública, desarrollo comunitario, salud conductual u otras profesiones relacionadas.</w:t>
      </w:r>
    </w:p>
    <w:p>
      <w:pPr>
        <w:pStyle w:val="BodyText"/>
      </w:pPr>
      <w:r>
        <w:t xml:space="preserve">No asuma que la experiencia por sí sola concede un título profesional protegido. Verifique requisitos legales y educativos antes de matricularse o presentarse bajo ese título.</w:t>
      </w:r>
    </w:p>
    <w:bookmarkEnd w:id="46"/>
    <w:bookmarkStart w:id="47" w:name="uso-responsable-de-ia-en-este-trabajo"/>
    <w:p>
      <w:pPr>
        <w:pStyle w:val="Heading2"/>
      </w:pPr>
      <w:r>
        <w:t xml:space="preserve">Uso responsable de IA en este trabajo</w:t>
      </w:r>
    </w:p>
    <w:p>
      <w:pPr>
        <w:pStyle w:val="FirstParagraph"/>
      </w:pPr>
      <w:r>
        <w:t xml:space="preserve">La IA puede ser útil para:</w:t>
      </w:r>
    </w:p>
    <w:p>
      <w:pPr>
        <w:numPr>
          <w:ilvl w:val="0"/>
          <w:numId w:val="1015"/>
        </w:numPr>
        <w:pStyle w:val="Compact"/>
      </w:pPr>
      <w:r>
        <w:t xml:space="preserve">practicar preguntas de entrevista;</w:t>
      </w:r>
    </w:p>
    <w:p>
      <w:pPr>
        <w:numPr>
          <w:ilvl w:val="0"/>
          <w:numId w:val="1015"/>
        </w:numPr>
        <w:pStyle w:val="Compact"/>
      </w:pPr>
      <w:r>
        <w:t xml:space="preserve">explicar terminología general no sensible;</w:t>
      </w:r>
    </w:p>
    <w:p>
      <w:pPr>
        <w:numPr>
          <w:ilvl w:val="0"/>
          <w:numId w:val="1015"/>
        </w:numPr>
        <w:pStyle w:val="Compact"/>
      </w:pPr>
      <w:r>
        <w:t xml:space="preserve">redactar notas genéricas de estudio;</w:t>
      </w:r>
    </w:p>
    <w:p>
      <w:pPr>
        <w:numPr>
          <w:ilvl w:val="0"/>
          <w:numId w:val="1015"/>
        </w:numPr>
        <w:pStyle w:val="Compact"/>
      </w:pPr>
      <w:r>
        <w:t xml:space="preserve">crear escenarios ficticios de práctica; o</w:t>
      </w:r>
    </w:p>
    <w:p>
      <w:pPr>
        <w:numPr>
          <w:ilvl w:val="0"/>
          <w:numId w:val="1015"/>
        </w:numPr>
        <w:pStyle w:val="Compact"/>
      </w:pPr>
      <w:r>
        <w:t xml:space="preserve">organizar una lista genérica de recursos.</w:t>
      </w:r>
    </w:p>
    <w:p>
      <w:pPr>
        <w:pStyle w:val="FirstParagraph"/>
      </w:pPr>
      <w:r>
        <w:t xml:space="preserve">La IA</w:t>
      </w:r>
      <w:r>
        <w:t xml:space="preserve"> </w:t>
      </w:r>
      <w:r>
        <w:rPr>
          <w:bCs/>
          <w:b/>
        </w:rPr>
        <w:t xml:space="preserve">no debe</w:t>
      </w:r>
      <w:r>
        <w:t xml:space="preserve"> </w:t>
      </w:r>
      <w:r>
        <w:t xml:space="preserve">sustituir el juicio profesional, evaluación de crisis, decisiones de elegibilidad de beneficios, asesoría jurídica, diagnóstico clínico, decisiones de salvaguarda, decisiones de reporte obligatorio ni procedimientos aprobados de gestión de casos.</w:t>
      </w:r>
    </w:p>
    <w:p>
      <w:pPr>
        <w:pStyle w:val="BodyText"/>
      </w:pPr>
      <w:r>
        <w:t xml:space="preserve">No introduzca en herramientas públicas de IA registros identificables de usuarios, nombres, direcciones, fechas de nacimiento, información médica o de salud mental, datos migratorios, información de beneficios, información familiar, credenciales, notas de caso u otros datos protegidos salvo que la organización haya aprobado expresamente ese uso y existan los controles requeridos de privacidad y seguridad.</w:t>
      </w:r>
    </w:p>
    <w:p>
      <w:pPr>
        <w:pStyle w:val="BodyText"/>
      </w:pPr>
      <w:r>
        <w:t xml:space="preserve">Verifique cualquier recurso, resumen de políticas, contacto o afirmación jurídica generado por IA antes de usarlo. Los recursos comunitarios, reglas de programas, teléfonos, criterios de elegibilidad y leyes pueden cambiar.</w:t>
      </w:r>
    </w:p>
    <w:bookmarkEnd w:id="47"/>
    <w:bookmarkStart w:id="48" w:name="X838856dc10feccea0c4ce703e3cb5417e51c5f2"/>
    <w:p>
      <w:pPr>
        <w:pStyle w:val="Heading2"/>
      </w:pPr>
      <w:r>
        <w:t xml:space="preserve">Fundamentos de ciberseguridad y privacidad</w:t>
      </w:r>
    </w:p>
    <w:p>
      <w:pPr>
        <w:pStyle w:val="FirstParagraph"/>
      </w:pPr>
      <w:r>
        <w:t xml:space="preserve">Las organizaciones de servicios humanos pueden usar sistemas de gestión de casos, unidades compartidas, correo electrónico, mensajería, portales de beneficios, sistemas de salud, portales gubernamentales y dispositivos móviles.</w:t>
      </w:r>
    </w:p>
    <w:p>
      <w:pPr>
        <w:pStyle w:val="BodyText"/>
      </w:pPr>
      <w:r>
        <w:t xml:space="preserve">Siga las reglas del empleador para:</w:t>
      </w:r>
    </w:p>
    <w:p>
      <w:pPr>
        <w:numPr>
          <w:ilvl w:val="0"/>
          <w:numId w:val="1016"/>
        </w:numPr>
        <w:pStyle w:val="Compact"/>
      </w:pPr>
      <w:r>
        <w:t xml:space="preserve">autenticación multifactor;</w:t>
      </w:r>
    </w:p>
    <w:p>
      <w:pPr>
        <w:numPr>
          <w:ilvl w:val="0"/>
          <w:numId w:val="1016"/>
        </w:numPr>
        <w:pStyle w:val="Compact"/>
      </w:pPr>
      <w:r>
        <w:t xml:space="preserve">contraseñas y uso compartido de credenciales;</w:t>
      </w:r>
    </w:p>
    <w:p>
      <w:pPr>
        <w:numPr>
          <w:ilvl w:val="0"/>
          <w:numId w:val="1016"/>
        </w:numPr>
        <w:pStyle w:val="Compact"/>
      </w:pPr>
      <w:r>
        <w:t xml:space="preserve">dispositivos y aplicaciones aprobados;</w:t>
      </w:r>
    </w:p>
    <w:p>
      <w:pPr>
        <w:numPr>
          <w:ilvl w:val="0"/>
          <w:numId w:val="1016"/>
        </w:numPr>
        <w:pStyle w:val="Compact"/>
      </w:pPr>
      <w:r>
        <w:t xml:space="preserve">phishing y enlaces sospechosos;</w:t>
      </w:r>
    </w:p>
    <w:p>
      <w:pPr>
        <w:numPr>
          <w:ilvl w:val="0"/>
          <w:numId w:val="1016"/>
        </w:numPr>
        <w:pStyle w:val="Compact"/>
      </w:pPr>
      <w:r>
        <w:t xml:space="preserve">intercambio cifrado o aprobado de archivos;</w:t>
      </w:r>
    </w:p>
    <w:p>
      <w:pPr>
        <w:numPr>
          <w:ilvl w:val="0"/>
          <w:numId w:val="1016"/>
        </w:numPr>
        <w:pStyle w:val="Compact"/>
      </w:pPr>
      <w:r>
        <w:t xml:space="preserve">verificación de identidad del usuario;</w:t>
      </w:r>
    </w:p>
    <w:p>
      <w:pPr>
        <w:numPr>
          <w:ilvl w:val="0"/>
          <w:numId w:val="1016"/>
        </w:numPr>
        <w:pStyle w:val="Compact"/>
      </w:pPr>
      <w:r>
        <w:t xml:space="preserve">acceso basado en funciones;</w:t>
      </w:r>
    </w:p>
    <w:p>
      <w:pPr>
        <w:numPr>
          <w:ilvl w:val="0"/>
          <w:numId w:val="1016"/>
        </w:numPr>
        <w:pStyle w:val="Compact"/>
      </w:pPr>
      <w:r>
        <w:t xml:space="preserve">impresión y registros físicos;</w:t>
      </w:r>
    </w:p>
    <w:p>
      <w:pPr>
        <w:numPr>
          <w:ilvl w:val="0"/>
          <w:numId w:val="1016"/>
        </w:numPr>
        <w:pStyle w:val="Compact"/>
      </w:pPr>
      <w:r>
        <w:t xml:space="preserve">trabajo remoto;</w:t>
      </w:r>
    </w:p>
    <w:p>
      <w:pPr>
        <w:numPr>
          <w:ilvl w:val="0"/>
          <w:numId w:val="1016"/>
        </w:numPr>
        <w:pStyle w:val="Compact"/>
      </w:pPr>
      <w:r>
        <w:t xml:space="preserve">reporte de incidentes; y</w:t>
      </w:r>
    </w:p>
    <w:p>
      <w:pPr>
        <w:numPr>
          <w:ilvl w:val="0"/>
          <w:numId w:val="1016"/>
        </w:numPr>
        <w:pStyle w:val="Compact"/>
      </w:pPr>
      <w:r>
        <w:t xml:space="preserve">eliminación de información sensible.</w:t>
      </w:r>
    </w:p>
    <w:p>
      <w:pPr>
        <w:pStyle w:val="FirstParagraph"/>
      </w:pPr>
      <w:r>
        <w:t xml:space="preserve">Tenga especial cuidado con solicitudes urgentes para cambiar datos bancarios de usuarios, redirigir beneficios, restablecer credenciales, compartir registros o enviar documentos sensibles por un canal inesperado. Verifique mediante el proceso aprobado antes de actuar.</w:t>
      </w:r>
    </w:p>
    <w:bookmarkEnd w:id="48"/>
    <w:bookmarkStart w:id="49" w:name="Xadaf4c55f2a05228f0e7a57a6c8a13ef2ae3237"/>
    <w:p>
      <w:pPr>
        <w:pStyle w:val="Heading2"/>
      </w:pPr>
      <w:r>
        <w:t xml:space="preserve">Evitar estafas y ofertas de formación débiles</w:t>
      </w:r>
    </w:p>
    <w:p>
      <w:pPr>
        <w:pStyle w:val="FirstParagraph"/>
      </w:pPr>
      <w:r>
        <w:t xml:space="preserve">Tenga precaución cuando una escuela, reclutador o vendedor de capacitación:</w:t>
      </w:r>
    </w:p>
    <w:p>
      <w:pPr>
        <w:numPr>
          <w:ilvl w:val="0"/>
          <w:numId w:val="1017"/>
        </w:numPr>
        <w:pStyle w:val="Compact"/>
      </w:pPr>
      <w:r>
        <w:t xml:space="preserve">garantice empleo o un salario específico;</w:t>
      </w:r>
    </w:p>
    <w:p>
      <w:pPr>
        <w:numPr>
          <w:ilvl w:val="0"/>
          <w:numId w:val="1017"/>
        </w:numPr>
        <w:pStyle w:val="Compact"/>
      </w:pPr>
      <w:r>
        <w:t xml:space="preserve">afirme que un certificado privado es legalmente obligatorio sin evidencia oficial;</w:t>
      </w:r>
    </w:p>
    <w:p>
      <w:pPr>
        <w:numPr>
          <w:ilvl w:val="0"/>
          <w:numId w:val="1017"/>
        </w:numPr>
        <w:pStyle w:val="Compact"/>
      </w:pPr>
      <w:r>
        <w:t xml:space="preserve">lo presione para pagar de inmediato;</w:t>
      </w:r>
    </w:p>
    <w:p>
      <w:pPr>
        <w:numPr>
          <w:ilvl w:val="0"/>
          <w:numId w:val="1017"/>
        </w:numPr>
        <w:pStyle w:val="Compact"/>
      </w:pPr>
      <w:r>
        <w:t xml:space="preserve">oculte costo total, condiciones de financiación, obligaciones de prácticas o reglas de reembolso;</w:t>
      </w:r>
    </w:p>
    <w:p>
      <w:pPr>
        <w:numPr>
          <w:ilvl w:val="0"/>
          <w:numId w:val="1017"/>
        </w:numPr>
        <w:pStyle w:val="Compact"/>
      </w:pPr>
      <w:r>
        <w:t xml:space="preserve">no pueda explicar qué empleadores reconocen el programa;</w:t>
      </w:r>
    </w:p>
    <w:p>
      <w:pPr>
        <w:numPr>
          <w:ilvl w:val="0"/>
          <w:numId w:val="1017"/>
        </w:numPr>
        <w:pStyle w:val="Compact"/>
      </w:pPr>
      <w:r>
        <w:t xml:space="preserve">solicite pago por una oferta de trabajo o equipo mediante tarjetas de regalo o criptomonedas;</w:t>
      </w:r>
    </w:p>
    <w:p>
      <w:pPr>
        <w:numPr>
          <w:ilvl w:val="0"/>
          <w:numId w:val="1017"/>
        </w:numPr>
        <w:pStyle w:val="Compact"/>
      </w:pPr>
      <w:r>
        <w:t xml:space="preserve">prometa beneficios gubernamentales o licencia profesional que no controla; o</w:t>
      </w:r>
    </w:p>
    <w:p>
      <w:pPr>
        <w:numPr>
          <w:ilvl w:val="0"/>
          <w:numId w:val="1017"/>
        </w:numPr>
        <w:pStyle w:val="Compact"/>
      </w:pPr>
      <w:r>
        <w:t xml:space="preserve">solicite identidad o datos bancarios sensibles antes de que usted haya verificado la organización.</w:t>
      </w:r>
    </w:p>
    <w:p>
      <w:pPr>
        <w:pStyle w:val="FirstParagraph"/>
      </w:pPr>
      <w:r>
        <w:t xml:space="preserve">Use fuentes oficiales del gobierno, empleadores, reguladores, instituciones públicas, sistemas públicos de empleo o proveedores reconocidos de formación profesional para verificar afirmaciones.</w:t>
      </w:r>
    </w:p>
    <w:bookmarkEnd w:id="49"/>
    <w:bookmarkStart w:id="50" w:name="cuándo-detenerse-antes-de-gastar-dinero"/>
    <w:p>
      <w:pPr>
        <w:pStyle w:val="Heading2"/>
      </w:pPr>
      <w:r>
        <w:t xml:space="preserve">Cuándo detenerse antes de gastar dinero</w:t>
      </w:r>
    </w:p>
    <w:p>
      <w:pPr>
        <w:pStyle w:val="FirstParagraph"/>
      </w:pPr>
      <w:r>
        <w:t xml:space="preserve">Pause o retrase la matrícula cuando:</w:t>
      </w:r>
    </w:p>
    <w:p>
      <w:pPr>
        <w:numPr>
          <w:ilvl w:val="0"/>
          <w:numId w:val="1018"/>
        </w:numPr>
        <w:pStyle w:val="Compact"/>
      </w:pPr>
      <w:r>
        <w:t xml:space="preserve">los empleadores locales no soliciten la credencial;</w:t>
      </w:r>
    </w:p>
    <w:p>
      <w:pPr>
        <w:numPr>
          <w:ilvl w:val="0"/>
          <w:numId w:val="1018"/>
        </w:numPr>
        <w:pStyle w:val="Compact"/>
      </w:pPr>
      <w:r>
        <w:t xml:space="preserve">el proveedor no revele por escrito el costo total y las reglas de reembolso;</w:t>
      </w:r>
    </w:p>
    <w:p>
      <w:pPr>
        <w:numPr>
          <w:ilvl w:val="0"/>
          <w:numId w:val="1018"/>
        </w:numPr>
        <w:pStyle w:val="Compact"/>
      </w:pPr>
      <w:r>
        <w:t xml:space="preserve">una opción pública, pagada por el empleador, financiada por workforce o de menor costo pueda cubrir la misma habilidad;</w:t>
      </w:r>
    </w:p>
    <w:p>
      <w:pPr>
        <w:numPr>
          <w:ilvl w:val="0"/>
          <w:numId w:val="1018"/>
        </w:numPr>
        <w:pStyle w:val="Compact"/>
      </w:pPr>
      <w:r>
        <w:t xml:space="preserve">no haya confirmado si el título está regulado donde pretende trabajar;</w:t>
      </w:r>
    </w:p>
    <w:p>
      <w:pPr>
        <w:numPr>
          <w:ilvl w:val="0"/>
          <w:numId w:val="1018"/>
        </w:numPr>
        <w:pStyle w:val="Compact"/>
      </w:pPr>
      <w:r>
        <w:t xml:space="preserve">no haya verificado si el programa califica para el financiamiento que planea usar;</w:t>
      </w:r>
    </w:p>
    <w:p>
      <w:pPr>
        <w:numPr>
          <w:ilvl w:val="0"/>
          <w:numId w:val="1018"/>
        </w:numPr>
        <w:pStyle w:val="Compact"/>
      </w:pPr>
      <w:r>
        <w:t xml:space="preserve">las prácticas no remuneradas u horarios requeridos no sean realistas para usted; o</w:t>
      </w:r>
    </w:p>
    <w:p>
      <w:pPr>
        <w:numPr>
          <w:ilvl w:val="0"/>
          <w:numId w:val="1018"/>
        </w:numPr>
        <w:pStyle w:val="Compact"/>
      </w:pPr>
      <w:r>
        <w:t xml:space="preserve">la financiación genere una deuda difícil de pagar.</w:t>
      </w:r>
    </w:p>
    <w:bookmarkEnd w:id="50"/>
    <w:bookmarkStart w:id="67" w:name="fuentes-actuales"/>
    <w:p>
      <w:pPr>
        <w:pStyle w:val="Heading2"/>
      </w:pPr>
      <w:r>
        <w:t xml:space="preserve">Fuentes actuales</w:t>
      </w:r>
    </w:p>
    <w:p>
      <w:pPr>
        <w:pStyle w:val="FirstParagraph"/>
      </w:pPr>
      <w:r>
        <w:t xml:space="preserve">Fuentes oficiales/públicas:</w:t>
      </w:r>
    </w:p>
    <w:p>
      <w:pPr>
        <w:numPr>
          <w:ilvl w:val="0"/>
          <w:numId w:val="1019"/>
        </w:numPr>
        <w:pStyle w:val="Compact"/>
      </w:pPr>
      <w:r>
        <w:t xml:space="preserve">O*NET OnLine — Social and Human Service Assistants, 21-1093.00:</w:t>
      </w:r>
      <w:r>
        <w:t xml:space="preserve"> </w:t>
      </w:r>
      <w:hyperlink r:id="rId51">
        <w:hyperlink r:id="rId51">
          <w:r>
            <w:rPr>
              <w:rStyle w:val="Hyperlink"/>
            </w:rPr>
            <w:t xml:space="preserve">Source link</w:t>
          </w:r>
        </w:hyperlink>
      </w:hyperlink>
    </w:p>
    <w:p>
      <w:pPr>
        <w:numPr>
          <w:ilvl w:val="0"/>
          <w:numId w:val="1019"/>
        </w:numPr>
        <w:pStyle w:val="Compact"/>
      </w:pPr>
      <w:r>
        <w:t xml:space="preserve">O*NET OnLine — National wages, 21-1093.00:</w:t>
      </w:r>
      <w:r>
        <w:t xml:space="preserve"> </w:t>
      </w:r>
      <w:hyperlink r:id="rId52">
        <w:hyperlink r:id="rId52">
          <w:r>
            <w:rPr>
              <w:rStyle w:val="Hyperlink"/>
            </w:rPr>
            <w:t xml:space="preserve">Source link</w:t>
          </w:r>
        </w:hyperlink>
      </w:hyperlink>
    </w:p>
    <w:p>
      <w:pPr>
        <w:numPr>
          <w:ilvl w:val="0"/>
          <w:numId w:val="1019"/>
        </w:numPr>
        <w:pStyle w:val="Compact"/>
      </w:pPr>
      <w:r>
        <w:t xml:space="preserve">U.S. Bureau of Labor Statistics — Social and Human Service Assistants:</w:t>
      </w:r>
      <w:r>
        <w:t xml:space="preserve"> </w:t>
      </w:r>
      <w:hyperlink r:id="rId53">
        <w:hyperlink r:id="rId53">
          <w:r>
            <w:rPr>
              <w:rStyle w:val="Hyperlink"/>
            </w:rPr>
            <w:t xml:space="preserve">Source link</w:t>
          </w:r>
        </w:hyperlink>
      </w:hyperlink>
    </w:p>
    <w:p>
      <w:pPr>
        <w:numPr>
          <w:ilvl w:val="0"/>
          <w:numId w:val="1019"/>
        </w:numPr>
        <w:pStyle w:val="Compact"/>
      </w:pPr>
      <w:r>
        <w:t xml:space="preserve">CareerOneStop — WIOA-Eligible Training Program Finder:</w:t>
      </w:r>
      <w:r>
        <w:t xml:space="preserve"> </w:t>
      </w:r>
      <w:hyperlink r:id="rId54">
        <w:hyperlink r:id="rId54">
          <w:r>
            <w:rPr>
              <w:rStyle w:val="Hyperlink"/>
            </w:rPr>
            <w:t xml:space="preserve">Source link</w:t>
          </w:r>
        </w:hyperlink>
      </w:hyperlink>
    </w:p>
    <w:p>
      <w:pPr>
        <w:numPr>
          <w:ilvl w:val="0"/>
          <w:numId w:val="1019"/>
        </w:numPr>
        <w:pStyle w:val="Compact"/>
      </w:pPr>
      <w:r>
        <w:t xml:space="preserve">CareerOneStop — Find Training:</w:t>
      </w:r>
      <w:r>
        <w:t xml:space="preserve"> </w:t>
      </w:r>
      <w:hyperlink r:id="rId55">
        <w:hyperlink r:id="rId55">
          <w:r>
            <w:rPr>
              <w:rStyle w:val="Hyperlink"/>
            </w:rPr>
            <w:t xml:space="preserve">Source link</w:t>
          </w:r>
        </w:hyperlink>
      </w:hyperlink>
    </w:p>
    <w:p>
      <w:pPr>
        <w:numPr>
          <w:ilvl w:val="0"/>
          <w:numId w:val="1019"/>
        </w:numPr>
        <w:pStyle w:val="Compact"/>
      </w:pPr>
      <w:r>
        <w:t xml:space="preserve">Apprenticeship.gov:</w:t>
      </w:r>
      <w:r>
        <w:t xml:space="preserve"> </w:t>
      </w:r>
      <w:hyperlink r:id="rId56">
        <w:r>
          <w:rPr>
            <w:rStyle w:val="Hyperlink"/>
          </w:rPr>
          <w:t xml:space="preserve">https://www.apprenticeship.gov/</w:t>
        </w:r>
      </w:hyperlink>
    </w:p>
    <w:p>
      <w:pPr>
        <w:numPr>
          <w:ilvl w:val="0"/>
          <w:numId w:val="1019"/>
        </w:numPr>
        <w:pStyle w:val="Compact"/>
      </w:pPr>
      <w:r>
        <w:t xml:space="preserve">Government of Canada Job Bank — NOC 42201 national summary:</w:t>
      </w:r>
      <w:r>
        <w:t xml:space="preserve"> </w:t>
      </w:r>
      <w:hyperlink r:id="rId57">
        <w:hyperlink r:id="rId57">
          <w:r>
            <w:rPr>
              <w:rStyle w:val="Hyperlink"/>
            </w:rPr>
            <w:t xml:space="preserve">Source link</w:t>
          </w:r>
        </w:hyperlink>
      </w:hyperlink>
    </w:p>
    <w:p>
      <w:pPr>
        <w:numPr>
          <w:ilvl w:val="0"/>
          <w:numId w:val="1019"/>
        </w:numPr>
        <w:pStyle w:val="Compact"/>
      </w:pPr>
      <w:r>
        <w:t xml:space="preserve">Government of Canada Job Bank — NOC 42201 requirements:</w:t>
      </w:r>
      <w:r>
        <w:t xml:space="preserve"> </w:t>
      </w:r>
      <w:hyperlink r:id="rId58">
        <w:hyperlink r:id="rId58">
          <w:r>
            <w:rPr>
              <w:rStyle w:val="Hyperlink"/>
            </w:rPr>
            <w:t xml:space="preserve">Source link</w:t>
          </w:r>
        </w:hyperlink>
      </w:hyperlink>
    </w:p>
    <w:p>
      <w:pPr>
        <w:numPr>
          <w:ilvl w:val="0"/>
          <w:numId w:val="1019"/>
        </w:numPr>
        <w:pStyle w:val="Compact"/>
      </w:pPr>
      <w:r>
        <w:t xml:space="preserve">Government of Canada Job Bank — NOC 42201 wages:</w:t>
      </w:r>
      <w:r>
        <w:t xml:space="preserve"> </w:t>
      </w:r>
      <w:hyperlink r:id="rId59">
        <w:hyperlink r:id="rId59">
          <w:r>
            <w:rPr>
              <w:rStyle w:val="Hyperlink"/>
            </w:rPr>
            <w:t xml:space="preserve">Source link</w:t>
          </w:r>
        </w:hyperlink>
      </w:hyperlink>
    </w:p>
    <w:p>
      <w:pPr>
        <w:numPr>
          <w:ilvl w:val="0"/>
          <w:numId w:val="1019"/>
        </w:numPr>
        <w:pStyle w:val="Compact"/>
      </w:pPr>
      <w:r>
        <w:t xml:space="preserve">SENA Observatorio — CNO 4211 Asistentes en servicios social y comunitario:</w:t>
      </w:r>
      <w:r>
        <w:t xml:space="preserve"> </w:t>
      </w:r>
      <w:hyperlink r:id="rId60">
        <w:hyperlink r:id="rId60">
          <w:r>
            <w:rPr>
              <w:rStyle w:val="Hyperlink"/>
            </w:rPr>
            <w:t xml:space="preserve">Source link</w:t>
          </w:r>
        </w:hyperlink>
      </w:hyperlink>
    </w:p>
    <w:p>
      <w:pPr>
        <w:numPr>
          <w:ilvl w:val="0"/>
          <w:numId w:val="1019"/>
        </w:numPr>
        <w:pStyle w:val="Compact"/>
      </w:pPr>
      <w:r>
        <w:t xml:space="preserve">SENA APE — Auxiliar de servicio social y comunitario example:</w:t>
      </w:r>
      <w:r>
        <w:t xml:space="preserve"> </w:t>
      </w:r>
      <w:hyperlink r:id="rId61">
        <w:hyperlink r:id="rId61">
          <w:r>
            <w:rPr>
              <w:rStyle w:val="Hyperlink"/>
            </w:rPr>
            <w:t xml:space="preserve">Source link</w:t>
          </w:r>
        </w:hyperlink>
      </w:hyperlink>
    </w:p>
    <w:p>
      <w:pPr>
        <w:numPr>
          <w:ilvl w:val="0"/>
          <w:numId w:val="1019"/>
        </w:numPr>
        <w:pStyle w:val="Compact"/>
      </w:pPr>
      <w:r>
        <w:t xml:space="preserve">SENA APE — Gestor comunitario example:</w:t>
      </w:r>
      <w:r>
        <w:t xml:space="preserve"> </w:t>
      </w:r>
      <w:hyperlink r:id="rId62">
        <w:hyperlink r:id="rId62">
          <w:r>
            <w:rPr>
              <w:rStyle w:val="Hyperlink"/>
            </w:rPr>
            <w:t xml:space="preserve">Source link</w:t>
          </w:r>
        </w:hyperlink>
      </w:hyperlink>
    </w:p>
    <w:p>
      <w:pPr>
        <w:numPr>
          <w:ilvl w:val="0"/>
          <w:numId w:val="1019"/>
        </w:numPr>
        <w:pStyle w:val="Compact"/>
      </w:pPr>
      <w:r>
        <w:t xml:space="preserve">SENA Betowa — Implementación de la política de participación social en salud:</w:t>
      </w:r>
      <w:r>
        <w:t xml:space="preserve"> </w:t>
      </w:r>
      <w:hyperlink r:id="rId63">
        <w:hyperlink r:id="rId63">
          <w:r>
            <w:rPr>
              <w:rStyle w:val="Hyperlink"/>
            </w:rPr>
            <w:t xml:space="preserve">Source link</w:t>
          </w:r>
        </w:hyperlink>
      </w:hyperlink>
    </w:p>
    <w:p>
      <w:pPr>
        <w:numPr>
          <w:ilvl w:val="0"/>
          <w:numId w:val="1019"/>
        </w:numPr>
        <w:pStyle w:val="Compact"/>
      </w:pPr>
      <w:r>
        <w:t xml:space="preserve">SENA Betowa — Desarrollo de habilidades para el bienestar familiar y comunitario:</w:t>
      </w:r>
      <w:r>
        <w:t xml:space="preserve"> </w:t>
      </w:r>
      <w:hyperlink r:id="rId64">
        <w:hyperlink r:id="rId64">
          <w:r>
            <w:rPr>
              <w:rStyle w:val="Hyperlink"/>
            </w:rPr>
            <w:t xml:space="preserve">Source link</w:t>
          </w:r>
        </w:hyperlink>
      </w:hyperlink>
    </w:p>
    <w:p>
      <w:pPr>
        <w:numPr>
          <w:ilvl w:val="0"/>
          <w:numId w:val="1019"/>
        </w:numPr>
        <w:pStyle w:val="Compact"/>
      </w:pPr>
      <w:r>
        <w:t xml:space="preserve">OIT/Cinterfor:</w:t>
      </w:r>
      <w:r>
        <w:t xml:space="preserve"> </w:t>
      </w:r>
      <w:hyperlink r:id="rId65">
        <w:r>
          <w:rPr>
            <w:rStyle w:val="Hyperlink"/>
          </w:rPr>
          <w:t xml:space="preserve">https://www.oitcinterfor.org/</w:t>
        </w:r>
      </w:hyperlink>
    </w:p>
    <w:p>
      <w:pPr>
        <w:pStyle w:val="FirstParagraph"/>
      </w:pPr>
      <w:r>
        <w:t xml:space="preserve">Fuente suplementaria no gubernamental de compensación:</w:t>
      </w:r>
    </w:p>
    <w:p>
      <w:pPr>
        <w:numPr>
          <w:ilvl w:val="0"/>
          <w:numId w:val="1020"/>
        </w:numPr>
        <w:pStyle w:val="Compact"/>
      </w:pPr>
      <w:r>
        <w:t xml:space="preserve">Indeed — Social Services Assistant salary in the United States:</w:t>
      </w:r>
      <w:r>
        <w:t xml:space="preserve"> </w:t>
      </w:r>
      <w:hyperlink r:id="rId66">
        <w:hyperlink r:id="rId66">
          <w:r>
            <w:rPr>
              <w:rStyle w:val="Hyperlink"/>
            </w:rPr>
            <w:t xml:space="preserve">Source link</w:t>
          </w:r>
        </w:hyperlink>
      </w:hyperlink>
    </w:p>
    <w:bookmarkEnd w:id="67"/>
    <w:bookmarkStart w:id="68" w:name="nota-sobre-fuentes-y-revisión"/>
    <w:p>
      <w:pPr>
        <w:pStyle w:val="Heading2"/>
      </w:pPr>
      <w:r>
        <w:t xml:space="preserve">Nota sobre fuentes y revisión</w:t>
      </w:r>
    </w:p>
    <w:p>
      <w:pPr>
        <w:pStyle w:val="FirstParagraph"/>
      </w:pPr>
      <w:r>
        <w:t xml:space="preserve">Esta guía usa investigación de fuentes actuales registrada el 20 de agosto de 2026. Salarios, programas públicos, disponibilidad de formación, reglas de elegibilidad, requisitos de registro, información de proveedores de servicios y expectativas laborales locales pueden cambiar. Revise las fuentes oficiales y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legal, revisión clínica, asesoría financiera ni resultados laborales garantizados.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1" Target="https://agenciapublicadeempleo.sena.edu.co/spe-web/spe/demanda/solicitud-sintesis/3912643" TargetMode="External" /><Relationship Type="http://schemas.openxmlformats.org/officeDocument/2006/relationships/hyperlink" Id="rId62" Target="https://ape.sena.edu.co/spe-web/spe/demanda/solicitud-sintesis/4111884" TargetMode="External" /><Relationship Type="http://schemas.openxmlformats.org/officeDocument/2006/relationships/hyperlink" Id="rId64" Target="https://betowa.sena.edu.co/oferta/desarrollo-de-habilidades-para-el-bienestar-familiar-y-comunitario?location=57011001&amp;programId=144936" TargetMode="External" /><Relationship Type="http://schemas.openxmlformats.org/officeDocument/2006/relationships/hyperlink" Id="rId63" Target="https://betowa.sena.edu.co/oferta/implementacion-de-la-politica-de-participacion-social-en-salud?modality=P&amp;offertype=open&amp;programId=127774" TargetMode="External" /><Relationship Type="http://schemas.openxmlformats.org/officeDocument/2006/relationships/hyperlink" Id="rId60" Target="https://observatorio.sena.edu.co/Comportamiento/CnoDetalleFunciones?tags=4211" TargetMode="External" /><Relationship Type="http://schemas.openxmlformats.org/officeDocument/2006/relationships/hyperlink" Id="rId56" Target="https://www.apprenticeship.gov/" TargetMode="External" /><Relationship Type="http://schemas.openxmlformats.org/officeDocument/2006/relationships/hyperlink" Id="rId53" Target="https://www.bls.gov/ooh/community-and-social-service/social-and-human-service-assistants.htm"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6" Target="https://www.indeed.com/career/social-services-assistant/salaries" TargetMode="External" /><Relationship Type="http://schemas.openxmlformats.org/officeDocument/2006/relationships/hyperlink" Id="rId58" Target="https://www.jobbank.gc.ca/marketreport/requirements/5096/ca" TargetMode="External" /><Relationship Type="http://schemas.openxmlformats.org/officeDocument/2006/relationships/hyperlink" Id="rId57" Target="https://www.jobbank.gc.ca/marketreport/summary-occupation/5112/ca" TargetMode="External" /><Relationship Type="http://schemas.openxmlformats.org/officeDocument/2006/relationships/hyperlink" Id="rId59" Target="https://www.jobbank.gc.ca/wagereport/occupation/5113" TargetMode="External" /><Relationship Type="http://schemas.openxmlformats.org/officeDocument/2006/relationships/hyperlink" Id="rId65" Target="https://www.oitcinterfor.org/" TargetMode="External" /><Relationship Type="http://schemas.openxmlformats.org/officeDocument/2006/relationships/hyperlink" Id="rId52" Target="https://www.onetonline.org/link/localwages/21-1093.00" TargetMode="External" /><Relationship Type="http://schemas.openxmlformats.org/officeDocument/2006/relationships/hyperlink" Id="rId51"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2026-08-20T11:56:13Z</dcterms:created>
  <dcterms:modified xsi:type="dcterms:W3CDTF">2026-08-20T11:56:13Z</dcterms:modified>
</cp:coreProperties>
</file>

<file path=docProps/custom.xml><?xml version="1.0" encoding="utf-8"?>
<Properties xmlns="http://schemas.openxmlformats.org/officeDocument/2006/custom-properties" xmlns:vt="http://schemas.openxmlformats.org/officeDocument/2006/docPropsVTypes"/>
</file>