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c283f2f996d13eac35a237b701a0b9b94972abf"/>
    <w:p>
      <w:pPr>
        <w:pStyle w:val="Heading1"/>
      </w:pPr>
      <w:r>
        <w:t xml:space="preserve">Guía 62 — Asistente docente y auxiliar de apoyo educativo</w:t>
      </w:r>
    </w:p>
    <w:p>
      <w:pPr>
        <w:pStyle w:val="FirstParagraph"/>
      </w:pPr>
      <w:r>
        <w:rPr>
          <w:bCs/>
          <w:b/>
        </w:rPr>
        <w:t xml:space="preserve">Maestro de trabajo controlado en español latinoamericano neutro — Versión 2.0</w:t>
      </w:r>
      <w:r>
        <w:br/>
      </w:r>
      <w:r>
        <w:rPr>
          <w:bCs/>
          <w:b/>
        </w:rPr>
        <w:t xml:space="preserve">Fecha de revisión:</w:t>
      </w:r>
      <w:r>
        <w:t xml:space="preserve"> </w:t>
      </w:r>
      <w:r>
        <w:t xml:space="preserve">20 de agosto de 2026</w:t>
      </w:r>
      <w:r>
        <w:br/>
      </w:r>
      <w:r>
        <w:rPr>
          <w:bCs/>
          <w:b/>
        </w:rPr>
        <w:t xml:space="preserve">Licencia:</w:t>
      </w:r>
      <w:r>
        <w:t xml:space="preserve"> </w:t>
      </w:r>
      <w:r>
        <w:t xml:space="preserve">CC BY-NC-SA 4.0</w:t>
      </w:r>
    </w:p>
    <w:bookmarkStart w:id="20" w:name="qué-es-este-trabajo"/>
    <w:p>
      <w:pPr>
        <w:pStyle w:val="Heading2"/>
      </w:pPr>
      <w:r>
        <w:t xml:space="preserve">Qué es este trabajo</w:t>
      </w:r>
    </w:p>
    <w:p>
      <w:pPr>
        <w:pStyle w:val="FirstParagraph"/>
      </w:pPr>
      <w:r>
        <w:t xml:space="preserve">Los asistentes docentes y auxiliares de apoyo educativo ayudan a docentes y estudiantes con la enseñanza en el aula, la supervisión, las rutinas, los materiales, la documentación y el apoyo individual o en grupos pequeños. Los empleadores pueden usar títulos como auxiliar docente, asistente de aula, paraprofesional, paraeducador, asistente educativo, auxiliar de salón o asistente de apoyo al aprendizaje.</w:t>
      </w:r>
    </w:p>
    <w:p>
      <w:pPr>
        <w:pStyle w:val="BodyText"/>
      </w:pPr>
      <w:r>
        <w:t xml:space="preserve">Este es un</w:t>
      </w:r>
      <w:r>
        <w:t xml:space="preserve"> </w:t>
      </w:r>
      <w:r>
        <w:rPr>
          <w:bCs/>
          <w:b/>
        </w:rPr>
        <w:t xml:space="preserve">rol de apoyo</w:t>
      </w:r>
      <w:r>
        <w:t xml:space="preserve">. No equivale automáticamente a ser el docente responsable del curso, un docente licenciado de educación especial, psicólogo escolar, orientador, enfermero, terapeuta u otro profesional regulado. Las funciones, los requisitos educativos, los calendarios escolares, las verificaciones de antecedentes y las tareas de apoyo permitidas varían según el sistema escolar y la jurisdicción.</w:t>
      </w:r>
    </w:p>
    <w:p>
      <w:pPr>
        <w:pStyle w:val="BodyText"/>
      </w:pPr>
      <w:r>
        <w:t xml:space="preserve">En Estados Unidos, la Oficina de Estadísticas Laborales presenta a los asistentes docentes como un grupo ocupacional amplio, mientras que Apprenticeship.gov identifica por separado la ocupación detallada de O*NET</w:t>
      </w:r>
      <w:r>
        <w:t xml:space="preserve"> </w:t>
      </w:r>
      <w:r>
        <w:rPr>
          <w:bCs/>
          <w:b/>
        </w:rPr>
        <w:t xml:space="preserve">25-9042.00 — Teaching Assistants, Preschool, Elementary, Middle, and Secondary School, Except Special Education</w:t>
      </w:r>
      <w:r>
        <w:t xml:space="preserve">. En Canadá, la clasificación nacional más cercana de Job Bank es</w:t>
      </w:r>
      <w:r>
        <w:t xml:space="preserve"> </w:t>
      </w:r>
      <w:r>
        <w:rPr>
          <w:bCs/>
          <w:b/>
        </w:rPr>
        <w:t xml:space="preserve">NOC 43100 — Elementary and secondary school teacher assistants</w:t>
      </w:r>
      <w:r>
        <w:t xml:space="preserve">.</w:t>
      </w:r>
    </w:p>
    <w:p>
      <w:pPr>
        <w:pStyle w:val="BodyText"/>
      </w:pPr>
      <w:r>
        <w:t xml:space="preserve">Antes de pagar por una capacitación o aceptar un puesto, compare la vacante real, las normas del empleador, la población estudiantil, el modelo de supervisión y los requisitos educativos locales.</w:t>
      </w:r>
    </w:p>
    <w:bookmarkEnd w:id="20"/>
    <w:bookmarkStart w:id="21" w:name="qué-puede-hacer"/>
    <w:p>
      <w:pPr>
        <w:pStyle w:val="Heading2"/>
      </w:pPr>
      <w:r>
        <w:t xml:space="preserve">Qué puede hacer</w:t>
      </w:r>
    </w:p>
    <w:p>
      <w:pPr>
        <w:pStyle w:val="FirstParagraph"/>
      </w:pPr>
      <w:r>
        <w:t xml:space="preserve">Según la escuela, las necesidades de los estudiantes, su capacitación, la supervisión y las reglas locales, las funciones pueden incluir:</w:t>
      </w:r>
    </w:p>
    <w:p>
      <w:pPr>
        <w:numPr>
          <w:ilvl w:val="0"/>
          <w:numId w:val="1001"/>
        </w:numPr>
        <w:pStyle w:val="Compact"/>
      </w:pPr>
      <w:r>
        <w:t xml:space="preserve">reforzar lecciones o actividades preparadas por el docente responsable;</w:t>
      </w:r>
    </w:p>
    <w:p>
      <w:pPr>
        <w:numPr>
          <w:ilvl w:val="0"/>
          <w:numId w:val="1001"/>
        </w:numPr>
        <w:pStyle w:val="Compact"/>
      </w:pPr>
      <w:r>
        <w:t xml:space="preserve">trabajar con estudiantes individuales o grupos pequeños bajo la dirección del docente;</w:t>
      </w:r>
    </w:p>
    <w:p>
      <w:pPr>
        <w:numPr>
          <w:ilvl w:val="0"/>
          <w:numId w:val="1001"/>
        </w:numPr>
        <w:pStyle w:val="Compact"/>
      </w:pPr>
      <w:r>
        <w:t xml:space="preserve">ayudar a los estudiantes a practicar lectura, escritura, matemáticas, idioma, rutinas del aula u otras habilidades asignadas;</w:t>
      </w:r>
    </w:p>
    <w:p>
      <w:pPr>
        <w:numPr>
          <w:ilvl w:val="0"/>
          <w:numId w:val="1001"/>
        </w:numPr>
        <w:pStyle w:val="Compact"/>
      </w:pPr>
      <w:r>
        <w:t xml:space="preserve">preparar materiales de aprendizaje, útiles del aula, exhibiciones, hojas de trabajo o recursos digitales aprobados;</w:t>
      </w:r>
    </w:p>
    <w:p>
      <w:pPr>
        <w:numPr>
          <w:ilvl w:val="0"/>
          <w:numId w:val="1001"/>
        </w:numPr>
        <w:pStyle w:val="Compact"/>
      </w:pPr>
      <w:r>
        <w:t xml:space="preserve">ayudar a registrar asistencia, tareas, observaciones rutinarias u otra información autorizada;</w:t>
      </w:r>
    </w:p>
    <w:p>
      <w:pPr>
        <w:numPr>
          <w:ilvl w:val="0"/>
          <w:numId w:val="1001"/>
        </w:numPr>
        <w:pStyle w:val="Compact"/>
      </w:pPr>
      <w:r>
        <w:t xml:space="preserve">supervisar a estudiantes durante la llegada, salida, almuerzo, recreo, transiciones por pasillos, actividades de campo u otros periodos asignados;</w:t>
      </w:r>
    </w:p>
    <w:p>
      <w:pPr>
        <w:numPr>
          <w:ilvl w:val="0"/>
          <w:numId w:val="1001"/>
        </w:numPr>
        <w:pStyle w:val="Compact"/>
      </w:pPr>
      <w:r>
        <w:t xml:space="preserve">apoyar la organización del aula y las rutinas positivas;</w:t>
      </w:r>
    </w:p>
    <w:p>
      <w:pPr>
        <w:numPr>
          <w:ilvl w:val="0"/>
          <w:numId w:val="1001"/>
        </w:numPr>
        <w:pStyle w:val="Compact"/>
      </w:pPr>
      <w:r>
        <w:t xml:space="preserve">ayudar a estudiantes a usar tecnología asistiva o materiales de aprendizaje accesibles aprobados;</w:t>
      </w:r>
    </w:p>
    <w:p>
      <w:pPr>
        <w:numPr>
          <w:ilvl w:val="0"/>
          <w:numId w:val="1001"/>
        </w:numPr>
        <w:pStyle w:val="Compact"/>
      </w:pPr>
      <w:r>
        <w:t xml:space="preserve">apoyar a estudiantes con discapacidad de acuerdo con planes aprobados, la capacitación recibida y la dirección profesional;</w:t>
      </w:r>
    </w:p>
    <w:p>
      <w:pPr>
        <w:numPr>
          <w:ilvl w:val="0"/>
          <w:numId w:val="1001"/>
        </w:numPr>
        <w:pStyle w:val="Compact"/>
      </w:pPr>
      <w:r>
        <w:t xml:space="preserve">ayudar con cuidado personal o movilidad únicamente cuando se cuente con capacitación, autorización y la función lo requiera;</w:t>
      </w:r>
    </w:p>
    <w:p>
      <w:pPr>
        <w:numPr>
          <w:ilvl w:val="0"/>
          <w:numId w:val="1001"/>
        </w:numPr>
        <w:pStyle w:val="Compact"/>
      </w:pPr>
      <w:r>
        <w:t xml:space="preserve">ayudar al docente a observar si los estudiantes comprenden instrucciones o completan el trabajo asignado;</w:t>
      </w:r>
    </w:p>
    <w:p>
      <w:pPr>
        <w:numPr>
          <w:ilvl w:val="0"/>
          <w:numId w:val="1001"/>
        </w:numPr>
        <w:pStyle w:val="Compact"/>
      </w:pPr>
      <w:r>
        <w:t xml:space="preserve">comunicar observaciones objetivas al docente responsable o a otro profesional escolar autorizado;</w:t>
      </w:r>
    </w:p>
    <w:p>
      <w:pPr>
        <w:numPr>
          <w:ilvl w:val="0"/>
          <w:numId w:val="1001"/>
        </w:numPr>
        <w:pStyle w:val="Compact"/>
      </w:pPr>
      <w:r>
        <w:t xml:space="preserve">apoyar eventos escolares, centros de aprendizaje, bibliotecas, laboratorios o áreas de actividades cuando se le asigne; y</w:t>
      </w:r>
    </w:p>
    <w:p>
      <w:pPr>
        <w:numPr>
          <w:ilvl w:val="0"/>
          <w:numId w:val="1001"/>
        </w:numPr>
        <w:pStyle w:val="Compact"/>
      </w:pPr>
      <w:r>
        <w:t xml:space="preserve">escalar inquietudes académicas, conductuales, de salud, salvaguarda, privacidad o seguridad por medio del proceso aprobado de la escuela.</w:t>
      </w:r>
    </w:p>
    <w:p>
      <w:pPr>
        <w:pStyle w:val="FirstParagraph"/>
      </w:pPr>
      <w:r>
        <w:t xml:space="preserve">Un buen apoyo fortalece el trabajo del docente sin asumir decisiones que corresponden a educadores calificados, especialistas, administradores, familias o autoridades públicas.</w:t>
      </w:r>
    </w:p>
    <w:bookmarkEnd w:id="21"/>
    <w:bookmarkStart w:id="22" w:name="X93e58ae30bc78b108ae9bee83589175a68906a2"/>
    <w:p>
      <w:pPr>
        <w:pStyle w:val="Heading2"/>
      </w:pPr>
      <w:r>
        <w:t xml:space="preserve">Qué no debe presentarse como parte de este rol</w:t>
      </w:r>
    </w:p>
    <w:p>
      <w:pPr>
        <w:pStyle w:val="FirstParagraph"/>
      </w:pPr>
      <w:r>
        <w:t xml:space="preserve">Un asistente docente o auxiliar de apoyo educativo no debe describirse como si tuviera una autoridad independiente que el puesto no le otorga.</w:t>
      </w:r>
    </w:p>
    <w:p>
      <w:pPr>
        <w:pStyle w:val="BodyText"/>
      </w:pPr>
      <w:r>
        <w:t xml:space="preserve">No realice de forma independiente lo siguiente:</w:t>
      </w:r>
    </w:p>
    <w:p>
      <w:pPr>
        <w:numPr>
          <w:ilvl w:val="0"/>
          <w:numId w:val="1002"/>
        </w:numPr>
        <w:pStyle w:val="Compact"/>
      </w:pPr>
      <w:r>
        <w:t xml:space="preserve">actuar como docente responsable del curso salvo que cuente con la cualificación correspondiente y haya sido formalmente asignado conforme a las reglas aplicables;</w:t>
      </w:r>
    </w:p>
    <w:p>
      <w:pPr>
        <w:numPr>
          <w:ilvl w:val="0"/>
          <w:numId w:val="1002"/>
        </w:numPr>
        <w:pStyle w:val="Compact"/>
      </w:pPr>
      <w:r>
        <w:t xml:space="preserve">diagnosticar una discapacidad, trastorno del aprendizaje, condición del desarrollo, condición conductual o condición de salud mental;</w:t>
      </w:r>
    </w:p>
    <w:p>
      <w:pPr>
        <w:numPr>
          <w:ilvl w:val="0"/>
          <w:numId w:val="1002"/>
        </w:numPr>
        <w:pStyle w:val="Compact"/>
      </w:pPr>
      <w:r>
        <w:t xml:space="preserve">crear, modificar o anular un Programa de Educación Individualizado, plan de adaptación, plan de conducta, recomendación clínica u otro plan formal de apoyo al estudiante;</w:t>
      </w:r>
    </w:p>
    <w:p>
      <w:pPr>
        <w:numPr>
          <w:ilvl w:val="0"/>
          <w:numId w:val="1002"/>
        </w:numPr>
        <w:pStyle w:val="Compact"/>
      </w:pPr>
      <w:r>
        <w:t xml:space="preserve">brindar psicoterapia, enfermería, terapia ocupacional, fisioterapia, terapia del habla y lenguaje, asesoría jurídica u otros servicios profesionales regulados salvo que posea las credenciales y autorización necesarias;</w:t>
      </w:r>
    </w:p>
    <w:p>
      <w:pPr>
        <w:numPr>
          <w:ilvl w:val="0"/>
          <w:numId w:val="1002"/>
        </w:numPr>
        <w:pStyle w:val="Compact"/>
      </w:pPr>
      <w:r>
        <w:t xml:space="preserve">prometer a un estudiante o familia una ubicación, adaptación, calificación, resultado disciplinario, servicio, beneficio o resultado que usted no controla;</w:t>
      </w:r>
    </w:p>
    <w:p>
      <w:pPr>
        <w:numPr>
          <w:ilvl w:val="0"/>
          <w:numId w:val="1002"/>
        </w:numPr>
        <w:pStyle w:val="Compact"/>
      </w:pPr>
      <w:r>
        <w:t xml:space="preserve">tomar por cuenta propia una decisión de salvaguarda o denuncia obligatoria que la política escolar o la ley asigne a una autoridad designada;</w:t>
      </w:r>
    </w:p>
    <w:p>
      <w:pPr>
        <w:numPr>
          <w:ilvl w:val="0"/>
          <w:numId w:val="1002"/>
        </w:numPr>
        <w:pStyle w:val="Compact"/>
      </w:pPr>
      <w:r>
        <w:t xml:space="preserve">usar restricción, aislamiento, apoyo con medicamentos, alimentación, asistencia para el uso del baño, levantamiento u otros procedimientos de mayor riesgo sin la capacitación y autorización requeridas; o</w:t>
      </w:r>
    </w:p>
    <w:p>
      <w:pPr>
        <w:numPr>
          <w:ilvl w:val="0"/>
          <w:numId w:val="1002"/>
        </w:numPr>
        <w:pStyle w:val="Compact"/>
      </w:pPr>
      <w:r>
        <w:t xml:space="preserve">ignorar a un docente, administrador, especialista, profesional de la salud o plan estudiantil aprobado porque usted considere que otro enfoque sería mejor.</w:t>
      </w:r>
    </w:p>
    <w:p>
      <w:pPr>
        <w:pStyle w:val="FirstParagraph"/>
      </w:pPr>
      <w:r>
        <w:t xml:space="preserve">Cuando el límite de su función no esté claro, deténgase y consulte al docente responsable, supervisor, administrador o profesional calificado.</w:t>
      </w:r>
    </w:p>
    <w:bookmarkEnd w:id="22"/>
    <w:bookmarkStart w:id="23" w:name="entorno-de-trabajo-y-exigencias-físicas"/>
    <w:p>
      <w:pPr>
        <w:pStyle w:val="Heading2"/>
      </w:pPr>
      <w:r>
        <w:t xml:space="preserve">Entorno de trabajo y exigencias físicas</w:t>
      </w:r>
    </w:p>
    <w:p>
      <w:pPr>
        <w:pStyle w:val="FirstParagraph"/>
      </w:pPr>
      <w:r>
        <w:t xml:space="preserve">Los asistentes docentes suelen trabajar en escuelas públicas o privadas, entornos de educación especial, centros de tratamiento o apoyo, programas de primera infancia u otros programas educativos. Algunos puestos siguen el calendario escolar tradicional. Otros incluyen programas de verano, jornadas extendidas, funciones de transporte o calendarios de todo el año.</w:t>
      </w:r>
    </w:p>
    <w:p>
      <w:pPr>
        <w:pStyle w:val="BodyText"/>
      </w:pPr>
      <w:r>
        <w:t xml:space="preserve">El trabajo puede implicar:</w:t>
      </w:r>
    </w:p>
    <w:p>
      <w:pPr>
        <w:numPr>
          <w:ilvl w:val="0"/>
          <w:numId w:val="1003"/>
        </w:numPr>
        <w:pStyle w:val="Compact"/>
      </w:pPr>
      <w:r>
        <w:t xml:space="preserve">permanecer de pie, caminar, arrodillarse, sentarse en mobiliario bajo o desplazarse por el aula durante periodos prolongados;</w:t>
      </w:r>
    </w:p>
    <w:p>
      <w:pPr>
        <w:numPr>
          <w:ilvl w:val="0"/>
          <w:numId w:val="1003"/>
        </w:numPr>
        <w:pStyle w:val="Compact"/>
      </w:pPr>
      <w:r>
        <w:t xml:space="preserve">supervisar grupos en entornos ruidosos o con mucha actividad;</w:t>
      </w:r>
    </w:p>
    <w:p>
      <w:pPr>
        <w:numPr>
          <w:ilvl w:val="0"/>
          <w:numId w:val="1003"/>
        </w:numPr>
        <w:pStyle w:val="Compact"/>
      </w:pPr>
      <w:r>
        <w:t xml:space="preserve">ayudar a estudiantes durante transiciones entre actividades o lugares;</w:t>
      </w:r>
    </w:p>
    <w:p>
      <w:pPr>
        <w:numPr>
          <w:ilvl w:val="0"/>
          <w:numId w:val="1003"/>
        </w:numPr>
        <w:pStyle w:val="Compact"/>
      </w:pPr>
      <w:r>
        <w:t xml:space="preserve">levantar o brindar apoyo físico en algunos puestos de servicios para personas con discapacidad;</w:t>
      </w:r>
    </w:p>
    <w:p>
      <w:pPr>
        <w:numPr>
          <w:ilvl w:val="0"/>
          <w:numId w:val="1003"/>
        </w:numPr>
        <w:pStyle w:val="Compact"/>
      </w:pPr>
      <w:r>
        <w:t xml:space="preserve">exposición a enfermedades comunes de la infancia;</w:t>
      </w:r>
    </w:p>
    <w:p>
      <w:pPr>
        <w:numPr>
          <w:ilvl w:val="0"/>
          <w:numId w:val="1003"/>
        </w:numPr>
        <w:pStyle w:val="Compact"/>
      </w:pPr>
      <w:r>
        <w:t xml:space="preserve">exigencias emocionales repetidas al apoyar a estudiantes frustrados, angustiados, desregulados o que enfrentan circunstancias difíciles; y</w:t>
      </w:r>
    </w:p>
    <w:p>
      <w:pPr>
        <w:numPr>
          <w:ilvl w:val="0"/>
          <w:numId w:val="1003"/>
        </w:numPr>
        <w:pStyle w:val="Compact"/>
      </w:pPr>
      <w:r>
        <w:t xml:space="preserve">dividir la atención entre varios estudiantes mientras se siguen las indicaciones del docente.</w:t>
      </w:r>
    </w:p>
    <w:p>
      <w:pPr>
        <w:pStyle w:val="FirstParagraph"/>
      </w:pPr>
      <w:r>
        <w:t xml:space="preserve">Las asignaciones relacionadas con necesidades especiales o cuidado personal pueden tener requisitos adicionales de esfuerzo físico, control de infecciones, conducta o seguridad. Pregunte por las funciones reales antes de aceptar un puesto.</w:t>
      </w:r>
    </w:p>
    <w:bookmarkEnd w:id="23"/>
    <w:bookmarkStart w:id="24" w:name="salvaguarda-y-límites-ante-emergencias"/>
    <w:p>
      <w:pPr>
        <w:pStyle w:val="Heading2"/>
      </w:pPr>
      <w:r>
        <w:t xml:space="preserve">Salvaguarda y límites ante emergencias</w:t>
      </w:r>
    </w:p>
    <w:p>
      <w:pPr>
        <w:pStyle w:val="FirstParagraph"/>
      </w:pPr>
      <w:r>
        <w:t xml:space="preserve">Los empleados escolares y el personal de apoyo pueden observar o recibir revelaciones relacionadas con abuso, negligencia, acoso, riesgo de autolesión, violencia, explotación, peligro médico u otras situaciones urgentes.</w:t>
      </w:r>
    </w:p>
    <w:p>
      <w:pPr>
        <w:pStyle w:val="BodyText"/>
      </w:pPr>
      <w:r>
        <w:t xml:space="preserve">No improvise una respuesta. Siga los procedimientos aprobados de salvaguarda y emergencia de la escuela y la legislación aplicable.</w:t>
      </w:r>
    </w:p>
    <w:p>
      <w:pPr>
        <w:pStyle w:val="BodyText"/>
      </w:pPr>
      <w:r>
        <w:t xml:space="preserve">Según la situación y la jurisdicción, esto puede incluir:</w:t>
      </w:r>
    </w:p>
    <w:p>
      <w:pPr>
        <w:numPr>
          <w:ilvl w:val="0"/>
          <w:numId w:val="1004"/>
        </w:numPr>
        <w:pStyle w:val="Compact"/>
      </w:pPr>
      <w:r>
        <w:t xml:space="preserve">informar al docente responsable, administrador, encargado de salvaguarda, enfermero u otra persona designada;</w:t>
      </w:r>
    </w:p>
    <w:p>
      <w:pPr>
        <w:numPr>
          <w:ilvl w:val="0"/>
          <w:numId w:val="1004"/>
        </w:numPr>
        <w:pStyle w:val="Compact"/>
      </w:pPr>
      <w:r>
        <w:t xml:space="preserve">seguir las normas de denuncia obligatoria cuando su función esté cubierta por ellas;</w:t>
      </w:r>
    </w:p>
    <w:p>
      <w:pPr>
        <w:numPr>
          <w:ilvl w:val="0"/>
          <w:numId w:val="1004"/>
        </w:numPr>
        <w:pStyle w:val="Compact"/>
      </w:pPr>
      <w:r>
        <w:t xml:space="preserve">contactar servicios de emergencia cuando la política o la ley lo requieran;</w:t>
      </w:r>
    </w:p>
    <w:p>
      <w:pPr>
        <w:numPr>
          <w:ilvl w:val="0"/>
          <w:numId w:val="1004"/>
        </w:numPr>
        <w:pStyle w:val="Compact"/>
      </w:pPr>
      <w:r>
        <w:t xml:space="preserve">documentar lo que usted observó directamente o lo que le informaron, sin realizar una investigación no autorizada;</w:t>
      </w:r>
    </w:p>
    <w:p>
      <w:pPr>
        <w:numPr>
          <w:ilvl w:val="0"/>
          <w:numId w:val="1004"/>
        </w:numPr>
        <w:pStyle w:val="Compact"/>
      </w:pPr>
      <w:r>
        <w:t xml:space="preserve">preservar evidencia o información únicamente según las instrucciones recibidas; y</w:t>
      </w:r>
    </w:p>
    <w:p>
      <w:pPr>
        <w:numPr>
          <w:ilvl w:val="0"/>
          <w:numId w:val="1004"/>
        </w:numPr>
        <w:pStyle w:val="Compact"/>
      </w:pPr>
      <w:r>
        <w:t xml:space="preserve">evitar promesas de confidencialidad que entren en conflicto con obligaciones legales o de seguridad.</w:t>
      </w:r>
    </w:p>
    <w:p>
      <w:pPr>
        <w:pStyle w:val="FirstParagraph"/>
      </w:pPr>
      <w:r>
        <w:t xml:space="preserve">Los materiales de capacitación y las herramientas de IA no sustituyen la legislación local vigente sobre salvaguarda ni la política escolar.</w:t>
      </w:r>
    </w:p>
    <w:bookmarkEnd w:id="24"/>
    <w:bookmarkStart w:id="25" w:name="Xda0b225898a4f7f8e51164394fb3e1beb388c35"/>
    <w:p>
      <w:pPr>
        <w:pStyle w:val="Heading2"/>
      </w:pPr>
      <w:r>
        <w:t xml:space="preserve">Privacidad, registros y confidencialidad de los estudiantes</w:t>
      </w:r>
    </w:p>
    <w:p>
      <w:pPr>
        <w:pStyle w:val="FirstParagraph"/>
      </w:pPr>
      <w:r>
        <w:t xml:space="preserve">Los asistentes docentes pueden tener acceso a información altamente sensible, incluidos nombres de estudiantes, calificaciones, asistencia, información sobre discapacidad, Programas de Educación Individualizados, información de salud, registros de conducta, datos familiares, información disciplinaria, datos relacionados con inmigración e inquietudes de salvaguarda.</w:t>
      </w:r>
    </w:p>
    <w:p>
      <w:pPr>
        <w:pStyle w:val="BodyText"/>
      </w:pPr>
      <w:r>
        <w:t xml:space="preserve">En Estados Unidos, las reglas de FERPA pueden permitir acceso a funcionarios escolares que cumplan los criterios institucionales y tengan un interés educativo legítimo. En toda jurisdicción, siga las normas de la escuela sobre privacidad y registros.</w:t>
      </w:r>
    </w:p>
    <w:p>
      <w:pPr>
        <w:pStyle w:val="BodyText"/>
      </w:pPr>
      <w:r>
        <w:t xml:space="preserve">Medidas prácticas de protección incluyen:</w:t>
      </w:r>
    </w:p>
    <w:p>
      <w:pPr>
        <w:numPr>
          <w:ilvl w:val="0"/>
          <w:numId w:val="1005"/>
        </w:numPr>
        <w:pStyle w:val="Compact"/>
      </w:pPr>
      <w:r>
        <w:t xml:space="preserve">acceder únicamente a la información necesaria para sus funciones asignadas;</w:t>
      </w:r>
    </w:p>
    <w:p>
      <w:pPr>
        <w:numPr>
          <w:ilvl w:val="0"/>
          <w:numId w:val="1005"/>
        </w:numPr>
        <w:pStyle w:val="Compact"/>
      </w:pPr>
      <w:r>
        <w:t xml:space="preserve">usar dispositivos, sistemas, correo electrónico, mensajería y servicios en la nube aprobados por la escuela;</w:t>
      </w:r>
    </w:p>
    <w:p>
      <w:pPr>
        <w:numPr>
          <w:ilvl w:val="0"/>
          <w:numId w:val="1005"/>
        </w:numPr>
        <w:pStyle w:val="Compact"/>
      </w:pPr>
      <w:r>
        <w:t xml:space="preserve">verificar a los destinatarios antes de compartir información estudiantil;</w:t>
      </w:r>
    </w:p>
    <w:p>
      <w:pPr>
        <w:numPr>
          <w:ilvl w:val="0"/>
          <w:numId w:val="1005"/>
        </w:numPr>
        <w:pStyle w:val="Compact"/>
      </w:pPr>
      <w:r>
        <w:t xml:space="preserve">mantener privadas las pantallas, los registros impresos y las conversaciones;</w:t>
      </w:r>
    </w:p>
    <w:p>
      <w:pPr>
        <w:numPr>
          <w:ilvl w:val="0"/>
          <w:numId w:val="1005"/>
        </w:numPr>
        <w:pStyle w:val="Compact"/>
      </w:pPr>
      <w:r>
        <w:t xml:space="preserve">no fotografiar, descargar, copiar ni reenviar registros estudiantiles sin autorización;</w:t>
      </w:r>
    </w:p>
    <w:p>
      <w:pPr>
        <w:numPr>
          <w:ilvl w:val="0"/>
          <w:numId w:val="1005"/>
        </w:numPr>
        <w:pStyle w:val="Compact"/>
      </w:pPr>
      <w:r>
        <w:t xml:space="preserve">seguir los procedimientos de retención, eliminación y reporte de incidentes;</w:t>
      </w:r>
    </w:p>
    <w:p>
      <w:pPr>
        <w:numPr>
          <w:ilvl w:val="0"/>
          <w:numId w:val="1005"/>
        </w:numPr>
        <w:pStyle w:val="Compact"/>
      </w:pPr>
      <w:r>
        <w:t xml:space="preserve">no hablar de estudiantes en lugares públicos ni en redes sociales personales; y</w:t>
      </w:r>
    </w:p>
    <w:p>
      <w:pPr>
        <w:numPr>
          <w:ilvl w:val="0"/>
          <w:numId w:val="1005"/>
        </w:numPr>
        <w:pStyle w:val="Compact"/>
      </w:pPr>
      <w:r>
        <w:t xml:space="preserve">reportar de inmediato sospechas de violación de privacidad o compromiso de cuentas.</w:t>
      </w:r>
    </w:p>
    <w:p>
      <w:pPr>
        <w:pStyle w:val="FirstParagraph"/>
      </w:pPr>
      <w:r>
        <w:t xml:space="preserve">Redacte las observaciones de manera objetiva. Distinga entre lo que usted vio u oyó y lo que informó un docente, especialista, padre, madre o estudiante.</w:t>
      </w:r>
    </w:p>
    <w:bookmarkEnd w:id="25"/>
    <w:bookmarkStart w:id="26" w:name="X3e878e55fd7376ac4832557e63cc4fadc951f6e"/>
    <w:p>
      <w:pPr>
        <w:pStyle w:val="Heading2"/>
      </w:pPr>
      <w:r>
        <w:t xml:space="preserve">Apoyo a estudiantes con discapacidad y necesidades de accesibilidad</w:t>
      </w:r>
    </w:p>
    <w:p>
      <w:pPr>
        <w:pStyle w:val="FirstParagraph"/>
      </w:pPr>
      <w:r>
        <w:t xml:space="preserve">Los asistentes docentes pueden ser colaboradores importantes en la educación inclusiva. Según la capacitación y la asignación, el apoyo puede incluir materiales accesibles, tecnología asistiva, ayudas de comunicación, rutinas del aula, asistencia para movilidad, apoyos sensoriales, práctica en grupos pequeños o implementación de adaptaciones aprobadas.</w:t>
      </w:r>
    </w:p>
    <w:p>
      <w:pPr>
        <w:pStyle w:val="BodyText"/>
      </w:pPr>
      <w:r>
        <w:t xml:space="preserve">El trabajador debe seguir el plan autorizado del estudiante y la dirección profesional. No diagnostique de forma independiente una discapacidad, prescriba una adaptación, cambie un plan formal ni decida que una recomendación de un especialista es innecesaria.</w:t>
      </w:r>
    </w:p>
    <w:p>
      <w:pPr>
        <w:pStyle w:val="BodyText"/>
      </w:pPr>
      <w:r>
        <w:t xml:space="preserve">Use lenguaje respetuoso, apropiado para la edad e inclusivo de la discapacidad. Pregunte qué apoyo está autorizado y es necesario en vez de suponer que todos los estudiantes con un mismo diagnóstico requieren la misma asistencia.</w:t>
      </w:r>
    </w:p>
    <w:bookmarkEnd w:id="26"/>
    <w:bookmarkStart w:id="27" w:name="X666864e509bf1ba73b30353b8fe68bc518859d0"/>
    <w:p>
      <w:pPr>
        <w:pStyle w:val="Heading2"/>
      </w:pPr>
      <w:r>
        <w:t xml:space="preserve">Habilidades que pueden valorar los empleadores</w:t>
      </w:r>
    </w:p>
    <w:p>
      <w:pPr>
        <w:pStyle w:val="FirstParagraph"/>
      </w:pPr>
      <w:r>
        <w:t xml:space="preserve">Los empleadores suelen valorar:</w:t>
      </w:r>
    </w:p>
    <w:p>
      <w:pPr>
        <w:numPr>
          <w:ilvl w:val="0"/>
          <w:numId w:val="1006"/>
        </w:numPr>
        <w:pStyle w:val="Compact"/>
      </w:pPr>
      <w:r>
        <w:t xml:space="preserve">paciencia y comunicación calmada;</w:t>
      </w:r>
    </w:p>
    <w:p>
      <w:pPr>
        <w:numPr>
          <w:ilvl w:val="0"/>
          <w:numId w:val="1006"/>
        </w:numPr>
        <w:pStyle w:val="Compact"/>
      </w:pPr>
      <w:r>
        <w:t xml:space="preserve">capacidad para seguir con precisión la dirección del docente;</w:t>
      </w:r>
    </w:p>
    <w:p>
      <w:pPr>
        <w:numPr>
          <w:ilvl w:val="0"/>
          <w:numId w:val="1006"/>
        </w:numPr>
        <w:pStyle w:val="Compact"/>
      </w:pPr>
      <w:r>
        <w:t xml:space="preserve">alfabetización, aritmética básica y habilidades digitales;</w:t>
      </w:r>
    </w:p>
    <w:p>
      <w:pPr>
        <w:numPr>
          <w:ilvl w:val="0"/>
          <w:numId w:val="1006"/>
        </w:numPr>
        <w:pStyle w:val="Compact"/>
      </w:pPr>
      <w:r>
        <w:t xml:space="preserve">observación y registro objetivo;</w:t>
      </w:r>
    </w:p>
    <w:p>
      <w:pPr>
        <w:numPr>
          <w:ilvl w:val="0"/>
          <w:numId w:val="1006"/>
        </w:numPr>
        <w:pStyle w:val="Compact"/>
      </w:pPr>
      <w:r>
        <w:t xml:space="preserve">organización del aula;</w:t>
      </w:r>
    </w:p>
    <w:p>
      <w:pPr>
        <w:numPr>
          <w:ilvl w:val="0"/>
          <w:numId w:val="1006"/>
        </w:numPr>
        <w:pStyle w:val="Compact"/>
      </w:pPr>
      <w:r>
        <w:t xml:space="preserve">apoyo conductual positivo dentro de procedimientos aprobados;</w:t>
      </w:r>
    </w:p>
    <w:p>
      <w:pPr>
        <w:numPr>
          <w:ilvl w:val="0"/>
          <w:numId w:val="1006"/>
        </w:numPr>
        <w:pStyle w:val="Compact"/>
      </w:pPr>
      <w:r>
        <w:t xml:space="preserve">humildad cultural y comunicación inclusiva de la discapacidad;</w:t>
      </w:r>
    </w:p>
    <w:p>
      <w:pPr>
        <w:numPr>
          <w:ilvl w:val="0"/>
          <w:numId w:val="1006"/>
        </w:numPr>
        <w:pStyle w:val="Compact"/>
      </w:pPr>
      <w:r>
        <w:t xml:space="preserve">trabajo en equipo con docentes, especialistas, administradores y familias;</w:t>
      </w:r>
    </w:p>
    <w:p>
      <w:pPr>
        <w:numPr>
          <w:ilvl w:val="0"/>
          <w:numId w:val="1006"/>
        </w:numPr>
        <w:pStyle w:val="Compact"/>
      </w:pPr>
      <w:r>
        <w:t xml:space="preserve">confidencialidad y buen juicio;</w:t>
      </w:r>
    </w:p>
    <w:p>
      <w:pPr>
        <w:numPr>
          <w:ilvl w:val="0"/>
          <w:numId w:val="1006"/>
        </w:numPr>
        <w:pStyle w:val="Compact"/>
      </w:pPr>
      <w:r>
        <w:t xml:space="preserve">confiabilidad, puntualidad y asistencia constante;</w:t>
      </w:r>
    </w:p>
    <w:p>
      <w:pPr>
        <w:numPr>
          <w:ilvl w:val="0"/>
          <w:numId w:val="1006"/>
        </w:numPr>
        <w:pStyle w:val="Compact"/>
      </w:pPr>
      <w:r>
        <w:t xml:space="preserve">capacidad para explicar instrucciones con lenguaje sencillo;</w:t>
      </w:r>
    </w:p>
    <w:p>
      <w:pPr>
        <w:numPr>
          <w:ilvl w:val="0"/>
          <w:numId w:val="1006"/>
        </w:numPr>
        <w:pStyle w:val="Compact"/>
      </w:pPr>
      <w:r>
        <w:t xml:space="preserve">desescalamiento y autorregulación emocional;</w:t>
      </w:r>
    </w:p>
    <w:p>
      <w:pPr>
        <w:numPr>
          <w:ilvl w:val="0"/>
          <w:numId w:val="1006"/>
        </w:numPr>
        <w:pStyle w:val="Compact"/>
      </w:pPr>
      <w:r>
        <w:t xml:space="preserve">flexibilidad cuando cambian las prioridades del aula; y</w:t>
      </w:r>
    </w:p>
    <w:p>
      <w:pPr>
        <w:numPr>
          <w:ilvl w:val="0"/>
          <w:numId w:val="1006"/>
        </w:numPr>
        <w:pStyle w:val="Compact"/>
      </w:pPr>
      <w:r>
        <w:t xml:space="preserve">disposición para aprender los sistemas específicos de la escuela y los procedimientos de apoyo al estudiante.</w:t>
      </w:r>
    </w:p>
    <w:p>
      <w:pPr>
        <w:pStyle w:val="FirstParagraph"/>
      </w:pPr>
      <w:r>
        <w:t xml:space="preserve">La capacidad bilingüe o multilingüe puede ser valiosa, pero no afirme poseer credenciales de interpretación certificada, traducción o educación bilingüe que no tenga.</w:t>
      </w:r>
    </w:p>
    <w:bookmarkEnd w:id="27"/>
    <w:bookmarkStart w:id="32" w:name="educación-y-vías-de-ingreso"/>
    <w:p>
      <w:pPr>
        <w:pStyle w:val="Heading2"/>
      </w:pPr>
      <w:r>
        <w:t xml:space="preserve">Educación y vías de ingreso</w:t>
      </w:r>
    </w:p>
    <w:bookmarkStart w:id="28" w:name="estados-unidos"/>
    <w:p>
      <w:pPr>
        <w:pStyle w:val="Heading3"/>
      </w:pPr>
      <w:r>
        <w:t xml:space="preserve">Estados Unidos</w:t>
      </w:r>
    </w:p>
    <w:p>
      <w:pPr>
        <w:pStyle w:val="FirstParagraph"/>
      </w:pPr>
      <w:r>
        <w:t xml:space="preserve">La Oficina de Estadísticas Laborales de Estados Unidos informa que los asistentes docentes normalmente necesitan al menos</w:t>
      </w:r>
      <w:r>
        <w:t xml:space="preserve"> </w:t>
      </w:r>
      <w:r>
        <w:rPr>
          <w:bCs/>
          <w:b/>
        </w:rPr>
        <w:t xml:space="preserve">dos años de estudios universitarios</w:t>
      </w:r>
      <w:r>
        <w:t xml:space="preserve">. En escuelas públicas, por lo general se requiere al menos dos años de estudios universitarios o un título de asociado. Los requisitos exactos varían según el estado, distrito, escuela, programa y contexto de financiamiento.</w:t>
      </w:r>
    </w:p>
    <w:p>
      <w:pPr>
        <w:pStyle w:val="BodyText"/>
      </w:pPr>
      <w:r>
        <w:t xml:space="preserve">Una secuencia práctica de ingreso es:</w:t>
      </w:r>
    </w:p>
    <w:p>
      <w:pPr>
        <w:numPr>
          <w:ilvl w:val="0"/>
          <w:numId w:val="1007"/>
        </w:numPr>
        <w:pStyle w:val="Compact"/>
      </w:pPr>
      <w:r>
        <w:t xml:space="preserve">Revise vacantes locales de teacher assistant, instructional aide, paraprofessional, paraeducator, classroom aide, special-education aide y educational assistant.</w:t>
      </w:r>
    </w:p>
    <w:p>
      <w:pPr>
        <w:numPr>
          <w:ilvl w:val="0"/>
          <w:numId w:val="1007"/>
        </w:numPr>
        <w:pStyle w:val="Compact"/>
      </w:pPr>
      <w:r>
        <w:t xml:space="preserve">Registre los requisitos reales de educación, evaluación, antecedentes, huellas dactilares, primeros auxilios, necesidades especiales, idioma y conducción.</w:t>
      </w:r>
    </w:p>
    <w:p>
      <w:pPr>
        <w:numPr>
          <w:ilvl w:val="0"/>
          <w:numId w:val="1007"/>
        </w:numPr>
        <w:pStyle w:val="Compact"/>
      </w:pPr>
      <w:r>
        <w:t xml:space="preserve">Compare esos requisitos con opciones de community college, distrito escolar, fuerza laboral pública y apoyo del empleador.</w:t>
      </w:r>
    </w:p>
    <w:p>
      <w:pPr>
        <w:numPr>
          <w:ilvl w:val="0"/>
          <w:numId w:val="1007"/>
        </w:numPr>
        <w:pStyle w:val="Compact"/>
      </w:pPr>
      <w:r>
        <w:t xml:space="preserve">Desarrolle experiencia relevante mediante actividades supervisadas en escuelas, tutorías, programas juveniles, cuidado infantil, recreación, apoyo a personas con discapacidad, bibliotecas o programas comunitarios.</w:t>
      </w:r>
    </w:p>
    <w:p>
      <w:pPr>
        <w:numPr>
          <w:ilvl w:val="0"/>
          <w:numId w:val="1007"/>
        </w:numPr>
        <w:pStyle w:val="Compact"/>
      </w:pPr>
      <w:r>
        <w:t xml:space="preserve">Postúlese únicamente a puestos que coincidan con su capacitación y experiencia reales.</w:t>
      </w:r>
    </w:p>
    <w:p>
      <w:pPr>
        <w:numPr>
          <w:ilvl w:val="0"/>
          <w:numId w:val="1007"/>
        </w:numPr>
        <w:pStyle w:val="Compact"/>
      </w:pPr>
      <w:r>
        <w:t xml:space="preserve">Considere educación adicional cuando responda a un requisito claro del empleador o una vía concreta de avance.</w:t>
      </w:r>
    </w:p>
    <w:p>
      <w:pPr>
        <w:pStyle w:val="FirstParagraph"/>
      </w:pPr>
      <w:r>
        <w:t xml:space="preserve">La ocupación detallada de O*NET</w:t>
      </w:r>
      <w:r>
        <w:t xml:space="preserve"> </w:t>
      </w:r>
      <w:r>
        <w:rPr>
          <w:bCs/>
          <w:b/>
        </w:rPr>
        <w:t xml:space="preserve">25-9042.00</w:t>
      </w:r>
      <w:r>
        <w:t xml:space="preserve"> </w:t>
      </w:r>
      <w:r>
        <w:t xml:space="preserve">aparece actualmente en Apprenticeship.gov como</w:t>
      </w:r>
      <w:r>
        <w:t xml:space="preserve"> </w:t>
      </w:r>
      <w:r>
        <w:rPr>
          <w:bCs/>
          <w:b/>
        </w:rPr>
        <w:t xml:space="preserve">no aprobada para su uso en un Registered Apprenticeship Program</w:t>
      </w:r>
      <w:r>
        <w:t xml:space="preserve">. No suponga que existe una vía nacional de Registered Apprenticeship para esta ocupación. Algunos distritos y empleadores pueden ofrecer capacitación remunerada o desarrollo basado en el trabajo.</w:t>
      </w:r>
    </w:p>
    <w:bookmarkEnd w:id="28"/>
    <w:bookmarkStart w:id="29" w:name="canadá"/>
    <w:p>
      <w:pPr>
        <w:pStyle w:val="Heading3"/>
      </w:pPr>
      <w:r>
        <w:t xml:space="preserve">Canadá</w:t>
      </w:r>
    </w:p>
    <w:p>
      <w:pPr>
        <w:pStyle w:val="FirstParagraph"/>
      </w:pPr>
      <w:r>
        <w:t xml:space="preserve">Government of Canada Job Bank clasifica a los asistentes docentes de escuelas primarias y secundarias bajo</w:t>
      </w:r>
      <w:r>
        <w:t xml:space="preserve"> </w:t>
      </w:r>
      <w:r>
        <w:rPr>
          <w:bCs/>
          <w:b/>
        </w:rPr>
        <w:t xml:space="preserve">NOC 43100</w:t>
      </w:r>
      <w:r>
        <w:t xml:space="preserve">.</w:t>
      </w:r>
    </w:p>
    <w:p>
      <w:pPr>
        <w:pStyle w:val="BodyText"/>
      </w:pPr>
      <w:r>
        <w:t xml:space="preserve">Los requisitos nacionales actuales indican que se requiere completar la educación secundaria y que los asistentes docentes normalmente deben completar un</w:t>
      </w:r>
      <w:r>
        <w:t xml:space="preserve"> </w:t>
      </w:r>
      <w:r>
        <w:rPr>
          <w:bCs/>
          <w:b/>
        </w:rPr>
        <w:t xml:space="preserve">programa universitario o técnico de 10 meses</w:t>
      </w:r>
      <w:r>
        <w:t xml:space="preserve"> </w:t>
      </w:r>
      <w:r>
        <w:t xml:space="preserve">en asistencia docente, asistencia educativa u otro programa de ciencias sociales. El apoyo a estudiantes con necesidades especiales suele requerir capacitación y experiencia especializadas.</w:t>
      </w:r>
    </w:p>
    <w:p>
      <w:pPr>
        <w:pStyle w:val="BodyText"/>
      </w:pPr>
      <w:r>
        <w:t xml:space="preserve">Los requisitos de juntas escolares, provincias y programas especializados pueden ser diferentes. Verifique la vacante exacta y las reglas locales antes de matricularse.</w:t>
      </w:r>
    </w:p>
    <w:bookmarkEnd w:id="29"/>
    <w:bookmarkStart w:id="30" w:name="colombia"/>
    <w:p>
      <w:pPr>
        <w:pStyle w:val="Heading3"/>
      </w:pPr>
      <w:r>
        <w:t xml:space="preserve">Colombia</w:t>
      </w:r>
    </w:p>
    <w:p>
      <w:pPr>
        <w:pStyle w:val="FirstParagraph"/>
      </w:pPr>
      <w:r>
        <w:t xml:space="preserve">En la revisión controlada de fuentes no se identificó una clasificación ocupacional nacional actual, limpia y uno a uno, ni una serie salarial oficial nacional que corresponda perfectamente al título de la Guía 62. No invente una.</w:t>
      </w:r>
    </w:p>
    <w:p>
      <w:pPr>
        <w:pStyle w:val="BodyText"/>
      </w:pPr>
      <w:r>
        <w:t xml:space="preserve">SENA puede seguir siendo un buen punto de partida para capacitación pública. Betowa actualmente ofrece</w:t>
      </w:r>
      <w:r>
        <w:t xml:space="preserve"> </w:t>
      </w:r>
      <w:r>
        <w:rPr>
          <w:bCs/>
          <w:b/>
        </w:rPr>
        <w:t xml:space="preserve">Inducción a procesos pedagógicos</w:t>
      </w:r>
      <w:r>
        <w:t xml:space="preserve">, un programa complementario virtual de aproximadamente</w:t>
      </w:r>
      <w:r>
        <w:t xml:space="preserve"> </w:t>
      </w:r>
      <w:r>
        <w:rPr>
          <w:bCs/>
          <w:b/>
        </w:rPr>
        <w:t xml:space="preserve">40 horas</w:t>
      </w:r>
      <w:r>
        <w:t xml:space="preserve"> </w:t>
      </w:r>
      <w:r>
        <w:t xml:space="preserve">que aborda educación y pedagogía, roles de docente y estudiante, procesos de enseñanza-aprendizaje, currículo y evaluación.</w:t>
      </w:r>
    </w:p>
    <w:p>
      <w:pPr>
        <w:pStyle w:val="BodyText"/>
      </w:pPr>
      <w:r>
        <w:t xml:space="preserve">Esto es</w:t>
      </w:r>
      <w:r>
        <w:t xml:space="preserve"> </w:t>
      </w:r>
      <w:r>
        <w:rPr>
          <w:bCs/>
          <w:b/>
        </w:rPr>
        <w:t xml:space="preserve">desarrollo de habilidades relacionadas</w:t>
      </w:r>
      <w:r>
        <w:t xml:space="preserve">, no un requisito legal universal para el trabajo de auxiliar de apoyo educativo escolar.</w:t>
      </w:r>
    </w:p>
    <w:p>
      <w:pPr>
        <w:pStyle w:val="BodyText"/>
      </w:pPr>
      <w:r>
        <w:t xml:space="preserve">La Agencia Pública de Empleo del SENA publica periódicamente vacantes con títulos como</w:t>
      </w:r>
      <w:r>
        <w:t xml:space="preserve"> </w:t>
      </w:r>
      <w:r>
        <w:rPr>
          <w:iCs/>
          <w:i/>
        </w:rPr>
        <w:t xml:space="preserve">auxiliar docente</w:t>
      </w:r>
      <w:r>
        <w:t xml:space="preserve">. Use las vacantes actuales para conocer requisitos específicos del empleador sobre educación, horarios, experiencia, funciones y remuneración. Una sola vacante no constituye un punto de referencia salarial nacional.</w:t>
      </w:r>
    </w:p>
    <w:bookmarkEnd w:id="30"/>
    <w:bookmarkStart w:id="31" w:name="américa-latina-y-el-caribe"/>
    <w:p>
      <w:pPr>
        <w:pStyle w:val="Heading3"/>
      </w:pPr>
      <w:r>
        <w:t xml:space="preserve">América Latina y el Caribe</w:t>
      </w:r>
    </w:p>
    <w:p>
      <w:pPr>
        <w:pStyle w:val="FirstParagraph"/>
      </w:pPr>
      <w:r>
        <w:t xml:space="preserve">Los títulos, las reglas de empleo escolar, los sistemas públicos de capacitación, los marcos de cualificación y las funciones profesionales protegidas varían ampliamente en la región.</w:t>
      </w:r>
    </w:p>
    <w:p>
      <w:pPr>
        <w:pStyle w:val="BodyText"/>
      </w:pPr>
      <w:r>
        <w:t xml:space="preserve">OIT/Cinterfor puede ayudar a identificar la institución nacional pertinente de formación profesional o el sistema de cualificaciones. Úselo como localizador y luego verifique el puesto real, requisito educativo, costo, reconocimiento, reglas de salvaguarda y alcance legal en el país donde planea trabajar.</w:t>
      </w:r>
    </w:p>
    <w:bookmarkEnd w:id="31"/>
    <w:bookmarkEnd w:id="32"/>
    <w:bookmarkStart w:id="33" w:name="X16336857c8b2eb53880b26e4307d339747250d8"/>
    <w:p>
      <w:pPr>
        <w:pStyle w:val="Heading2"/>
      </w:pPr>
      <w:r>
        <w:t xml:space="preserve">Estrategia de capacitación gratuita primero y de bajo costo</w:t>
      </w:r>
    </w:p>
    <w:p>
      <w:pPr>
        <w:pStyle w:val="FirstParagraph"/>
      </w:pPr>
      <w:r>
        <w:t xml:space="preserve">Antes de pagar por un certificado privado:</w:t>
      </w:r>
    </w:p>
    <w:p>
      <w:pPr>
        <w:numPr>
          <w:ilvl w:val="0"/>
          <w:numId w:val="1008"/>
        </w:numPr>
        <w:pStyle w:val="Compact"/>
      </w:pPr>
      <w:r>
        <w:t xml:space="preserve">Revise entre 15 y 20 vacantes locales reales.</w:t>
      </w:r>
    </w:p>
    <w:p>
      <w:pPr>
        <w:numPr>
          <w:ilvl w:val="0"/>
          <w:numId w:val="1008"/>
        </w:numPr>
        <w:pStyle w:val="Compact"/>
      </w:pPr>
      <w:r>
        <w:t xml:space="preserve">Separe las cualificaciones legalmente obligatorias de las preferencias del empleador.</w:t>
      </w:r>
    </w:p>
    <w:p>
      <w:pPr>
        <w:numPr>
          <w:ilvl w:val="0"/>
          <w:numId w:val="1008"/>
        </w:numPr>
        <w:pStyle w:val="Compact"/>
      </w:pPr>
      <w:r>
        <w:t xml:space="preserve">Pregunte a distritos escolares o empleadores qué capacitación brindan después de la contratación.</w:t>
      </w:r>
    </w:p>
    <w:p>
      <w:pPr>
        <w:numPr>
          <w:ilvl w:val="0"/>
          <w:numId w:val="1008"/>
        </w:numPr>
        <w:pStyle w:val="Compact"/>
      </w:pPr>
      <w:r>
        <w:t xml:space="preserve">Revise primero opciones públicas de empleo, community colleges, distritos escolares, SENA u otras alternativas públicas.</w:t>
      </w:r>
    </w:p>
    <w:p>
      <w:pPr>
        <w:numPr>
          <w:ilvl w:val="0"/>
          <w:numId w:val="1008"/>
        </w:numPr>
        <w:pStyle w:val="Compact"/>
      </w:pPr>
      <w:r>
        <w:t xml:space="preserve">Compare matrícula, materiales, transporte, exámenes, prácticas no remuneradas y requisitos de horario.</w:t>
      </w:r>
    </w:p>
    <w:p>
      <w:pPr>
        <w:numPr>
          <w:ilvl w:val="0"/>
          <w:numId w:val="1008"/>
        </w:numPr>
        <w:pStyle w:val="Compact"/>
      </w:pPr>
      <w:r>
        <w:t xml:space="preserve">Verifique que los empleadores locales realmente reconozcan la credencial.</w:t>
      </w:r>
    </w:p>
    <w:p>
      <w:pPr>
        <w:numPr>
          <w:ilvl w:val="0"/>
          <w:numId w:val="1008"/>
        </w:numPr>
        <w:pStyle w:val="Compact"/>
      </w:pPr>
      <w:r>
        <w:t xml:space="preserve">Obtenga por escrito las condiciones de reembolso y las afirmaciones sobre colocación laboral.</w:t>
      </w:r>
    </w:p>
    <w:p>
      <w:pPr>
        <w:numPr>
          <w:ilvl w:val="0"/>
          <w:numId w:val="1008"/>
        </w:numPr>
        <w:pStyle w:val="Compact"/>
      </w:pPr>
      <w:r>
        <w:t xml:space="preserve">Evite endeudarse por una credencial que los empleadores objetivo no solicitan.</w:t>
      </w:r>
    </w:p>
    <w:bookmarkEnd w:id="33"/>
    <w:bookmarkStart w:id="37" w:name="Xb062e938f3cc719603b597cbdcc8728c9fbd6e7"/>
    <w:p>
      <w:pPr>
        <w:pStyle w:val="Heading2"/>
      </w:pPr>
      <w:r>
        <w:t xml:space="preserve">Localizadores de financiamiento y capacitación pública</w:t>
      </w:r>
    </w:p>
    <w:bookmarkStart w:id="34" w:name="estados-unidos-1"/>
    <w:p>
      <w:pPr>
        <w:pStyle w:val="Heading3"/>
      </w:pPr>
      <w:r>
        <w:t xml:space="preserve">Estados Unidos</w:t>
      </w:r>
    </w:p>
    <w:p>
      <w:pPr>
        <w:pStyle w:val="FirstParagraph"/>
      </w:pPr>
      <w:r>
        <w:t xml:space="preserve">CareerOneStop ofrece una red de American Job Centers y un</w:t>
      </w:r>
      <w:r>
        <w:t xml:space="preserve"> </w:t>
      </w:r>
      <w:r>
        <w:rPr>
          <w:bCs/>
          <w:b/>
        </w:rPr>
        <w:t xml:space="preserve">WIOA-Eligible Training Program Finder</w:t>
      </w:r>
      <w:r>
        <w:t xml:space="preserve">. Las personas elegibles pueden recibir apoyo para capacitación aprobada, pero la elegibilidad, las prioridades locales, los proveedores aprobados y los fondos disponibles varían. El financiamiento WIOA</w:t>
      </w:r>
      <w:r>
        <w:t xml:space="preserve"> </w:t>
      </w:r>
      <w:r>
        <w:rPr>
          <w:bCs/>
          <w:b/>
        </w:rPr>
        <w:t xml:space="preserve">no está garantizado</w:t>
      </w:r>
      <w:r>
        <w:t xml:space="preserve">.</w:t>
      </w:r>
    </w:p>
    <w:p>
      <w:pPr>
        <w:pStyle w:val="BodyText"/>
      </w:pPr>
      <w:r>
        <w:t xml:space="preserve">La ocupación detallada de O*NET 25-9042.00 no aparece actualmente como aprobada para Registered Apprenticeship en Apprenticeship.gov. Busque programas actuales de empleadores y distritos en vez de pagar a un proveedor que prometa una vía nacional de aprendizaje que no existe.</w:t>
      </w:r>
    </w:p>
    <w:bookmarkEnd w:id="34"/>
    <w:bookmarkStart w:id="35" w:name="canadá-1"/>
    <w:p>
      <w:pPr>
        <w:pStyle w:val="Heading3"/>
      </w:pPr>
      <w:r>
        <w:t xml:space="preserve">Canadá</w:t>
      </w:r>
    </w:p>
    <w:p>
      <w:pPr>
        <w:pStyle w:val="FirstParagraph"/>
      </w:pPr>
      <w:r>
        <w:t xml:space="preserve">No existe un único programa nacional de financiamiento que se aplique a todos los puestos NOC 43100. Compare ayudas estudiantiles provinciales, programas universitarios o técnicos, servicios públicos de empleo, capacitación de juntas escolares y educación apoyada por empleadores en la provincia donde pretende trabajar.</w:t>
      </w:r>
    </w:p>
    <w:p>
      <w:pPr>
        <w:pStyle w:val="BodyText"/>
      </w:pPr>
      <w:r>
        <w:t xml:space="preserve">Confirme la elegibilidad para ayudas públicas directamente con el programa gubernamental responsable antes de matricularse.</w:t>
      </w:r>
    </w:p>
    <w:bookmarkEnd w:id="35"/>
    <w:bookmarkStart w:id="36" w:name="colombia-y-américa-latina"/>
    <w:p>
      <w:pPr>
        <w:pStyle w:val="Heading3"/>
      </w:pPr>
      <w:r>
        <w:t xml:space="preserve">Colombia y América Latina</w:t>
      </w:r>
    </w:p>
    <w:p>
      <w:pPr>
        <w:pStyle w:val="FirstParagraph"/>
      </w:pPr>
      <w:r>
        <w:t xml:space="preserve">En Colombia, comience con SENA/Betowa y la Agencia Pública de Empleo del SENA. En otros países de América Latina, use OIT/Cinterfor para identificar el organismo público nacional de formación correspondiente y luego confirme directamente las ofertas vigentes.</w:t>
      </w:r>
    </w:p>
    <w:bookmarkEnd w:id="36"/>
    <w:bookmarkEnd w:id="37"/>
    <w:bookmarkStart w:id="38" w:name="X86f98916ad84f7cb13241924df82789a71e76dc"/>
    <w:p>
      <w:pPr>
        <w:pStyle w:val="Heading2"/>
      </w:pPr>
      <w:r>
        <w:t xml:space="preserve">Apoyo del empleador y desarrollo basado en el trabajo</w:t>
      </w:r>
    </w:p>
    <w:p>
      <w:pPr>
        <w:pStyle w:val="FirstParagraph"/>
      </w:pPr>
      <w:r>
        <w:t xml:space="preserve">Pregunte a empleadores o sistemas escolares sobre:</w:t>
      </w:r>
    </w:p>
    <w:p>
      <w:pPr>
        <w:numPr>
          <w:ilvl w:val="0"/>
          <w:numId w:val="1009"/>
        </w:numPr>
        <w:pStyle w:val="Compact"/>
      </w:pPr>
      <w:r>
        <w:t xml:space="preserve">incorporación remunerada y orientación para paraeducadores;</w:t>
      </w:r>
    </w:p>
    <w:p>
      <w:pPr>
        <w:numPr>
          <w:ilvl w:val="0"/>
          <w:numId w:val="1009"/>
        </w:numPr>
        <w:pStyle w:val="Compact"/>
      </w:pPr>
      <w:r>
        <w:t xml:space="preserve">capacitación en manejo de aula y apoyo conductual positivo;</w:t>
      </w:r>
    </w:p>
    <w:p>
      <w:pPr>
        <w:numPr>
          <w:ilvl w:val="0"/>
          <w:numId w:val="1009"/>
        </w:numPr>
        <w:pStyle w:val="Compact"/>
      </w:pPr>
      <w:r>
        <w:t xml:space="preserve">capacitación en salvaguarda y denuncia obligatoria;</w:t>
      </w:r>
    </w:p>
    <w:p>
      <w:pPr>
        <w:numPr>
          <w:ilvl w:val="0"/>
          <w:numId w:val="1009"/>
        </w:numPr>
        <w:pStyle w:val="Compact"/>
      </w:pPr>
      <w:r>
        <w:t xml:space="preserve">capacitación en educación especial y apoyo a personas con discapacidad;</w:t>
      </w:r>
    </w:p>
    <w:p>
      <w:pPr>
        <w:numPr>
          <w:ilvl w:val="0"/>
          <w:numId w:val="1009"/>
        </w:numPr>
        <w:pStyle w:val="Compact"/>
      </w:pPr>
      <w:r>
        <w:t xml:space="preserve">primeros auxilios o RCP cuando sean requeridos;</w:t>
      </w:r>
    </w:p>
    <w:p>
      <w:pPr>
        <w:numPr>
          <w:ilvl w:val="0"/>
          <w:numId w:val="1009"/>
        </w:numPr>
        <w:pStyle w:val="Compact"/>
      </w:pPr>
      <w:r>
        <w:t xml:space="preserve">capacitación en desescalamiento y respuesta ante crisis;</w:t>
      </w:r>
    </w:p>
    <w:p>
      <w:pPr>
        <w:numPr>
          <w:ilvl w:val="0"/>
          <w:numId w:val="1009"/>
        </w:numPr>
        <w:pStyle w:val="Compact"/>
      </w:pPr>
      <w:r>
        <w:t xml:space="preserve">capacitación en tecnología asistiva;</w:t>
      </w:r>
    </w:p>
    <w:p>
      <w:pPr>
        <w:numPr>
          <w:ilvl w:val="0"/>
          <w:numId w:val="1009"/>
        </w:numPr>
        <w:pStyle w:val="Compact"/>
      </w:pPr>
      <w:r>
        <w:t xml:space="preserve">apoyo para aprendizaje de idiomas;</w:t>
      </w:r>
    </w:p>
    <w:p>
      <w:pPr>
        <w:numPr>
          <w:ilvl w:val="0"/>
          <w:numId w:val="1009"/>
        </w:numPr>
        <w:pStyle w:val="Compact"/>
      </w:pPr>
      <w:r>
        <w:t xml:space="preserve">asistencia o reembolso de matrícula;</w:t>
      </w:r>
    </w:p>
    <w:p>
      <w:pPr>
        <w:numPr>
          <w:ilvl w:val="0"/>
          <w:numId w:val="1009"/>
        </w:numPr>
        <w:pStyle w:val="Compact"/>
      </w:pPr>
      <w:r>
        <w:t xml:space="preserve">vías desde el trabajo paraprofesional hacia la formación docente; y</w:t>
      </w:r>
    </w:p>
    <w:p>
      <w:pPr>
        <w:numPr>
          <w:ilvl w:val="0"/>
          <w:numId w:val="1009"/>
        </w:numPr>
        <w:pStyle w:val="Compact"/>
      </w:pPr>
      <w:r>
        <w:t xml:space="preserve">programas internos de promoción o desarrollo de credenciales.</w:t>
      </w:r>
    </w:p>
    <w:p>
      <w:pPr>
        <w:pStyle w:val="FirstParagraph"/>
      </w:pPr>
      <w:r>
        <w:t xml:space="preserve">Obtenga por escrito cualquier obligación de reembolso antes de aceptar educación financiada por el empleador.</w:t>
      </w:r>
    </w:p>
    <w:bookmarkEnd w:id="38"/>
    <w:bookmarkStart w:id="43" w:name="ingresos-y-perspectivas-de-empleo"/>
    <w:p>
      <w:pPr>
        <w:pStyle w:val="Heading2"/>
      </w:pPr>
      <w:r>
        <w:t xml:space="preserve">Ingresos y perspectivas de empleo</w:t>
      </w:r>
    </w:p>
    <w:bookmarkStart w:id="39" w:name="estados-unidos--datos-oficiales"/>
    <w:p>
      <w:pPr>
        <w:pStyle w:val="Heading3"/>
      </w:pPr>
      <w:r>
        <w:t xml:space="preserve">Estados Unidos — datos oficiales</w:t>
      </w:r>
    </w:p>
    <w:p>
      <w:pPr>
        <w:pStyle w:val="FirstParagraph"/>
      </w:pPr>
      <w:r>
        <w:t xml:space="preserve">La Oficina de Estadísticas Laborales de Estados Unidos informa para asistentes docentes:</w:t>
      </w:r>
    </w:p>
    <w:p>
      <w:pPr>
        <w:numPr>
          <w:ilvl w:val="0"/>
          <w:numId w:val="1010"/>
        </w:numPr>
        <w:pStyle w:val="Compact"/>
      </w:pPr>
      <w:r>
        <w:rPr>
          <w:bCs/>
          <w:b/>
        </w:rPr>
        <w:t xml:space="preserve">Salario anual mediano, mayo de 2024: USD $35,240</w:t>
      </w:r>
    </w:p>
    <w:p>
      <w:pPr>
        <w:numPr>
          <w:ilvl w:val="0"/>
          <w:numId w:val="1010"/>
        </w:numPr>
        <w:pStyle w:val="Compact"/>
      </w:pPr>
      <w:r>
        <w:rPr>
          <w:bCs/>
          <w:b/>
        </w:rPr>
        <w:t xml:space="preserve">Empleo, 2024: aproximadamente 1,422,800</w:t>
      </w:r>
    </w:p>
    <w:p>
      <w:pPr>
        <w:numPr>
          <w:ilvl w:val="0"/>
          <w:numId w:val="1010"/>
        </w:numPr>
        <w:pStyle w:val="Compact"/>
      </w:pPr>
      <w:r>
        <w:rPr>
          <w:bCs/>
          <w:b/>
        </w:rPr>
        <w:t xml:space="preserve">Cambio proyectado del empleo, 2024–2034: -1%</w:t>
      </w:r>
    </w:p>
    <w:p>
      <w:pPr>
        <w:numPr>
          <w:ilvl w:val="0"/>
          <w:numId w:val="1010"/>
        </w:numPr>
        <w:pStyle w:val="Compact"/>
      </w:pPr>
      <w:r>
        <w:rPr>
          <w:bCs/>
          <w:b/>
        </w:rPr>
        <w:t xml:space="preserve">Vacantes proyectadas: aproximadamente 170,400 por año</w:t>
      </w:r>
    </w:p>
    <w:p>
      <w:pPr>
        <w:pStyle w:val="FirstParagraph"/>
      </w:pPr>
      <w:r>
        <w:t xml:space="preserve">Las vacantes se deben en gran medida al reemplazo de trabajadores. Estas son cifras ocupacionales nacionales, no salarios iniciales garantizados.</w:t>
      </w:r>
    </w:p>
    <w:p>
      <w:pPr>
        <w:pStyle w:val="BodyText"/>
      </w:pPr>
      <w:r>
        <w:t xml:space="preserve">Los calendarios de año escolar y las jornadas de tiempo parcial pueden volver engañosas las comparaciones anuales y por hora. Verifique semanas pagadas, horas diarias, beneficios y empleo de verano antes de comparar ofertas.</w:t>
      </w:r>
    </w:p>
    <w:bookmarkEnd w:id="39"/>
    <w:bookmarkStart w:id="40" w:name="X916929a0efa702cd77b669b65af87ada9b7152e"/>
    <w:p>
      <w:pPr>
        <w:pStyle w:val="Heading3"/>
      </w:pPr>
      <w:r>
        <w:t xml:space="preserve">Estados Unidos — estimación actual del mercado privado</w:t>
      </w:r>
    </w:p>
    <w:p>
      <w:pPr>
        <w:pStyle w:val="FirstParagraph"/>
      </w:pPr>
      <w:r>
        <w:t xml:space="preserve">Indeed informó un salario base promedio de aproximadamente</w:t>
      </w:r>
      <w:r>
        <w:t xml:space="preserve"> </w:t>
      </w:r>
      <w:r>
        <w:rPr>
          <w:bCs/>
          <w:b/>
        </w:rPr>
        <w:t xml:space="preserve">USD $18.45 por hora</w:t>
      </w:r>
      <w:r>
        <w:t xml:space="preserve"> </w:t>
      </w:r>
      <w:r>
        <w:t xml:space="preserve">para el título más específico</w:t>
      </w:r>
      <w:r>
        <w:t xml:space="preserve"> </w:t>
      </w:r>
      <w:r>
        <w:rPr>
          <w:iCs/>
          <w:i/>
        </w:rPr>
        <w:t xml:space="preserve">Teaching Assistant</w:t>
      </w:r>
      <w:r>
        <w:t xml:space="preserve">, actualizado el</w:t>
      </w:r>
      <w:r>
        <w:t xml:space="preserve"> </w:t>
      </w:r>
      <w:r>
        <w:rPr>
          <w:bCs/>
          <w:b/>
        </w:rPr>
        <w:t xml:space="preserve">3 de agosto de 2026</w:t>
      </w:r>
      <w:r>
        <w:t xml:space="preserve"> </w:t>
      </w:r>
      <w:r>
        <w:t xml:space="preserve">y basado en datos salariales de vacantes.</w:t>
      </w:r>
    </w:p>
    <w:p>
      <w:pPr>
        <w:pStyle w:val="BodyText"/>
      </w:pPr>
      <w:r>
        <w:t xml:space="preserve">Esta es una</w:t>
      </w:r>
      <w:r>
        <w:t xml:space="preserve"> </w:t>
      </w:r>
      <w:r>
        <w:rPr>
          <w:bCs/>
          <w:b/>
        </w:rPr>
        <w:t xml:space="preserve">estimación de mercado no gubernamental</w:t>
      </w:r>
      <w:r>
        <w:t xml:space="preserve"> </w:t>
      </w:r>
      <w:r>
        <w:t xml:space="preserve">con un título y una metodología diferentes al salario mediano ocupacional de BLS. No combine ambas cifras como si fueran un solo conjunto de datos.</w:t>
      </w:r>
    </w:p>
    <w:bookmarkEnd w:id="40"/>
    <w:bookmarkStart w:id="41" w:name="canadá--datos-oficiales"/>
    <w:p>
      <w:pPr>
        <w:pStyle w:val="Heading3"/>
      </w:pPr>
      <w:r>
        <w:t xml:space="preserve">Canadá — datos oficiales</w:t>
      </w:r>
    </w:p>
    <w:p>
      <w:pPr>
        <w:pStyle w:val="FirstParagraph"/>
      </w:pPr>
      <w:r>
        <w:t xml:space="preserve">Government of Canada Job Bank informa salarios nacionales para NOC 43100, actualizados el</w:t>
      </w:r>
      <w:r>
        <w:t xml:space="preserve"> </w:t>
      </w:r>
      <w:r>
        <w:rPr>
          <w:bCs/>
          <w:b/>
        </w:rPr>
        <w:t xml:space="preserve">19 de noviembre de 2025</w:t>
      </w:r>
      <w:r>
        <w:t xml:space="preserve">, de aproximadamente:</w:t>
      </w:r>
    </w:p>
    <w:p>
      <w:pPr>
        <w:numPr>
          <w:ilvl w:val="0"/>
          <w:numId w:val="1011"/>
        </w:numPr>
        <w:pStyle w:val="Compact"/>
      </w:pPr>
      <w:r>
        <w:rPr>
          <w:bCs/>
          <w:b/>
        </w:rPr>
        <w:t xml:space="preserve">CAD $18.29/hora bajo</w:t>
      </w:r>
    </w:p>
    <w:p>
      <w:pPr>
        <w:numPr>
          <w:ilvl w:val="0"/>
          <w:numId w:val="1011"/>
        </w:numPr>
        <w:pStyle w:val="Compact"/>
      </w:pPr>
      <w:r>
        <w:rPr>
          <w:bCs/>
          <w:b/>
        </w:rPr>
        <w:t xml:space="preserve">CAD $25.01/hora mediano</w:t>
      </w:r>
    </w:p>
    <w:p>
      <w:pPr>
        <w:numPr>
          <w:ilvl w:val="0"/>
          <w:numId w:val="1011"/>
        </w:numPr>
        <w:pStyle w:val="Compact"/>
      </w:pPr>
      <w:r>
        <w:rPr>
          <w:bCs/>
          <w:b/>
        </w:rPr>
        <w:t xml:space="preserve">CAD $32.42/hora alto</w:t>
      </w:r>
    </w:p>
    <w:p>
      <w:pPr>
        <w:pStyle w:val="FirstParagraph"/>
      </w:pPr>
      <w:r>
        <w:t xml:space="preserve">El periodo de referencia salarial es 2023–2024. La remuneración regional y las perspectivas de empleo varían según la provincia y el mercado laboral local.</w:t>
      </w:r>
    </w:p>
    <w:bookmarkEnd w:id="41"/>
    <w:bookmarkStart w:id="42" w:name="colombia-1"/>
    <w:p>
      <w:pPr>
        <w:pStyle w:val="Heading3"/>
      </w:pPr>
      <w:r>
        <w:t xml:space="preserve">Colombia</w:t>
      </w:r>
    </w:p>
    <w:p>
      <w:pPr>
        <w:pStyle w:val="FirstParagraph"/>
      </w:pPr>
      <w:r>
        <w:t xml:space="preserve">En la revisión controlada de fuentes no se identificó una serie salarial oficial nacional actual directamente comparable para el rol exacto de la Guía 62. No fabrique una.</w:t>
      </w:r>
    </w:p>
    <w:p>
      <w:pPr>
        <w:pStyle w:val="BodyText"/>
      </w:pPr>
      <w:r>
        <w:t xml:space="preserve">Use vacantes actuales de escuelas, proveedores educativos y la Agencia Pública de Empleo del SENA para comparar remuneración, tipo de contrato, horario, requisitos educativos y funciones en su ciudad o departamento.</w:t>
      </w:r>
    </w:p>
    <w:bookmarkEnd w:id="42"/>
    <w:bookmarkEnd w:id="43"/>
    <w:bookmarkStart w:id="44" w:name="un-plan-práctico-de-inicio-de-12-semanas"/>
    <w:p>
      <w:pPr>
        <w:pStyle w:val="Heading2"/>
      </w:pPr>
      <w:r>
        <w:t xml:space="preserve">Un plan práctico de inicio de 12 semanas</w:t>
      </w:r>
    </w:p>
    <w:p>
      <w:pPr>
        <w:pStyle w:val="FirstParagraph"/>
      </w:pPr>
      <w:r>
        <w:rPr>
          <w:bCs/>
          <w:b/>
        </w:rPr>
        <w:t xml:space="preserve">Semanas 1–2:</w:t>
      </w:r>
      <w:r>
        <w:t xml:space="preserve"> </w:t>
      </w:r>
      <w:r>
        <w:t xml:space="preserve">Revise entre 15 y 20 vacantes locales. Registre los requisitos recurrentes de educación, evaluación, antecedentes, primeros auxilios, apoyo a personas con discapacidad, idioma, tecnología y horario.</w:t>
      </w:r>
    </w:p>
    <w:p>
      <w:pPr>
        <w:pStyle w:val="BodyText"/>
      </w:pPr>
      <w:r>
        <w:rPr>
          <w:bCs/>
          <w:b/>
        </w:rPr>
        <w:t xml:space="preserve">Semanas 3–4:</w:t>
      </w:r>
      <w:r>
        <w:t xml:space="preserve"> </w:t>
      </w:r>
      <w:r>
        <w:t xml:space="preserve">Fortalezca alfabetización, aritmética básica, explicación en lenguaje sencillo, habilidades digitales, organización de aula y redacción de notas objetivas.</w:t>
      </w:r>
    </w:p>
    <w:p>
      <w:pPr>
        <w:pStyle w:val="BodyText"/>
      </w:pPr>
      <w:r>
        <w:rPr>
          <w:bCs/>
          <w:b/>
        </w:rPr>
        <w:t xml:space="preserve">Semanas 5–6:</w:t>
      </w:r>
      <w:r>
        <w:t xml:space="preserve"> </w:t>
      </w:r>
      <w:r>
        <w:t xml:space="preserve">Aprenda principios básicos de salvaguarda, privacidad, inclusión de la discapacidad, límites profesionales y procedimientos escolares de escalamiento mediante capacitación pública o reconocida por el empleador.</w:t>
      </w:r>
    </w:p>
    <w:p>
      <w:pPr>
        <w:pStyle w:val="BodyText"/>
      </w:pPr>
      <w:r>
        <w:rPr>
          <w:bCs/>
          <w:b/>
        </w:rPr>
        <w:t xml:space="preserve">Semanas 7–8:</w:t>
      </w:r>
      <w:r>
        <w:t xml:space="preserve"> </w:t>
      </w:r>
      <w:r>
        <w:t xml:space="preserve">Desarrolle experiencia supervisada mediante tutorías, programas juveniles, bibliotecas, cuidado infantil, recreación, servicios para personas con discapacidad, voluntariado escolar o educación comunitaria cuando sea apropiado.</w:t>
      </w:r>
    </w:p>
    <w:p>
      <w:pPr>
        <w:pStyle w:val="BodyText"/>
      </w:pPr>
      <w:r>
        <w:rPr>
          <w:bCs/>
          <w:b/>
        </w:rPr>
        <w:t xml:space="preserve">Semanas 9–10:</w:t>
      </w:r>
      <w:r>
        <w:t xml:space="preserve"> </w:t>
      </w:r>
      <w:r>
        <w:t xml:space="preserve">Aprenda cómo los docentes usan objetivos de aprendizaje, rutinas de aula, apoyo en grupos pequeños, herramientas de accesibilidad y planes aprobados de apoyo al estudiante. Practique únicamente con ejemplos ficticios o no sensibles.</w:t>
      </w:r>
    </w:p>
    <w:p>
      <w:pPr>
        <w:pStyle w:val="BodyText"/>
      </w:pPr>
      <w:r>
        <w:rPr>
          <w:bCs/>
          <w:b/>
        </w:rPr>
        <w:t xml:space="preserve">Semanas 11–12:</w:t>
      </w:r>
      <w:r>
        <w:t xml:space="preserve"> </w:t>
      </w:r>
      <w:r>
        <w:t xml:space="preserve">Postúlese a puestos que coincidan con su educación y experiencia reales. Prepare ejemplos que demuestren paciencia, confiabilidad, apoyo al estudiante, confidencialidad, trabajo en equipo y escalamiento adecuado.</w:t>
      </w:r>
    </w:p>
    <w:bookmarkEnd w:id="44"/>
    <w:bookmarkStart w:id="45" w:name="X74129e15775c5cee6bc4d5a984ca5850d04da74"/>
    <w:p>
      <w:pPr>
        <w:pStyle w:val="Heading2"/>
      </w:pPr>
      <w:r>
        <w:t xml:space="preserve">Cómo desarrollar experiencia sin haber tenido aún este título</w:t>
      </w:r>
    </w:p>
    <w:p>
      <w:pPr>
        <w:pStyle w:val="FirstParagraph"/>
      </w:pPr>
      <w:r>
        <w:t xml:space="preserve">La experiencia transferible puede provenir de:</w:t>
      </w:r>
    </w:p>
    <w:p>
      <w:pPr>
        <w:numPr>
          <w:ilvl w:val="0"/>
          <w:numId w:val="1012"/>
        </w:numPr>
        <w:pStyle w:val="Compact"/>
      </w:pPr>
      <w:r>
        <w:t xml:space="preserve">tutorías o programas de alfabetización;</w:t>
      </w:r>
    </w:p>
    <w:p>
      <w:pPr>
        <w:numPr>
          <w:ilvl w:val="0"/>
          <w:numId w:val="1012"/>
        </w:numPr>
        <w:pStyle w:val="Compact"/>
      </w:pPr>
      <w:r>
        <w:t xml:space="preserve">cuidado infantil o entornos de primera infancia;</w:t>
      </w:r>
    </w:p>
    <w:p>
      <w:pPr>
        <w:numPr>
          <w:ilvl w:val="0"/>
          <w:numId w:val="1012"/>
        </w:numPr>
        <w:pStyle w:val="Compact"/>
      </w:pPr>
      <w:r>
        <w:t xml:space="preserve">recreación juvenil;</w:t>
      </w:r>
    </w:p>
    <w:p>
      <w:pPr>
        <w:numPr>
          <w:ilvl w:val="0"/>
          <w:numId w:val="1012"/>
        </w:numPr>
        <w:pStyle w:val="Compact"/>
      </w:pPr>
      <w:r>
        <w:t xml:space="preserve">bibliotecas o programas de apoyo con tareas;</w:t>
      </w:r>
    </w:p>
    <w:p>
      <w:pPr>
        <w:numPr>
          <w:ilvl w:val="0"/>
          <w:numId w:val="1012"/>
        </w:numPr>
        <w:pStyle w:val="Compact"/>
      </w:pPr>
      <w:r>
        <w:t xml:space="preserve">servicios de apoyo a personas con discapacidad;</w:t>
      </w:r>
    </w:p>
    <w:p>
      <w:pPr>
        <w:numPr>
          <w:ilvl w:val="0"/>
          <w:numId w:val="1012"/>
        </w:numPr>
        <w:pStyle w:val="Compact"/>
      </w:pPr>
      <w:r>
        <w:t xml:space="preserve">campamentos o programas después de clases;</w:t>
      </w:r>
    </w:p>
    <w:p>
      <w:pPr>
        <w:numPr>
          <w:ilvl w:val="0"/>
          <w:numId w:val="1012"/>
        </w:numPr>
        <w:pStyle w:val="Compact"/>
      </w:pPr>
      <w:r>
        <w:t xml:space="preserve">servicio al cliente que requiera paciencia y explicaciones claras;</w:t>
      </w:r>
    </w:p>
    <w:p>
      <w:pPr>
        <w:numPr>
          <w:ilvl w:val="0"/>
          <w:numId w:val="1012"/>
        </w:numPr>
        <w:pStyle w:val="Compact"/>
      </w:pPr>
      <w:r>
        <w:t xml:space="preserve">educación comunitaria;</w:t>
      </w:r>
    </w:p>
    <w:p>
      <w:pPr>
        <w:numPr>
          <w:ilvl w:val="0"/>
          <w:numId w:val="1012"/>
        </w:numPr>
        <w:pStyle w:val="Compact"/>
      </w:pPr>
      <w:r>
        <w:t xml:space="preserve">cuidado de personas; o</w:t>
      </w:r>
    </w:p>
    <w:p>
      <w:pPr>
        <w:numPr>
          <w:ilvl w:val="0"/>
          <w:numId w:val="1012"/>
        </w:numPr>
        <w:pStyle w:val="Compact"/>
      </w:pPr>
      <w:r>
        <w:t xml:space="preserve">voluntariado escolar supervisado cuando esté permitido.</w:t>
      </w:r>
    </w:p>
    <w:p>
      <w:pPr>
        <w:pStyle w:val="FirstParagraph"/>
      </w:pPr>
      <w:r>
        <w:t xml:space="preserve">Describa la experiencia con precisión. La evidencia útil puede incluir asistencia, cantidad de estudiantes apoyados, preparación de lecciones o actividades, registros correctos, comentarios positivos, apoyo exitoso en grupos pequeños, supervisión segura o uso de herramientas de accesibilidad aprobadas.</w:t>
      </w:r>
    </w:p>
    <w:p>
      <w:pPr>
        <w:pStyle w:val="BodyText"/>
      </w:pPr>
      <w:r>
        <w:t xml:space="preserve">No afirme tener licencia docente, autoridad en educación especial, experiencia profesional en orientación, credenciales clínicas o autoridad independiente para tomar decisiones sobre IEP salvo que realmente posea esa autorización.</w:t>
      </w:r>
    </w:p>
    <w:bookmarkEnd w:id="45"/>
    <w:bookmarkStart w:id="46" w:name="progresión-profesional"/>
    <w:p>
      <w:pPr>
        <w:pStyle w:val="Heading2"/>
      </w:pPr>
      <w:r>
        <w:t xml:space="preserve">Progresión profesional</w:t>
      </w:r>
    </w:p>
    <w:p>
      <w:pPr>
        <w:pStyle w:val="FirstParagraph"/>
      </w:pPr>
      <w:r>
        <w:t xml:space="preserve">Los siguientes pasos pueden incluir paraprofesional sénior, auxiliar de educación especial, asistente educativo, asistente de apoyo al aprendizaje, auxiliar de apoyo conductual, asistente de programas escolares, coordinador de actividades después de clases, apoyo para participación familiar u otros puestos de apoyo educativo.</w:t>
      </w:r>
    </w:p>
    <w:p>
      <w:pPr>
        <w:pStyle w:val="BodyText"/>
      </w:pPr>
      <w:r>
        <w:t xml:space="preserve">Con educación adicional y credenciales específicas de la jurisdicción, algunas personas posteriormente pasan a docencia licenciada, educación especial, orientación escolar, tecnología educativa, servicios estudiantiles o administración escolar.</w:t>
      </w:r>
    </w:p>
    <w:p>
      <w:pPr>
        <w:pStyle w:val="BodyText"/>
      </w:pPr>
      <w:r>
        <w:t xml:space="preserve">La experiencia por sí sola no otorga automáticamente un título profesional protegido ni una licencia docente. Verifique los requisitos legales y educativos del siguiente puesto antes de matricularse o presentarse bajo ese título.</w:t>
      </w:r>
    </w:p>
    <w:bookmarkEnd w:id="46"/>
    <w:bookmarkStart w:id="47" w:name="uso-responsable-de-la-ia-en-este-trabajo"/>
    <w:p>
      <w:pPr>
        <w:pStyle w:val="Heading2"/>
      </w:pPr>
      <w:r>
        <w:t xml:space="preserve">Uso responsable de la IA en este trabajo</w:t>
      </w:r>
    </w:p>
    <w:p>
      <w:pPr>
        <w:pStyle w:val="FirstParagraph"/>
      </w:pPr>
      <w:r>
        <w:t xml:space="preserve">La IA puede ser útil para:</w:t>
      </w:r>
    </w:p>
    <w:p>
      <w:pPr>
        <w:numPr>
          <w:ilvl w:val="0"/>
          <w:numId w:val="1013"/>
        </w:numPr>
        <w:pStyle w:val="Compact"/>
      </w:pPr>
      <w:r>
        <w:t xml:space="preserve">practicar preguntas genéricas de entrevista;</w:t>
      </w:r>
    </w:p>
    <w:p>
      <w:pPr>
        <w:numPr>
          <w:ilvl w:val="0"/>
          <w:numId w:val="1013"/>
        </w:numPr>
        <w:pStyle w:val="Compact"/>
      </w:pPr>
      <w:r>
        <w:t xml:space="preserve">explicar terminología educativa no sensible;</w:t>
      </w:r>
    </w:p>
    <w:p>
      <w:pPr>
        <w:numPr>
          <w:ilvl w:val="0"/>
          <w:numId w:val="1013"/>
        </w:numPr>
        <w:pStyle w:val="Compact"/>
      </w:pPr>
      <w:r>
        <w:t xml:space="preserve">redactar notas genéricas de estudio;</w:t>
      </w:r>
    </w:p>
    <w:p>
      <w:pPr>
        <w:numPr>
          <w:ilvl w:val="0"/>
          <w:numId w:val="1013"/>
        </w:numPr>
        <w:pStyle w:val="Compact"/>
      </w:pPr>
      <w:r>
        <w:t xml:space="preserve">generar ideas de apoyo en el aula para que las revise el docente; o</w:t>
      </w:r>
    </w:p>
    <w:p>
      <w:pPr>
        <w:numPr>
          <w:ilvl w:val="0"/>
          <w:numId w:val="1013"/>
        </w:numPr>
        <w:pStyle w:val="Compact"/>
      </w:pPr>
      <w:r>
        <w:t xml:space="preserve">crear escenarios ficticios de práctica.</w:t>
      </w:r>
    </w:p>
    <w:p>
      <w:pPr>
        <w:pStyle w:val="FirstParagraph"/>
      </w:pPr>
      <w:r>
        <w:rPr>
          <w:bCs/>
          <w:b/>
        </w:rPr>
        <w:t xml:space="preserve">No</w:t>
      </w:r>
      <w:r>
        <w:t xml:space="preserve"> </w:t>
      </w:r>
      <w:r>
        <w:t xml:space="preserve">introduzca información identificable o confidencial de estudiantes en una herramienta de IA no aprobada. Esto incluye nombres de estudiantes, registros educativos, detalles de IEP, calificaciones, información de salud, registros de conducta, información de salvaguarda, datos familiares o información disciplinaria.</w:t>
      </w:r>
    </w:p>
    <w:p>
      <w:pPr>
        <w:pStyle w:val="BodyText"/>
      </w:pPr>
      <w:r>
        <w:t xml:space="preserve">La IA no debe sustituir el juicio de docentes o especialistas licenciados, las decisiones escolares de salvaguarda, los procesos disciplinarios formales, las determinaciones de discapacidad ni los planes aprobados de apoyo al estudiante. El material educativo generado por IA debe ser revisado por el docente responsable o profesional autorizado antes de utilizarse con estudiantes.</w:t>
      </w:r>
    </w:p>
    <w:p>
      <w:pPr>
        <w:pStyle w:val="BodyText"/>
      </w:pPr>
      <w:r>
        <w:t xml:space="preserve">Siga la política escolar incluso cuando un servicio público de IA parezca conveniente.</w:t>
      </w:r>
    </w:p>
    <w:bookmarkEnd w:id="47"/>
    <w:bookmarkStart w:id="48" w:name="X94aa9700ae50c6ba41853c03033fdf3fe16de90"/>
    <w:p>
      <w:pPr>
        <w:pStyle w:val="Heading2"/>
      </w:pPr>
      <w:r>
        <w:t xml:space="preserve">Fundamentos de ciberseguridad para el trabajo de apoyo escolar</w:t>
      </w:r>
    </w:p>
    <w:p>
      <w:pPr>
        <w:pStyle w:val="FirstParagraph"/>
      </w:pPr>
      <w:r>
        <w:t xml:space="preserve">Proteja la información de estudiantes y de la escuela mediante las siguientes prácticas:</w:t>
      </w:r>
    </w:p>
    <w:p>
      <w:pPr>
        <w:numPr>
          <w:ilvl w:val="0"/>
          <w:numId w:val="1014"/>
        </w:numPr>
        <w:pStyle w:val="Compact"/>
      </w:pPr>
      <w:r>
        <w:t xml:space="preserve">use contraseñas únicas y autenticación multifactor cuando esté disponible;</w:t>
      </w:r>
    </w:p>
    <w:p>
      <w:pPr>
        <w:numPr>
          <w:ilvl w:val="0"/>
          <w:numId w:val="1014"/>
        </w:numPr>
        <w:pStyle w:val="Compact"/>
      </w:pPr>
      <w:r>
        <w:t xml:space="preserve">bloquee la pantalla cuando se aleje del dispositivo;</w:t>
      </w:r>
    </w:p>
    <w:p>
      <w:pPr>
        <w:numPr>
          <w:ilvl w:val="0"/>
          <w:numId w:val="1014"/>
        </w:numPr>
        <w:pStyle w:val="Compact"/>
      </w:pPr>
      <w:r>
        <w:t xml:space="preserve">use dispositivos y cuentas aprobados por la escuela;</w:t>
      </w:r>
    </w:p>
    <w:p>
      <w:pPr>
        <w:numPr>
          <w:ilvl w:val="0"/>
          <w:numId w:val="1014"/>
        </w:numPr>
        <w:pStyle w:val="Compact"/>
      </w:pPr>
      <w:r>
        <w:t xml:space="preserve">trate con cautela enlaces, archivos adjuntos, solicitudes de inicio de sesión y solicitudes de restablecimiento de contraseña inesperadas;</w:t>
      </w:r>
    </w:p>
    <w:p>
      <w:pPr>
        <w:numPr>
          <w:ilvl w:val="0"/>
          <w:numId w:val="1014"/>
        </w:numPr>
        <w:pStyle w:val="Compact"/>
      </w:pPr>
      <w:r>
        <w:t xml:space="preserve">nunca comparta contraseñas ni códigos de autenticación;</w:t>
      </w:r>
    </w:p>
    <w:p>
      <w:pPr>
        <w:numPr>
          <w:ilvl w:val="0"/>
          <w:numId w:val="1014"/>
        </w:numPr>
        <w:pStyle w:val="Compact"/>
      </w:pPr>
      <w:r>
        <w:t xml:space="preserve">evite unidades USB desconocidas o software no autorizado;</w:t>
      </w:r>
    </w:p>
    <w:p>
      <w:pPr>
        <w:numPr>
          <w:ilvl w:val="0"/>
          <w:numId w:val="1014"/>
        </w:numPr>
        <w:pStyle w:val="Compact"/>
      </w:pPr>
      <w:r>
        <w:t xml:space="preserve">mantenga la información sensible de estudiantes fuera del correo personal, aplicaciones de mensajería, almacenamiento personal en la nube y herramientas de IA no aprobadas; y</w:t>
      </w:r>
    </w:p>
    <w:p>
      <w:pPr>
        <w:numPr>
          <w:ilvl w:val="0"/>
          <w:numId w:val="1014"/>
        </w:numPr>
        <w:pStyle w:val="Compact"/>
      </w:pPr>
      <w:r>
        <w:t xml:space="preserve">reporte de inmediato posibles casos de phishing, dispositivos perdidos, incidentes de privacidad o compromiso de cuentas.</w:t>
      </w:r>
    </w:p>
    <w:bookmarkEnd w:id="48"/>
    <w:bookmarkStart w:id="49" w:name="X1be3896ced7675c30420008e22b52ed8651607e"/>
    <w:p>
      <w:pPr>
        <w:pStyle w:val="Heading2"/>
      </w:pPr>
      <w:r>
        <w:t xml:space="preserve">Cuándo detenerse antes de pagar por capacitación</w:t>
      </w:r>
    </w:p>
    <w:p>
      <w:pPr>
        <w:pStyle w:val="FirstParagraph"/>
      </w:pPr>
      <w:r>
        <w:t xml:space="preserve">Pause o retrase la matrícula cuando:</w:t>
      </w:r>
    </w:p>
    <w:p>
      <w:pPr>
        <w:numPr>
          <w:ilvl w:val="0"/>
          <w:numId w:val="1015"/>
        </w:numPr>
        <w:pStyle w:val="Compact"/>
      </w:pPr>
      <w:r>
        <w:t xml:space="preserve">el proveedor no pueda demostrar que los empleadores locales solicitan la credencial;</w:t>
      </w:r>
    </w:p>
    <w:p>
      <w:pPr>
        <w:numPr>
          <w:ilvl w:val="0"/>
          <w:numId w:val="1015"/>
        </w:numPr>
        <w:pStyle w:val="Compact"/>
      </w:pPr>
      <w:r>
        <w:t xml:space="preserve">la matrícula, tarifas, materiales, exámenes, transporte o costos de prácticas no estén claros;</w:t>
      </w:r>
    </w:p>
    <w:p>
      <w:pPr>
        <w:numPr>
          <w:ilvl w:val="0"/>
          <w:numId w:val="1015"/>
        </w:numPr>
        <w:pStyle w:val="Compact"/>
      </w:pPr>
      <w:r>
        <w:t xml:space="preserve">las afirmaciones sobre colocación laboral no puedan verificarse;</w:t>
      </w:r>
    </w:p>
    <w:p>
      <w:pPr>
        <w:numPr>
          <w:ilvl w:val="0"/>
          <w:numId w:val="1015"/>
        </w:numPr>
        <w:pStyle w:val="Compact"/>
      </w:pPr>
      <w:r>
        <w:t xml:space="preserve">el programa sugiera que otorga licencia docente o autoridad profesional protegida cuando en realidad no lo hace;</w:t>
      </w:r>
    </w:p>
    <w:p>
      <w:pPr>
        <w:numPr>
          <w:ilvl w:val="0"/>
          <w:numId w:val="1015"/>
        </w:numPr>
        <w:pStyle w:val="Compact"/>
      </w:pPr>
      <w:r>
        <w:t xml:space="preserve">una vía pública más económica o financiada por el empleador pueda cumplir el mismo requisito;</w:t>
      </w:r>
    </w:p>
    <w:p>
      <w:pPr>
        <w:numPr>
          <w:ilvl w:val="0"/>
          <w:numId w:val="1015"/>
        </w:numPr>
        <w:pStyle w:val="Compact"/>
      </w:pPr>
      <w:r>
        <w:t xml:space="preserve">las condiciones de reembolso no estén claras; o</w:t>
      </w:r>
    </w:p>
    <w:p>
      <w:pPr>
        <w:numPr>
          <w:ilvl w:val="0"/>
          <w:numId w:val="1015"/>
        </w:numPr>
        <w:pStyle w:val="Compact"/>
      </w:pPr>
      <w:r>
        <w:t xml:space="preserve">el programa lo presione para endeudarse antes de comparar requisitos reales de empleo local.</w:t>
      </w:r>
    </w:p>
    <w:bookmarkEnd w:id="49"/>
    <w:bookmarkStart w:id="62" w:name="fuentes-actuales"/>
    <w:p>
      <w:pPr>
        <w:pStyle w:val="Heading2"/>
      </w:pPr>
      <w:r>
        <w:t xml:space="preserve">Fuentes actuales</w:t>
      </w:r>
    </w:p>
    <w:p>
      <w:pPr>
        <w:pStyle w:val="FirstParagraph"/>
      </w:pPr>
      <w:r>
        <w:t xml:space="preserve">Fuentes oficiales/públicas:</w:t>
      </w:r>
    </w:p>
    <w:p>
      <w:pPr>
        <w:numPr>
          <w:ilvl w:val="0"/>
          <w:numId w:val="1016"/>
        </w:numPr>
        <w:pStyle w:val="Compact"/>
      </w:pPr>
      <w:r>
        <w:t xml:space="preserve">U.S. Bureau of Labor Statistics — Teacher Assistants:</w:t>
      </w:r>
      <w:r>
        <w:t xml:space="preserve"> </w:t>
      </w:r>
      <w:hyperlink r:id="rId50">
        <w:hyperlink r:id="rId50">
          <w:r>
            <w:rPr>
              <w:rStyle w:val="Hyperlink"/>
            </w:rPr>
            <w:t xml:space="preserve">Source link</w:t>
          </w:r>
        </w:hyperlink>
      </w:hyperlink>
    </w:p>
    <w:p>
      <w:pPr>
        <w:numPr>
          <w:ilvl w:val="0"/>
          <w:numId w:val="1016"/>
        </w:numPr>
        <w:pStyle w:val="Compact"/>
      </w:pPr>
      <w:r>
        <w:t xml:space="preserve">Apprenticeship.gov — estado de aprendizaje de O*NET 25-9042.00:</w:t>
      </w:r>
      <w:r>
        <w:t xml:space="preserve"> </w:t>
      </w:r>
      <w:hyperlink r:id="rId51">
        <w:hyperlink r:id="rId51">
          <w:r>
            <w:rPr>
              <w:rStyle w:val="Hyperlink"/>
            </w:rPr>
            <w:t xml:space="preserve">Source link</w:t>
          </w:r>
        </w:hyperlink>
      </w:hyperlink>
    </w:p>
    <w:p>
      <w:pPr>
        <w:numPr>
          <w:ilvl w:val="0"/>
          <w:numId w:val="1016"/>
        </w:numPr>
        <w:pStyle w:val="Compact"/>
      </w:pPr>
      <w:r>
        <w:t xml:space="preserve">CareerOneStop — WIOA-Eligible Training Program Finder:</w:t>
      </w:r>
      <w:r>
        <w:t xml:space="preserve"> </w:t>
      </w:r>
      <w:hyperlink r:id="rId52">
        <w:hyperlink r:id="rId52">
          <w:r>
            <w:rPr>
              <w:rStyle w:val="Hyperlink"/>
            </w:rPr>
            <w:t xml:space="preserve">Source link</w:t>
          </w:r>
        </w:hyperlink>
      </w:hyperlink>
    </w:p>
    <w:p>
      <w:pPr>
        <w:numPr>
          <w:ilvl w:val="0"/>
          <w:numId w:val="1016"/>
        </w:numPr>
        <w:pStyle w:val="Compact"/>
      </w:pPr>
      <w:r>
        <w:t xml:space="preserve">U.S. Department of Education — orientación FERPA sobre acceso de funcionarios escolares:</w:t>
      </w:r>
      <w:r>
        <w:t xml:space="preserve"> </w:t>
      </w:r>
      <w:hyperlink r:id="rId53">
        <w:hyperlink r:id="rId53">
          <w:r>
            <w:rPr>
              <w:rStyle w:val="Hyperlink"/>
            </w:rPr>
            <w:t xml:space="preserve">Source link</w:t>
          </w:r>
        </w:hyperlink>
      </w:hyperlink>
    </w:p>
    <w:p>
      <w:pPr>
        <w:numPr>
          <w:ilvl w:val="0"/>
          <w:numId w:val="1016"/>
        </w:numPr>
        <w:pStyle w:val="Compact"/>
      </w:pPr>
      <w:r>
        <w:t xml:space="preserve">Government of Canada Job Bank — requisitos NOC 43100:</w:t>
      </w:r>
      <w:r>
        <w:t xml:space="preserve"> </w:t>
      </w:r>
      <w:hyperlink r:id="rId54">
        <w:hyperlink r:id="rId54">
          <w:r>
            <w:rPr>
              <w:rStyle w:val="Hyperlink"/>
            </w:rPr>
            <w:t xml:space="preserve">Source link</w:t>
          </w:r>
        </w:hyperlink>
      </w:hyperlink>
    </w:p>
    <w:p>
      <w:pPr>
        <w:numPr>
          <w:ilvl w:val="0"/>
          <w:numId w:val="1016"/>
        </w:numPr>
        <w:pStyle w:val="Compact"/>
      </w:pPr>
      <w:r>
        <w:t xml:space="preserve">Government of Canada Job Bank — salarios NOC 43100:</w:t>
      </w:r>
      <w:r>
        <w:t xml:space="preserve"> </w:t>
      </w:r>
      <w:hyperlink r:id="rId55">
        <w:hyperlink r:id="rId55">
          <w:r>
            <w:rPr>
              <w:rStyle w:val="Hyperlink"/>
            </w:rPr>
            <w:t xml:space="preserve">Source link</w:t>
          </w:r>
        </w:hyperlink>
      </w:hyperlink>
    </w:p>
    <w:p>
      <w:pPr>
        <w:numPr>
          <w:ilvl w:val="0"/>
          <w:numId w:val="1016"/>
        </w:numPr>
        <w:pStyle w:val="Compact"/>
      </w:pPr>
      <w:r>
        <w:t xml:space="preserve">Government of Canada Job Bank — perspectivas regionales:</w:t>
      </w:r>
      <w:r>
        <w:t xml:space="preserve"> </w:t>
      </w:r>
      <w:hyperlink r:id="rId56">
        <w:hyperlink r:id="rId56">
          <w:r>
            <w:rPr>
              <w:rStyle w:val="Hyperlink"/>
            </w:rPr>
            <w:t xml:space="preserve">Source link</w:t>
          </w:r>
        </w:hyperlink>
      </w:hyperlink>
    </w:p>
    <w:p>
      <w:pPr>
        <w:numPr>
          <w:ilvl w:val="0"/>
          <w:numId w:val="1016"/>
        </w:numPr>
        <w:pStyle w:val="Compact"/>
      </w:pPr>
      <w:r>
        <w:t xml:space="preserve">SENA Betowa — Inducción a procesos pedagógicos:</w:t>
      </w:r>
      <w:r>
        <w:t xml:space="preserve"> </w:t>
      </w:r>
      <w:hyperlink r:id="rId57">
        <w:hyperlink r:id="rId57">
          <w:r>
            <w:rPr>
              <w:rStyle w:val="Hyperlink"/>
            </w:rPr>
            <w:t xml:space="preserve">Source link</w:t>
          </w:r>
        </w:hyperlink>
      </w:hyperlink>
    </w:p>
    <w:p>
      <w:pPr>
        <w:numPr>
          <w:ilvl w:val="0"/>
          <w:numId w:val="1016"/>
        </w:numPr>
        <w:pStyle w:val="Compact"/>
      </w:pPr>
      <w:r>
        <w:t xml:space="preserve">SENA Agencia Pública de Empleo:</w:t>
      </w:r>
      <w:r>
        <w:t xml:space="preserve"> </w:t>
      </w:r>
      <w:hyperlink r:id="rId58">
        <w:r>
          <w:rPr>
            <w:rStyle w:val="Hyperlink"/>
          </w:rPr>
          <w:t xml:space="preserve">https://ape.sena.edu.co/</w:t>
        </w:r>
      </w:hyperlink>
    </w:p>
    <w:p>
      <w:pPr>
        <w:numPr>
          <w:ilvl w:val="0"/>
          <w:numId w:val="1016"/>
        </w:numPr>
        <w:pStyle w:val="Compact"/>
      </w:pPr>
      <w:r>
        <w:t xml:space="preserve">OIT/Cinterfor:</w:t>
      </w:r>
      <w:r>
        <w:t xml:space="preserve"> </w:t>
      </w:r>
      <w:hyperlink r:id="rId59">
        <w:r>
          <w:rPr>
            <w:rStyle w:val="Hyperlink"/>
          </w:rPr>
          <w:t xml:space="preserve">https://www.oitcinterfor.org/</w:t>
        </w:r>
      </w:hyperlink>
    </w:p>
    <w:p>
      <w:pPr>
        <w:numPr>
          <w:ilvl w:val="0"/>
          <w:numId w:val="1016"/>
        </w:numPr>
        <w:pStyle w:val="Compact"/>
      </w:pPr>
      <w:r>
        <w:t xml:space="preserve">OIT/Cinterfor — localizador de la red regional de formación:</w:t>
      </w:r>
      <w:r>
        <w:t xml:space="preserve"> </w:t>
      </w:r>
      <w:hyperlink r:id="rId60">
        <w:hyperlink r:id="rId60">
          <w:r>
            <w:rPr>
              <w:rStyle w:val="Hyperlink"/>
            </w:rPr>
            <w:t xml:space="preserve">Source link</w:t>
          </w:r>
        </w:hyperlink>
      </w:hyperlink>
    </w:p>
    <w:p>
      <w:pPr>
        <w:pStyle w:val="FirstParagraph"/>
      </w:pPr>
      <w:r>
        <w:t xml:space="preserve">Fuente suplementaria de mercado no gubernamental:</w:t>
      </w:r>
    </w:p>
    <w:p>
      <w:pPr>
        <w:numPr>
          <w:ilvl w:val="0"/>
          <w:numId w:val="1017"/>
        </w:numPr>
        <w:pStyle w:val="Compact"/>
      </w:pPr>
      <w:r>
        <w:t xml:space="preserve">Indeed — estimación salarial de Teaching Assistant:</w:t>
      </w:r>
      <w:r>
        <w:t xml:space="preserve"> </w:t>
      </w:r>
      <w:hyperlink r:id="rId61">
        <w:hyperlink r:id="rId61">
          <w:r>
            <w:rPr>
              <w:rStyle w:val="Hyperlink"/>
            </w:rPr>
            <w:t xml:space="preserve">Source link</w:t>
          </w:r>
        </w:hyperlink>
      </w:hyperlink>
    </w:p>
    <w:bookmarkEnd w:id="62"/>
    <w:bookmarkStart w:id="63" w:name="nota-sobre-fuentes-y-revisión"/>
    <w:p>
      <w:pPr>
        <w:pStyle w:val="Heading2"/>
      </w:pPr>
      <w:r>
        <w:t xml:space="preserve">Nota sobre fuentes y revisión</w:t>
      </w:r>
    </w:p>
    <w:p>
      <w:pPr>
        <w:pStyle w:val="FirstParagraph"/>
      </w:pPr>
      <w:r>
        <w:t xml:space="preserve">Esta Versión 2 utiliza fuentes públicas actuales y una estimación privada de mercado claramente separada. Las páginas fuente, disponibilidad de programas, salarios, reglas escolares y requisitos de empleadores pueden cambiar. Vuelva a verificarlos antes de tomar una decisión educativa, laboral, de reubicación o financiera.</w:t>
      </w:r>
    </w:p>
    <w:p>
      <w:pPr>
        <w:pStyle w:val="BodyText"/>
      </w:pPr>
      <w:r>
        <w:t xml:space="preserve">La QA interna del proyecto y la redacción asistida por IA no constituyen certificación humana independiente, certificación profesional de traducción, acreditación, revisión jurídica, certificación de accesibilidad ni garantía de empleo o ingresos.</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ape.sena.edu.co/" TargetMode="External" /><Relationship Type="http://schemas.openxmlformats.org/officeDocument/2006/relationships/hyperlink" Id="rId57" Target="https://betowa.sena.edu.co/oferta/induccion-a-procesos-pedagogicos?modality=V&amp;offertype=com&amp;programId=6477" TargetMode="External" /><Relationship Type="http://schemas.openxmlformats.org/officeDocument/2006/relationships/hyperlink" Id="rId53" Target="https://studentprivacy.ed.gov/faq/under-ferpa-may-educational-agency-or-institution-disclose-education-records-any-its-employees" TargetMode="External" /><Relationship Type="http://schemas.openxmlformats.org/officeDocument/2006/relationships/hyperlink" Id="rId51" Target="https://www.apprenticeship.gov/apprenticeship-occupations/listings?occupationCode=25-9042.00" TargetMode="External" /><Relationship Type="http://schemas.openxmlformats.org/officeDocument/2006/relationships/hyperlink" Id="rId50" Target="https://www.bls.gov/ooh/education-training-and-library/teacher-assistants.htm" TargetMode="External" /><Relationship Type="http://schemas.openxmlformats.org/officeDocument/2006/relationships/hyperlink" Id="rId52" Target="https://www.careeronestop.org/LocalHelp/EmploymentAndTraining/find-WIOA-training-programs.aspx" TargetMode="External" /><Relationship Type="http://schemas.openxmlformats.org/officeDocument/2006/relationships/hyperlink" Id="rId61" Target="https://www.indeed.com/career/teaching-assistant/salaries" TargetMode="External" /><Relationship Type="http://schemas.openxmlformats.org/officeDocument/2006/relationships/hyperlink" Id="rId54" Target="https://www.jobbank.gc.ca/marketreport/requirements/16551/ca" TargetMode="External" /><Relationship Type="http://schemas.openxmlformats.org/officeDocument/2006/relationships/hyperlink" Id="rId55" Target="https://www.jobbank.gc.ca/marketreport/wages-occupation/16551/ca" TargetMode="External" /><Relationship Type="http://schemas.openxmlformats.org/officeDocument/2006/relationships/hyperlink" Id="rId56" Target="https://www.jobbank.gc.ca/outlookreport/occupation/26536" TargetMode="External" /><Relationship Type="http://schemas.openxmlformats.org/officeDocument/2006/relationships/hyperlink" Id="rId59" Target="https://www.oitcinterfor.org/" TargetMode="External" /><Relationship Type="http://schemas.openxmlformats.org/officeDocument/2006/relationships/hyperlink" Id="rId60" Target="https://www.oitcinterfor.org/statsfp?field_year_tid=All" TargetMode="External" /></Relationships>
</file>

<file path=word/_rels/footnotes.xml.rels><?xml version="1.0" encoding="UTF-8"?><Relationships xmlns="http://schemas.openxmlformats.org/package/2006/relationships"><Relationship Type="http://schemas.openxmlformats.org/officeDocument/2006/relationships/hyperlink" Id="rId58" Target="https://ape.sena.edu.co/" TargetMode="External" /><Relationship Type="http://schemas.openxmlformats.org/officeDocument/2006/relationships/hyperlink" Id="rId57" Target="https://betowa.sena.edu.co/oferta/induccion-a-procesos-pedagogicos?modality=V&amp;offertype=com&amp;programId=6477" TargetMode="External" /><Relationship Type="http://schemas.openxmlformats.org/officeDocument/2006/relationships/hyperlink" Id="rId53" Target="https://studentprivacy.ed.gov/faq/under-ferpa-may-educational-agency-or-institution-disclose-education-records-any-its-employees" TargetMode="External" /><Relationship Type="http://schemas.openxmlformats.org/officeDocument/2006/relationships/hyperlink" Id="rId51" Target="https://www.apprenticeship.gov/apprenticeship-occupations/listings?occupationCode=25-9042.00" TargetMode="External" /><Relationship Type="http://schemas.openxmlformats.org/officeDocument/2006/relationships/hyperlink" Id="rId50" Target="https://www.bls.gov/ooh/education-training-and-library/teacher-assistants.htm" TargetMode="External" /><Relationship Type="http://schemas.openxmlformats.org/officeDocument/2006/relationships/hyperlink" Id="rId52" Target="https://www.careeronestop.org/LocalHelp/EmploymentAndTraining/find-WIOA-training-programs.aspx" TargetMode="External" /><Relationship Type="http://schemas.openxmlformats.org/officeDocument/2006/relationships/hyperlink" Id="rId61" Target="https://www.indeed.com/career/teaching-assistant/salaries" TargetMode="External" /><Relationship Type="http://schemas.openxmlformats.org/officeDocument/2006/relationships/hyperlink" Id="rId54" Target="https://www.jobbank.gc.ca/marketreport/requirements/16551/ca" TargetMode="External" /><Relationship Type="http://schemas.openxmlformats.org/officeDocument/2006/relationships/hyperlink" Id="rId55" Target="https://www.jobbank.gc.ca/marketreport/wages-occupation/16551/ca" TargetMode="External" /><Relationship Type="http://schemas.openxmlformats.org/officeDocument/2006/relationships/hyperlink" Id="rId56" Target="https://www.jobbank.gc.ca/outlookreport/occupation/26536" TargetMode="External" /><Relationship Type="http://schemas.openxmlformats.org/officeDocument/2006/relationships/hyperlink" Id="rId59" Target="https://www.oitcinterfor.org/" TargetMode="External" /><Relationship Type="http://schemas.openxmlformats.org/officeDocument/2006/relationships/hyperlink" Id="rId60" Target="https://www.oitcinterfor.org/statsfp?field_year_tid=Al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2026-08-20T17:00:46Z</dcterms:created>
  <dcterms:modified xsi:type="dcterms:W3CDTF">2026-08-20T17:00:46Z</dcterms:modified>
</cp:coreProperties>
</file>

<file path=docProps/custom.xml><?xml version="1.0" encoding="utf-8"?>
<Properties xmlns="http://schemas.openxmlformats.org/officeDocument/2006/custom-properties" xmlns:vt="http://schemas.openxmlformats.org/officeDocument/2006/docPropsVTypes"/>
</file>