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738cbb0f3fdb8b3175470d692d205f5b5f0cff2"/>
    <w:p>
      <w:pPr>
        <w:pStyle w:val="Heading1"/>
      </w:pPr>
      <w:r>
        <w:t xml:space="preserve">Guide 64 — Community Service Program Coordinator</w:t>
      </w:r>
    </w:p>
    <w:p>
      <w:pPr>
        <w:pStyle w:val="FirstParagraph"/>
      </w:pPr>
      <w:r>
        <w:rPr>
          <w:bCs/>
          <w:b/>
        </w:rPr>
        <w:t xml:space="preserve">Controlled English working master — Version 2.0</w:t>
      </w:r>
      <w:r>
        <w:br/>
      </w:r>
      <w:r>
        <w:rPr>
          <w:bCs/>
          <w:b/>
        </w:rPr>
        <w:t xml:space="preserve">Review date:</w:t>
      </w:r>
      <w:r>
        <w:t xml:space="preserve"> </w:t>
      </w:r>
      <w:r>
        <w:t xml:space="preserve">August 20,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Community Service Program Coordinators help organize, deliver, document, and improve programs that serve communities. Depending on the employer, the work may include outreach, events, volunteer coordination, service referrals, partner communication, scheduling, records, grant-funded activity tracking, program metrics, purchasing support, participant communications, accessibility planning, and routine reporting.</w:t>
      </w:r>
    </w:p>
    <w:p>
      <w:pPr>
        <w:pStyle w:val="BodyText"/>
      </w:pPr>
      <w:r>
        <w:t xml:space="preserve">The title is not standardized. A coordinator in one organization may be an entry-to-mid-level program administrator; another may supervise staff, manage a budget, or operate close to a program-manager level. Always compare the actual duties, decision authority, education requirements, supervision responsibilities, budget control, and legal obligations rather than relying on title alone.</w:t>
      </w:r>
    </w:p>
    <w:p>
      <w:pPr>
        <w:pStyle w:val="BodyText"/>
      </w:pPr>
      <w:r>
        <w:t xml:space="preserve">In the United States, the closest broad official management benchmark is</w:t>
      </w:r>
      <w:r>
        <w:t xml:space="preserve"> </w:t>
      </w:r>
      <w:r>
        <w:rPr>
          <w:bCs/>
          <w:b/>
        </w:rPr>
        <w:t xml:space="preserve">O*NET-SOC 11-9151.00 — Social and Community Service Managers</w:t>
      </w:r>
      <w:r>
        <w:t xml:space="preserve">, because that occupation includes planning, directing, or coordinating social-service programs and community-outreach organizations. Many coordinator jobs, however, carry less authority than that management occupation.</w:t>
      </w:r>
    </w:p>
    <w:p>
      <w:pPr>
        <w:pStyle w:val="BodyText"/>
      </w:pPr>
      <w:r>
        <w:t xml:space="preserve">In Canada, the closest broad management comparison is</w:t>
      </w:r>
      <w:r>
        <w:t xml:space="preserve"> </w:t>
      </w:r>
      <w:r>
        <w:rPr>
          <w:bCs/>
          <w:b/>
        </w:rPr>
        <w:t xml:space="preserve">NOC 40030 — Managers in social, community and correctional services</w:t>
      </w:r>
      <w:r>
        <w:t xml:space="preserve">. A coordinator title is not automatically a NOC 40030 management role.</w:t>
      </w:r>
    </w:p>
    <w:p>
      <w:pPr>
        <w:pStyle w:val="BodyText"/>
      </w:pPr>
      <w:r>
        <w:t xml:space="preserve">In Colombia, current SENA evidence supports community-program, outreach, participation, and local-development pathways, but no single national occupation or wage mapping was identified that makes every Community Service Program Coordinator equivalent to the U.S. or Canadian management classifications.</w:t>
      </w:r>
    </w:p>
    <w:bookmarkEnd w:id="20"/>
    <w:bookmarkStart w:id="21" w:name="typical-duties"/>
    <w:p>
      <w:pPr>
        <w:pStyle w:val="Heading2"/>
      </w:pPr>
      <w:r>
        <w:t xml:space="preserve">Typical duties</w:t>
      </w:r>
    </w:p>
    <w:p>
      <w:pPr>
        <w:pStyle w:val="FirstParagraph"/>
      </w:pPr>
      <w:r>
        <w:t xml:space="preserve">Depending on the program and your authorized scope, duties may include:</w:t>
      </w:r>
    </w:p>
    <w:p>
      <w:pPr>
        <w:numPr>
          <w:ilvl w:val="0"/>
          <w:numId w:val="1001"/>
        </w:numPr>
        <w:pStyle w:val="Compact"/>
      </w:pPr>
      <w:r>
        <w:t xml:space="preserve">coordinating calendars, workshops, outreach activities, meetings, events, or service-delivery schedules;</w:t>
      </w:r>
    </w:p>
    <w:p>
      <w:pPr>
        <w:numPr>
          <w:ilvl w:val="0"/>
          <w:numId w:val="1001"/>
        </w:numPr>
        <w:pStyle w:val="Compact"/>
      </w:pPr>
      <w:r>
        <w:t xml:space="preserve">communicating with participants, volunteers, community partners, vendors, schools, public agencies, nonprofits, funders, or internal teams;</w:t>
      </w:r>
    </w:p>
    <w:p>
      <w:pPr>
        <w:numPr>
          <w:ilvl w:val="0"/>
          <w:numId w:val="1001"/>
        </w:numPr>
        <w:pStyle w:val="Compact"/>
      </w:pPr>
      <w:r>
        <w:t xml:space="preserve">preparing routine reports, attendance records, participation summaries, activity logs, meeting notes, and program metrics;</w:t>
      </w:r>
    </w:p>
    <w:p>
      <w:pPr>
        <w:numPr>
          <w:ilvl w:val="0"/>
          <w:numId w:val="1001"/>
        </w:numPr>
        <w:pStyle w:val="Compact"/>
      </w:pPr>
      <w:r>
        <w:t xml:space="preserve">maintaining participant, volunteer, vendor, grant, or program files according to privacy and retention rules;</w:t>
      </w:r>
    </w:p>
    <w:p>
      <w:pPr>
        <w:numPr>
          <w:ilvl w:val="0"/>
          <w:numId w:val="1001"/>
        </w:numPr>
        <w:pStyle w:val="Compact"/>
      </w:pPr>
      <w:r>
        <w:t xml:space="preserve">helping organize referral information and community-resource directories;</w:t>
      </w:r>
    </w:p>
    <w:p>
      <w:pPr>
        <w:numPr>
          <w:ilvl w:val="0"/>
          <w:numId w:val="1001"/>
        </w:numPr>
        <w:pStyle w:val="Compact"/>
      </w:pPr>
      <w:r>
        <w:t xml:space="preserve">supporting volunteer recruitment, onboarding, scheduling, communication, and recognition activities;</w:t>
      </w:r>
    </w:p>
    <w:p>
      <w:pPr>
        <w:numPr>
          <w:ilvl w:val="0"/>
          <w:numId w:val="1001"/>
        </w:numPr>
        <w:pStyle w:val="Compact"/>
      </w:pPr>
      <w:r>
        <w:t xml:space="preserve">tracking deadlines, deliverables, purchase requests, invoices, supplies, and approved expenses;</w:t>
      </w:r>
    </w:p>
    <w:p>
      <w:pPr>
        <w:numPr>
          <w:ilvl w:val="0"/>
          <w:numId w:val="1001"/>
        </w:numPr>
        <w:pStyle w:val="Compact"/>
      </w:pPr>
      <w:r>
        <w:t xml:space="preserve">helping monitor grant-funded activities against approved work plans without changing restricted budgets unless formally authorized;</w:t>
      </w:r>
    </w:p>
    <w:p>
      <w:pPr>
        <w:numPr>
          <w:ilvl w:val="0"/>
          <w:numId w:val="1001"/>
        </w:numPr>
        <w:pStyle w:val="Compact"/>
      </w:pPr>
      <w:r>
        <w:t xml:space="preserve">collecting feedback and helping identify operational improvements;</w:t>
      </w:r>
    </w:p>
    <w:p>
      <w:pPr>
        <w:numPr>
          <w:ilvl w:val="0"/>
          <w:numId w:val="1001"/>
        </w:numPr>
        <w:pStyle w:val="Compact"/>
      </w:pPr>
      <w:r>
        <w:t xml:space="preserve">supporting accessible events, forms, communications, and digital services;</w:t>
      </w:r>
    </w:p>
    <w:p>
      <w:pPr>
        <w:numPr>
          <w:ilvl w:val="0"/>
          <w:numId w:val="1001"/>
        </w:numPr>
        <w:pStyle w:val="Compact"/>
      </w:pPr>
      <w:r>
        <w:t xml:space="preserve">preparing draft communications, presentations, agendas, checklists, and outreach materials;</w:t>
      </w:r>
    </w:p>
    <w:p>
      <w:pPr>
        <w:numPr>
          <w:ilvl w:val="0"/>
          <w:numId w:val="1001"/>
        </w:numPr>
        <w:pStyle w:val="Compact"/>
      </w:pPr>
      <w:r>
        <w:t xml:space="preserve">coordinating logistics with facilities, transportation, interpreters, accessibility providers, or external partners;</w:t>
      </w:r>
    </w:p>
    <w:p>
      <w:pPr>
        <w:numPr>
          <w:ilvl w:val="0"/>
          <w:numId w:val="1001"/>
        </w:numPr>
        <w:pStyle w:val="Compact"/>
      </w:pPr>
      <w:r>
        <w:t xml:space="preserve">escalating safeguarding, privacy, financial, cybersecurity, legal, or operational concerns through approved channels; and</w:t>
      </w:r>
    </w:p>
    <w:p>
      <w:pPr>
        <w:numPr>
          <w:ilvl w:val="0"/>
          <w:numId w:val="1001"/>
        </w:numPr>
        <w:pStyle w:val="Compact"/>
      </w:pPr>
      <w:r>
        <w:t xml:space="preserve">supporting program managers, directors, social-service professionals, community leaders, or public officials without representing yourself as holding authority you do not have.</w:t>
      </w:r>
    </w:p>
    <w:bookmarkEnd w:id="21"/>
    <w:bookmarkStart w:id="22" w:name="what-this-role-must-not-be-presented-as"/>
    <w:p>
      <w:pPr>
        <w:pStyle w:val="Heading2"/>
      </w:pPr>
      <w:r>
        <w:t xml:space="preserve">What this role must not be presented as</w:t>
      </w:r>
    </w:p>
    <w:p>
      <w:pPr>
        <w:pStyle w:val="FirstParagraph"/>
      </w:pPr>
      <w:r>
        <w:t xml:space="preserve">A coordinator title does not automatically authorize you to:</w:t>
      </w:r>
    </w:p>
    <w:p>
      <w:pPr>
        <w:numPr>
          <w:ilvl w:val="0"/>
          <w:numId w:val="1002"/>
        </w:numPr>
        <w:pStyle w:val="Compact"/>
      </w:pPr>
      <w:r>
        <w:t xml:space="preserve">practice licensed social work, psychotherapy, medicine, nursing, law, accounting, or another regulated profession;</w:t>
      </w:r>
    </w:p>
    <w:p>
      <w:pPr>
        <w:numPr>
          <w:ilvl w:val="0"/>
          <w:numId w:val="1002"/>
        </w:numPr>
        <w:pStyle w:val="Compact"/>
      </w:pPr>
      <w:r>
        <w:t xml:space="preserve">diagnose conditions or provide clinical treatment;</w:t>
      </w:r>
    </w:p>
    <w:p>
      <w:pPr>
        <w:numPr>
          <w:ilvl w:val="0"/>
          <w:numId w:val="1002"/>
        </w:numPr>
        <w:pStyle w:val="Compact"/>
      </w:pPr>
      <w:r>
        <w:t xml:space="preserve">make government-benefit eligibility decisions unless that authority is formally assigned;</w:t>
      </w:r>
    </w:p>
    <w:p>
      <w:pPr>
        <w:numPr>
          <w:ilvl w:val="0"/>
          <w:numId w:val="1002"/>
        </w:numPr>
        <w:pStyle w:val="Compact"/>
      </w:pPr>
      <w:r>
        <w:t xml:space="preserve">promise housing, funding, treatment, immigration outcomes, public benefits, grants, scholarships, or employment;</w:t>
      </w:r>
    </w:p>
    <w:p>
      <w:pPr>
        <w:numPr>
          <w:ilvl w:val="0"/>
          <w:numId w:val="1002"/>
        </w:numPr>
        <w:pStyle w:val="Compact"/>
      </w:pPr>
      <w:r>
        <w:t xml:space="preserve">approve grants, sign contracts, bind the organization, authorize purchases, move restricted funds, or change grant budgets unless formally delegated;</w:t>
      </w:r>
    </w:p>
    <w:p>
      <w:pPr>
        <w:numPr>
          <w:ilvl w:val="0"/>
          <w:numId w:val="1002"/>
        </w:numPr>
        <w:pStyle w:val="Compact"/>
      </w:pPr>
      <w:r>
        <w:t xml:space="preserve">override procurement, finance, privacy, safeguarding, legal, or cybersecurity controls;</w:t>
      </w:r>
    </w:p>
    <w:p>
      <w:pPr>
        <w:numPr>
          <w:ilvl w:val="0"/>
          <w:numId w:val="1002"/>
        </w:numPr>
        <w:pStyle w:val="Compact"/>
      </w:pPr>
      <w:r>
        <w:t xml:space="preserve">make emergency or safeguarding determinations outside policy and applicable law;</w:t>
      </w:r>
    </w:p>
    <w:p>
      <w:pPr>
        <w:numPr>
          <w:ilvl w:val="0"/>
          <w:numId w:val="1002"/>
        </w:numPr>
        <w:pStyle w:val="Compact"/>
      </w:pPr>
      <w:r>
        <w:t xml:space="preserve">access participant, donor, employee, applicant, volunteer, or beneficiary records without a legitimate role-based need; or</w:t>
      </w:r>
    </w:p>
    <w:p>
      <w:pPr>
        <w:numPr>
          <w:ilvl w:val="0"/>
          <w:numId w:val="1002"/>
        </w:numPr>
        <w:pStyle w:val="Compact"/>
      </w:pPr>
      <w:r>
        <w:t xml:space="preserve">represent a draft, AI output, internal note, or preliminary data point as an approved organizational decision.</w:t>
      </w:r>
    </w:p>
    <w:p>
      <w:pPr>
        <w:pStyle w:val="FirstParagraph"/>
      </w:pPr>
      <w:r>
        <w:t xml:space="preserve">When authority is unclear, stop and ask the responsible manager or designated professional.</w:t>
      </w:r>
    </w:p>
    <w:bookmarkEnd w:id="22"/>
    <w:bookmarkStart w:id="23" w:name="work-environment"/>
    <w:p>
      <w:pPr>
        <w:pStyle w:val="Heading2"/>
      </w:pPr>
      <w:r>
        <w:t xml:space="preserve">Work environment</w:t>
      </w:r>
    </w:p>
    <w:p>
      <w:pPr>
        <w:pStyle w:val="FirstParagraph"/>
      </w:pPr>
      <w:r>
        <w:t xml:space="preserve">Community-service coordination appears in nonprofits, foundations, schools, universities, healthcare organizations, local government, public agencies, faith-based organizations, charities, disability-service organizations, youth programs, senior services, environmental programs, housing initiatives, workforce programs, emergency-preparedness programs, cultural organizations, and other community-facing settings.</w:t>
      </w:r>
    </w:p>
    <w:p>
      <w:pPr>
        <w:pStyle w:val="BodyText"/>
      </w:pPr>
      <w:r>
        <w:t xml:space="preserve">Work can include office tasks, remote coordination, community events, site visits, evening or weekend activities, public-facing communication, and time-sensitive reporting. Some roles involve emotionally difficult situations or people facing poverty, disability, housing instability, family stress, illness, unemployment, discrimination, disaster impacts, or other serious challenges.</w:t>
      </w:r>
    </w:p>
    <w:bookmarkEnd w:id="23"/>
    <w:bookmarkStart w:id="24" w:name="skills-employers-may-value"/>
    <w:p>
      <w:pPr>
        <w:pStyle w:val="Heading2"/>
      </w:pPr>
      <w:r>
        <w:t xml:space="preserve">Skills employers may value</w:t>
      </w:r>
    </w:p>
    <w:p>
      <w:pPr>
        <w:pStyle w:val="FirstParagraph"/>
      </w:pPr>
      <w:r>
        <w:t xml:space="preserve">Commonly useful skills include:</w:t>
      </w:r>
    </w:p>
    <w:p>
      <w:pPr>
        <w:numPr>
          <w:ilvl w:val="0"/>
          <w:numId w:val="1003"/>
        </w:numPr>
        <w:pStyle w:val="Compact"/>
      </w:pPr>
      <w:r>
        <w:t xml:space="preserve">organization and follow-through;</w:t>
      </w:r>
    </w:p>
    <w:p>
      <w:pPr>
        <w:numPr>
          <w:ilvl w:val="0"/>
          <w:numId w:val="1003"/>
        </w:numPr>
        <w:pStyle w:val="Compact"/>
      </w:pPr>
      <w:r>
        <w:t xml:space="preserve">clear written and verbal communication;</w:t>
      </w:r>
    </w:p>
    <w:p>
      <w:pPr>
        <w:numPr>
          <w:ilvl w:val="0"/>
          <w:numId w:val="1003"/>
        </w:numPr>
        <w:pStyle w:val="Compact"/>
      </w:pPr>
      <w:r>
        <w:t xml:space="preserve">calendar, event, and logistics coordination;</w:t>
      </w:r>
    </w:p>
    <w:p>
      <w:pPr>
        <w:numPr>
          <w:ilvl w:val="0"/>
          <w:numId w:val="1003"/>
        </w:numPr>
        <w:pStyle w:val="Compact"/>
      </w:pPr>
      <w:r>
        <w:t xml:space="preserve">accurate recordkeeping;</w:t>
      </w:r>
    </w:p>
    <w:p>
      <w:pPr>
        <w:numPr>
          <w:ilvl w:val="0"/>
          <w:numId w:val="1003"/>
        </w:numPr>
        <w:pStyle w:val="Compact"/>
      </w:pPr>
      <w:r>
        <w:t xml:space="preserve">spreadsheet and document skills;</w:t>
      </w:r>
    </w:p>
    <w:p>
      <w:pPr>
        <w:numPr>
          <w:ilvl w:val="0"/>
          <w:numId w:val="1003"/>
        </w:numPr>
        <w:pStyle w:val="Compact"/>
      </w:pPr>
      <w:r>
        <w:t xml:space="preserve">basic budgeting and expense tracking;</w:t>
      </w:r>
    </w:p>
    <w:p>
      <w:pPr>
        <w:numPr>
          <w:ilvl w:val="0"/>
          <w:numId w:val="1003"/>
        </w:numPr>
        <w:pStyle w:val="Compact"/>
      </w:pPr>
      <w:r>
        <w:t xml:space="preserve">project and task tracking;</w:t>
      </w:r>
    </w:p>
    <w:p>
      <w:pPr>
        <w:numPr>
          <w:ilvl w:val="0"/>
          <w:numId w:val="1003"/>
        </w:numPr>
        <w:pStyle w:val="Compact"/>
      </w:pPr>
      <w:r>
        <w:t xml:space="preserve">volunteer coordination;</w:t>
      </w:r>
    </w:p>
    <w:p>
      <w:pPr>
        <w:numPr>
          <w:ilvl w:val="0"/>
          <w:numId w:val="1003"/>
        </w:numPr>
        <w:pStyle w:val="Compact"/>
      </w:pPr>
      <w:r>
        <w:t xml:space="preserve">public and community communication;</w:t>
      </w:r>
    </w:p>
    <w:p>
      <w:pPr>
        <w:numPr>
          <w:ilvl w:val="0"/>
          <w:numId w:val="1003"/>
        </w:numPr>
        <w:pStyle w:val="Compact"/>
      </w:pPr>
      <w:r>
        <w:t xml:space="preserve">respectful service to diverse populations;</w:t>
      </w:r>
    </w:p>
    <w:p>
      <w:pPr>
        <w:numPr>
          <w:ilvl w:val="0"/>
          <w:numId w:val="1003"/>
        </w:numPr>
        <w:pStyle w:val="Compact"/>
      </w:pPr>
      <w:r>
        <w:t xml:space="preserve">accessibility awareness;</w:t>
      </w:r>
    </w:p>
    <w:p>
      <w:pPr>
        <w:numPr>
          <w:ilvl w:val="0"/>
          <w:numId w:val="1003"/>
        </w:numPr>
        <w:pStyle w:val="Compact"/>
      </w:pPr>
      <w:r>
        <w:t xml:space="preserve">privacy and confidentiality;</w:t>
      </w:r>
    </w:p>
    <w:p>
      <w:pPr>
        <w:numPr>
          <w:ilvl w:val="0"/>
          <w:numId w:val="1003"/>
        </w:numPr>
        <w:pStyle w:val="Compact"/>
      </w:pPr>
      <w:r>
        <w:t xml:space="preserve">conflict de-escalation and professional boundaries;</w:t>
      </w:r>
    </w:p>
    <w:p>
      <w:pPr>
        <w:numPr>
          <w:ilvl w:val="0"/>
          <w:numId w:val="1003"/>
        </w:numPr>
        <w:pStyle w:val="Compact"/>
      </w:pPr>
      <w:r>
        <w:t xml:space="preserve">data quality and routine metrics;</w:t>
      </w:r>
    </w:p>
    <w:p>
      <w:pPr>
        <w:numPr>
          <w:ilvl w:val="0"/>
          <w:numId w:val="1003"/>
        </w:numPr>
        <w:pStyle w:val="Compact"/>
      </w:pPr>
      <w:r>
        <w:t xml:space="preserve">partner and stakeholder coordination;</w:t>
      </w:r>
    </w:p>
    <w:p>
      <w:pPr>
        <w:numPr>
          <w:ilvl w:val="0"/>
          <w:numId w:val="1003"/>
        </w:numPr>
        <w:pStyle w:val="Compact"/>
      </w:pPr>
      <w:r>
        <w:t xml:space="preserve">basic cybersecurity habits; and</w:t>
      </w:r>
    </w:p>
    <w:p>
      <w:pPr>
        <w:numPr>
          <w:ilvl w:val="0"/>
          <w:numId w:val="1003"/>
        </w:numPr>
        <w:pStyle w:val="Compact"/>
      </w:pPr>
      <w:r>
        <w:t xml:space="preserve">judgment about when to escalate rather than improvise.</w:t>
      </w:r>
    </w:p>
    <w:p>
      <w:pPr>
        <w:pStyle w:val="FirstParagraph"/>
      </w:pPr>
      <w:r>
        <w:t xml:space="preserve">Bilingual or multilingual ability may be valuable in some communities, but do not claim professional interpretation or translation credentials you do not hold.</w:t>
      </w:r>
    </w:p>
    <w:bookmarkEnd w:id="24"/>
    <w:bookmarkStart w:id="29" w:name="education-and-entry-pathways"/>
    <w:p>
      <w:pPr>
        <w:pStyle w:val="Heading2"/>
      </w:pPr>
      <w:r>
        <w:t xml:space="preserve">Education and entry pathways</w:t>
      </w:r>
    </w:p>
    <w:bookmarkStart w:id="25" w:name="united-states"/>
    <w:p>
      <w:pPr>
        <w:pStyle w:val="Heading3"/>
      </w:pPr>
      <w:r>
        <w:t xml:space="preserve">United States</w:t>
      </w:r>
    </w:p>
    <w:p>
      <w:pPr>
        <w:pStyle w:val="FirstParagraph"/>
      </w:pPr>
      <w:r>
        <w:t xml:space="preserve">For the broader</w:t>
      </w:r>
      <w:r>
        <w:t xml:space="preserve"> </w:t>
      </w:r>
      <w:r>
        <w:rPr>
          <w:bCs/>
          <w:b/>
        </w:rPr>
        <w:t xml:space="preserve">Social and Community Service Managers</w:t>
      </w:r>
      <w:r>
        <w:t xml:space="preserve"> </w:t>
      </w:r>
      <w:r>
        <w:t xml:space="preserve">occupation, O*NET places the role in</w:t>
      </w:r>
      <w:r>
        <w:t xml:space="preserve"> </w:t>
      </w:r>
      <w:r>
        <w:rPr>
          <w:bCs/>
          <w:b/>
        </w:rPr>
        <w:t xml:space="preserve">Job Zone Four — Considerable Preparation Needed</w:t>
      </w:r>
      <w:r>
        <w:t xml:space="preserve"> </w:t>
      </w:r>
      <w:r>
        <w:t xml:space="preserve">and notes that many occupations in this zone require a four-year bachelor's degree, although some do not. Considerable related experience is often expected.</w:t>
      </w:r>
    </w:p>
    <w:p>
      <w:pPr>
        <w:pStyle w:val="BodyText"/>
      </w:pPr>
      <w:r>
        <w:t xml:space="preserve">Coordinator-level jobs can be less demanding than the manager benchmark. Some employers may accept an associate degree, relevant community experience, administrative experience, volunteer leadership, program support experience, or a combination of education and experience. Others may require a bachelor's degree in public administration, social science, nonprofit management, community development, education, public health, communications, business, or a related area.</w:t>
      </w:r>
    </w:p>
    <w:p>
      <w:pPr>
        <w:pStyle w:val="BodyText"/>
      </w:pPr>
      <w:r>
        <w:t xml:space="preserve">A practical entry sequence is:</w:t>
      </w:r>
    </w:p>
    <w:p>
      <w:pPr>
        <w:numPr>
          <w:ilvl w:val="0"/>
          <w:numId w:val="1004"/>
        </w:numPr>
        <w:pStyle w:val="Compact"/>
      </w:pPr>
      <w:r>
        <w:t xml:space="preserve">Review 15–20 current coordinator postings in your target area.</w:t>
      </w:r>
    </w:p>
    <w:p>
      <w:pPr>
        <w:numPr>
          <w:ilvl w:val="0"/>
          <w:numId w:val="1004"/>
        </w:numPr>
        <w:pStyle w:val="Compact"/>
      </w:pPr>
      <w:r>
        <w:t xml:space="preserve">Record recurring requirements for education, driving, background checks, schedule, languages, software, reporting, grant exposure, volunteer management, and community experience.</w:t>
      </w:r>
    </w:p>
    <w:p>
      <w:pPr>
        <w:numPr>
          <w:ilvl w:val="0"/>
          <w:numId w:val="1004"/>
        </w:numPr>
        <w:pStyle w:val="Compact"/>
      </w:pPr>
      <w:r>
        <w:t xml:space="preserve">Separate true requirements from preferences.</w:t>
      </w:r>
    </w:p>
    <w:p>
      <w:pPr>
        <w:numPr>
          <w:ilvl w:val="0"/>
          <w:numId w:val="1004"/>
        </w:numPr>
        <w:pStyle w:val="Compact"/>
      </w:pPr>
      <w:r>
        <w:t xml:space="preserve">Build transferable experience through program assistance, administrative support, volunteering, outreach, customer service, events, community organizations, schools, healthcare administration, workforce programs, or public service.</w:t>
      </w:r>
    </w:p>
    <w:p>
      <w:pPr>
        <w:numPr>
          <w:ilvl w:val="0"/>
          <w:numId w:val="1004"/>
        </w:numPr>
        <w:pStyle w:val="Compact"/>
      </w:pPr>
      <w:r>
        <w:t xml:space="preserve">Use free or low-cost training to close specific skill gaps before paying for a broad private certificate.</w:t>
      </w:r>
    </w:p>
    <w:p>
      <w:pPr>
        <w:numPr>
          <w:ilvl w:val="0"/>
          <w:numId w:val="1004"/>
        </w:numPr>
        <w:pStyle w:val="Compact"/>
      </w:pPr>
      <w:r>
        <w:t xml:space="preserve">Apply to roles whose actual authority and requirements match your evidence.</w:t>
      </w:r>
    </w:p>
    <w:bookmarkEnd w:id="25"/>
    <w:bookmarkStart w:id="26" w:name="canada"/>
    <w:p>
      <w:pPr>
        <w:pStyle w:val="Heading3"/>
      </w:pPr>
      <w:r>
        <w:t xml:space="preserve">Canada</w:t>
      </w:r>
    </w:p>
    <w:p>
      <w:pPr>
        <w:pStyle w:val="FirstParagraph"/>
      </w:pPr>
      <w:r>
        <w:t xml:space="preserve">Government of Canada Job Bank classifies</w:t>
      </w:r>
      <w:r>
        <w:t xml:space="preserve"> </w:t>
      </w:r>
      <w:r>
        <w:rPr>
          <w:bCs/>
          <w:b/>
        </w:rPr>
        <w:t xml:space="preserve">Managers in social, community and correctional services as NOC 40030</w:t>
      </w:r>
      <w:r>
        <w:t xml:space="preserve">. That is a management-level comparison, not a universal coordinator classification.</w:t>
      </w:r>
    </w:p>
    <w:p>
      <w:pPr>
        <w:pStyle w:val="BodyText"/>
      </w:pPr>
      <w:r>
        <w:t xml:space="preserve">Job Bank states that NOC 40030 managers usually require a</w:t>
      </w:r>
      <w:r>
        <w:t xml:space="preserve"> </w:t>
      </w:r>
      <w:r>
        <w:rPr>
          <w:bCs/>
          <w:b/>
        </w:rPr>
        <w:t xml:space="preserve">master's degree in a social-science or administrative discipline</w:t>
      </w:r>
      <w:r>
        <w:t xml:space="preserve"> </w:t>
      </w:r>
      <w:r>
        <w:t xml:space="preserve">plus several years of related experience, while managers of associations and membership organizations may qualify through extensive related experience.</w:t>
      </w:r>
    </w:p>
    <w:p>
      <w:pPr>
        <w:pStyle w:val="BodyText"/>
      </w:pPr>
      <w:r>
        <w:t xml:space="preserve">Do not assume a master's degree is required for every coordinator title. Compare the actual posting and provincial requirements. A coordinator with primarily administrative or program-support duties may sit below NOC 40030 management level.</w:t>
      </w:r>
    </w:p>
    <w:bookmarkEnd w:id="26"/>
    <w:bookmarkStart w:id="27" w:name="colombia"/>
    <w:p>
      <w:pPr>
        <w:pStyle w:val="Heading3"/>
      </w:pPr>
      <w:r>
        <w:t xml:space="preserve">Colombia</w:t>
      </w:r>
    </w:p>
    <w:p>
      <w:pPr>
        <w:pStyle w:val="FirstParagraph"/>
      </w:pPr>
      <w:r>
        <w:t xml:space="preserve">Current SENA pathways show relevant public training and community-work experience options.</w:t>
      </w:r>
    </w:p>
    <w:p>
      <w:pPr>
        <w:pStyle w:val="BodyText"/>
      </w:pPr>
      <w:r>
        <w:t xml:space="preserve">SENA Betowa currently lists</w:t>
      </w:r>
      <w:r>
        <w:t xml:space="preserve"> </w:t>
      </w:r>
      <w:r>
        <w:rPr>
          <w:bCs/>
          <w:b/>
        </w:rPr>
        <w:t xml:space="preserve">Gestión comunitaria del riesgo de desastres</w:t>
      </w:r>
      <w:r>
        <w:t xml:space="preserve">, a technical program of</w:t>
      </w:r>
      <w:r>
        <w:t xml:space="preserve"> </w:t>
      </w:r>
      <w:r>
        <w:rPr>
          <w:bCs/>
          <w:b/>
        </w:rPr>
        <w:t xml:space="preserve">1,920 hours</w:t>
      </w:r>
      <w:r>
        <w:t xml:space="preserve">, with competencies related to coordinating campaigns, diagnosing community risk, promoting prevention actions, following protocols, and using information tools.</w:t>
      </w:r>
    </w:p>
    <w:p>
      <w:pPr>
        <w:pStyle w:val="BodyText"/>
      </w:pPr>
      <w:r>
        <w:t xml:space="preserve">SENA Betowa also lists</w:t>
      </w:r>
      <w:r>
        <w:t xml:space="preserve"> </w:t>
      </w:r>
      <w:r>
        <w:rPr>
          <w:bCs/>
          <w:b/>
        </w:rPr>
        <w:t xml:space="preserve">Organización comunitaria sostenible</w:t>
      </w:r>
      <w:r>
        <w:t xml:space="preserve">, focused on education, participation, territorial needs, and environmental/community processes.</w:t>
      </w:r>
    </w:p>
    <w:p>
      <w:pPr>
        <w:pStyle w:val="BodyText"/>
      </w:pPr>
      <w:r>
        <w:t xml:space="preserve">Current SENA Agencia Pública de Empleo evidence also shows real-world community-management duties such as programming workshops and outreach, preparing reports, supporting local authorities and communities, and coordinating participation among producers, associations, and local actors.</w:t>
      </w:r>
    </w:p>
    <w:p>
      <w:pPr>
        <w:pStyle w:val="BodyText"/>
      </w:pPr>
      <w:r>
        <w:t xml:space="preserve">These examples show possible pathways and duties. They are not a universal legal requirement for every coordinator role and do not establish one national salary benchmark.</w:t>
      </w:r>
    </w:p>
    <w:bookmarkEnd w:id="27"/>
    <w:bookmarkStart w:id="28" w:name="latin-america-and-the-caribbean"/>
    <w:p>
      <w:pPr>
        <w:pStyle w:val="Heading3"/>
      </w:pPr>
      <w:r>
        <w:t xml:space="preserve">Latin America and the Caribbean</w:t>
      </w:r>
    </w:p>
    <w:p>
      <w:pPr>
        <w:pStyle w:val="FirstParagraph"/>
      </w:pPr>
      <w:r>
        <w:t xml:space="preserve">Training systems, public-service structures, nonprofit sectors, professional-title rules, and community-program pathways vary by country.</w:t>
      </w:r>
      <w:r>
        <w:t xml:space="preserve"> </w:t>
      </w:r>
      <w:r>
        <w:rPr>
          <w:bCs/>
          <w:b/>
        </w:rPr>
        <w:t xml:space="preserve">OIT/Cinterfor</w:t>
      </w:r>
      <w:r>
        <w:t xml:space="preserve"> </w:t>
      </w:r>
      <w:r>
        <w:t xml:space="preserve">maintains a regional vocational-training network and observatory that can help identify the relevant national public training institution.</w:t>
      </w:r>
    </w:p>
    <w:p>
      <w:pPr>
        <w:pStyle w:val="BodyText"/>
      </w:pPr>
      <w:r>
        <w:t xml:space="preserve">Use the regional network as a locator, then verify the exact program, cost, recognition, entry requirements, and job relevance directly with the national institution and local employer market.</w:t>
      </w:r>
    </w:p>
    <w:bookmarkEnd w:id="28"/>
    <w:bookmarkEnd w:id="29"/>
    <w:bookmarkStart w:id="30" w:name="X825e60f28aced09b895801e2e0c3e53f1f09502"/>
    <w:p>
      <w:pPr>
        <w:pStyle w:val="Heading2"/>
      </w:pPr>
      <w:r>
        <w:t xml:space="preserve">Free-first and low-cost training strategy</w:t>
      </w:r>
    </w:p>
    <w:p>
      <w:pPr>
        <w:pStyle w:val="FirstParagraph"/>
      </w:pPr>
      <w:r>
        <w:t xml:space="preserve">Before paying for training:</w:t>
      </w:r>
    </w:p>
    <w:p>
      <w:pPr>
        <w:numPr>
          <w:ilvl w:val="0"/>
          <w:numId w:val="1005"/>
        </w:numPr>
        <w:pStyle w:val="Compact"/>
      </w:pPr>
      <w:r>
        <w:t xml:space="preserve">Review real local job postings.</w:t>
      </w:r>
    </w:p>
    <w:p>
      <w:pPr>
        <w:numPr>
          <w:ilvl w:val="0"/>
          <w:numId w:val="1005"/>
        </w:numPr>
        <w:pStyle w:val="Compact"/>
      </w:pPr>
      <w:r>
        <w:t xml:space="preserve">Identify the most repeated skills and credentials.</w:t>
      </w:r>
    </w:p>
    <w:p>
      <w:pPr>
        <w:numPr>
          <w:ilvl w:val="0"/>
          <w:numId w:val="1005"/>
        </w:numPr>
        <w:pStyle w:val="Compact"/>
      </w:pPr>
      <w:r>
        <w:t xml:space="preserve">Ask employers whether they provide paid onboarding or program-specific training.</w:t>
      </w:r>
    </w:p>
    <w:p>
      <w:pPr>
        <w:numPr>
          <w:ilvl w:val="0"/>
          <w:numId w:val="1005"/>
        </w:numPr>
        <w:pStyle w:val="Compact"/>
      </w:pPr>
      <w:r>
        <w:t xml:space="preserve">Use public workforce, community-college, vocational, library, university-extension, nonprofit, and government training first where suitable.</w:t>
      </w:r>
    </w:p>
    <w:p>
      <w:pPr>
        <w:numPr>
          <w:ilvl w:val="0"/>
          <w:numId w:val="1005"/>
        </w:numPr>
        <w:pStyle w:val="Compact"/>
      </w:pPr>
      <w:r>
        <w:t xml:space="preserve">Compare total cost, schedule, transport, materials, exams, and unpaid placement requirements.</w:t>
      </w:r>
    </w:p>
    <w:p>
      <w:pPr>
        <w:numPr>
          <w:ilvl w:val="0"/>
          <w:numId w:val="1005"/>
        </w:numPr>
        <w:pStyle w:val="Compact"/>
      </w:pPr>
      <w:r>
        <w:t xml:space="preserve">Verify whether employers actually recognize the credential.</w:t>
      </w:r>
    </w:p>
    <w:p>
      <w:pPr>
        <w:numPr>
          <w:ilvl w:val="0"/>
          <w:numId w:val="1005"/>
        </w:numPr>
        <w:pStyle w:val="Compact"/>
      </w:pPr>
      <w:r>
        <w:t xml:space="preserve">Get refund and job-placement claims in writing.</w:t>
      </w:r>
    </w:p>
    <w:p>
      <w:pPr>
        <w:numPr>
          <w:ilvl w:val="0"/>
          <w:numId w:val="1005"/>
        </w:numPr>
        <w:pStyle w:val="Compact"/>
      </w:pPr>
      <w:r>
        <w:t xml:space="preserve">Avoid debt for credentials that target employers do not request.</w:t>
      </w:r>
    </w:p>
    <w:p>
      <w:pPr>
        <w:pStyle w:val="FirstParagraph"/>
      </w:pPr>
      <w:r>
        <w:t xml:space="preserve">Useful low-cost skill areas may include project coordination, spreadsheets, reporting, accessibility, records management, volunteer management, budgeting basics, safeguarding, procurement basics, grant-compliance basics, public speaking, digital privacy, and cybersecurity awareness.</w:t>
      </w:r>
    </w:p>
    <w:bookmarkEnd w:id="30"/>
    <w:bookmarkStart w:id="35" w:name="funding-and-public-training-locators"/>
    <w:p>
      <w:pPr>
        <w:pStyle w:val="Heading2"/>
      </w:pPr>
      <w:r>
        <w:t xml:space="preserve">Funding and public training locators</w:t>
      </w:r>
    </w:p>
    <w:bookmarkStart w:id="31" w:name="united-states-1"/>
    <w:p>
      <w:pPr>
        <w:pStyle w:val="Heading3"/>
      </w:pPr>
      <w:r>
        <w:t xml:space="preserve">United States</w:t>
      </w:r>
    </w:p>
    <w:p>
      <w:pPr>
        <w:pStyle w:val="FirstParagraph"/>
      </w:pPr>
      <w:r>
        <w:t xml:space="preserve">CareerOneStop's</w:t>
      </w:r>
      <w:r>
        <w:t xml:space="preserve"> </w:t>
      </w:r>
      <w:r>
        <w:rPr>
          <w:bCs/>
          <w:b/>
        </w:rPr>
        <w:t xml:space="preserve">WIOA-Eligible Training Program Finder</w:t>
      </w:r>
      <w:r>
        <w:t xml:space="preserve"> </w:t>
      </w:r>
      <w:r>
        <w:t xml:space="preserve">provides state directories of programs approved for WIOA consideration. Eligibility, approved programs, local priorities, and available funds vary. Inclusion in a directory does</w:t>
      </w:r>
      <w:r>
        <w:t xml:space="preserve"> </w:t>
      </w:r>
      <w:r>
        <w:rPr>
          <w:bCs/>
          <w:b/>
        </w:rPr>
        <w:t xml:space="preserve">not</w:t>
      </w:r>
      <w:r>
        <w:t xml:space="preserve"> </w:t>
      </w:r>
      <w:r>
        <w:t xml:space="preserve">guarantee funding.</w:t>
      </w:r>
    </w:p>
    <w:p>
      <w:pPr>
        <w:pStyle w:val="BodyText"/>
      </w:pPr>
      <w:r>
        <w:t xml:space="preserve">CareerOneStop's</w:t>
      </w:r>
      <w:r>
        <w:t xml:space="preserve"> </w:t>
      </w:r>
      <w:r>
        <w:rPr>
          <w:bCs/>
          <w:b/>
        </w:rPr>
        <w:t xml:space="preserve">American Job Center Finder</w:t>
      </w:r>
      <w:r>
        <w:t xml:space="preserve"> </w:t>
      </w:r>
      <w:r>
        <w:t xml:space="preserve">can help locate workforce centers that may provide job-search support, training referrals, career counseling, accessibility accommodations, and information about supportive services.</w:t>
      </w:r>
    </w:p>
    <w:bookmarkEnd w:id="31"/>
    <w:bookmarkStart w:id="32" w:name="apprenticeships-and-work-based-learning"/>
    <w:p>
      <w:pPr>
        <w:pStyle w:val="Heading3"/>
      </w:pPr>
      <w:r>
        <w:t xml:space="preserve">Apprenticeships and work-based learning</w:t>
      </w:r>
    </w:p>
    <w:p>
      <w:pPr>
        <w:pStyle w:val="FirstParagraph"/>
      </w:pPr>
      <w:r>
        <w:t xml:space="preserve">There is no universal Registered Apprenticeship requirement for Community Service Program Coordinators. Search</w:t>
      </w:r>
      <w:r>
        <w:t xml:space="preserve"> </w:t>
      </w:r>
      <w:r>
        <w:rPr>
          <w:bCs/>
          <w:b/>
        </w:rPr>
        <w:t xml:space="preserve">Apprenticeship.gov</w:t>
      </w:r>
      <w:r>
        <w:t xml:space="preserve"> </w:t>
      </w:r>
      <w:r>
        <w:t xml:space="preserve">by related keywords and location to identify current registered or employer-sponsored opportunities rather than assuming one exists locally.</w:t>
      </w:r>
    </w:p>
    <w:bookmarkEnd w:id="32"/>
    <w:bookmarkStart w:id="33" w:name="canada-1"/>
    <w:p>
      <w:pPr>
        <w:pStyle w:val="Heading3"/>
      </w:pPr>
      <w:r>
        <w:t xml:space="preserve">Canada</w:t>
      </w:r>
    </w:p>
    <w:p>
      <w:pPr>
        <w:pStyle w:val="FirstParagraph"/>
      </w:pPr>
      <w:r>
        <w:t xml:space="preserve">Public training and funding options vary by province, institution, employment program, and individual eligibility. Verify current provincial student-aid, employment-service, college, university, and employer-supported options before enrolling.</w:t>
      </w:r>
    </w:p>
    <w:bookmarkEnd w:id="33"/>
    <w:bookmarkStart w:id="34" w:name="colombia-and-latin-america"/>
    <w:p>
      <w:pPr>
        <w:pStyle w:val="Heading3"/>
      </w:pPr>
      <w:r>
        <w:t xml:space="preserve">Colombia and Latin America</w:t>
      </w:r>
    </w:p>
    <w:p>
      <w:pPr>
        <w:pStyle w:val="FirstParagraph"/>
      </w:pPr>
      <w:r>
        <w:t xml:space="preserve">Start with SENA and SENA's public employment services in Colombia. In other Latin American countries, use OIT/Cinterfor to locate the relevant national vocational-training institution and then verify current offerings directly.</w:t>
      </w:r>
    </w:p>
    <w:bookmarkEnd w:id="34"/>
    <w:bookmarkEnd w:id="35"/>
    <w:bookmarkStart w:id="36" w:name="employer-supported-development"/>
    <w:p>
      <w:pPr>
        <w:pStyle w:val="Heading2"/>
      </w:pPr>
      <w:r>
        <w:t xml:space="preserve">Employer-supported development</w:t>
      </w:r>
    </w:p>
    <w:p>
      <w:pPr>
        <w:pStyle w:val="FirstParagraph"/>
      </w:pPr>
      <w:r>
        <w:t xml:space="preserve">Ask employers about:</w:t>
      </w:r>
    </w:p>
    <w:p>
      <w:pPr>
        <w:numPr>
          <w:ilvl w:val="0"/>
          <w:numId w:val="1006"/>
        </w:numPr>
        <w:pStyle w:val="Compact"/>
      </w:pPr>
      <w:r>
        <w:t xml:space="preserve">paid onboarding;</w:t>
      </w:r>
    </w:p>
    <w:p>
      <w:pPr>
        <w:numPr>
          <w:ilvl w:val="0"/>
          <w:numId w:val="1006"/>
        </w:numPr>
        <w:pStyle w:val="Compact"/>
      </w:pPr>
      <w:r>
        <w:t xml:space="preserve">program-specific procedures;</w:t>
      </w:r>
    </w:p>
    <w:p>
      <w:pPr>
        <w:numPr>
          <w:ilvl w:val="0"/>
          <w:numId w:val="1006"/>
        </w:numPr>
        <w:pStyle w:val="Compact"/>
      </w:pPr>
      <w:r>
        <w:t xml:space="preserve">safeguarding and mandatory-reporting training where relevant;</w:t>
      </w:r>
    </w:p>
    <w:p>
      <w:pPr>
        <w:numPr>
          <w:ilvl w:val="0"/>
          <w:numId w:val="1006"/>
        </w:numPr>
        <w:pStyle w:val="Compact"/>
      </w:pPr>
      <w:r>
        <w:t xml:space="preserve">grant-compliance and reporting training;</w:t>
      </w:r>
    </w:p>
    <w:p>
      <w:pPr>
        <w:numPr>
          <w:ilvl w:val="0"/>
          <w:numId w:val="1006"/>
        </w:numPr>
        <w:pStyle w:val="Compact"/>
      </w:pPr>
      <w:r>
        <w:t xml:space="preserve">budgeting, procurement, and expense-control procedures;</w:t>
      </w:r>
    </w:p>
    <w:p>
      <w:pPr>
        <w:numPr>
          <w:ilvl w:val="0"/>
          <w:numId w:val="1006"/>
        </w:numPr>
        <w:pStyle w:val="Compact"/>
      </w:pPr>
      <w:r>
        <w:t xml:space="preserve">volunteer-management training;</w:t>
      </w:r>
    </w:p>
    <w:p>
      <w:pPr>
        <w:numPr>
          <w:ilvl w:val="0"/>
          <w:numId w:val="1006"/>
        </w:numPr>
        <w:pStyle w:val="Compact"/>
      </w:pPr>
      <w:r>
        <w:t xml:space="preserve">accessibility and disability-inclusion training;</w:t>
      </w:r>
    </w:p>
    <w:p>
      <w:pPr>
        <w:numPr>
          <w:ilvl w:val="0"/>
          <w:numId w:val="1006"/>
        </w:numPr>
        <w:pStyle w:val="Compact"/>
      </w:pPr>
      <w:r>
        <w:t xml:space="preserve">privacy and records-retention training;</w:t>
      </w:r>
    </w:p>
    <w:p>
      <w:pPr>
        <w:numPr>
          <w:ilvl w:val="0"/>
          <w:numId w:val="1006"/>
        </w:numPr>
        <w:pStyle w:val="Compact"/>
      </w:pPr>
      <w:r>
        <w:t xml:space="preserve">cybersecurity and phishing-awareness training;</w:t>
      </w:r>
    </w:p>
    <w:p>
      <w:pPr>
        <w:numPr>
          <w:ilvl w:val="0"/>
          <w:numId w:val="1006"/>
        </w:numPr>
        <w:pStyle w:val="Compact"/>
      </w:pPr>
      <w:r>
        <w:t xml:space="preserve">project-management tools;</w:t>
      </w:r>
    </w:p>
    <w:p>
      <w:pPr>
        <w:numPr>
          <w:ilvl w:val="0"/>
          <w:numId w:val="1006"/>
        </w:numPr>
        <w:pStyle w:val="Compact"/>
      </w:pPr>
      <w:r>
        <w:t xml:space="preserve">tuition assistance or course reimbursement; and</w:t>
      </w:r>
    </w:p>
    <w:p>
      <w:pPr>
        <w:numPr>
          <w:ilvl w:val="0"/>
          <w:numId w:val="1006"/>
        </w:numPr>
        <w:pStyle w:val="Compact"/>
      </w:pPr>
      <w:r>
        <w:t xml:space="preserve">internal pathways from assistant or coordinator to senior coordinator or program manager.</w:t>
      </w:r>
    </w:p>
    <w:p>
      <w:pPr>
        <w:pStyle w:val="FirstParagraph"/>
      </w:pPr>
      <w:r>
        <w:t xml:space="preserve">Get repayment obligations for employer-funded education in writing.</w:t>
      </w:r>
    </w:p>
    <w:bookmarkEnd w:id="36"/>
    <w:bookmarkStart w:id="41" w:name="compensation-and-employment-outlook"/>
    <w:p>
      <w:pPr>
        <w:pStyle w:val="Heading2"/>
      </w:pPr>
      <w:r>
        <w:t xml:space="preserve">Compensation and employment outlook</w:t>
      </w:r>
    </w:p>
    <w:bookmarkStart w:id="37" w:name="X1254f504b4e5b16218027229576959b64215577"/>
    <w:p>
      <w:pPr>
        <w:pStyle w:val="Heading3"/>
      </w:pPr>
      <w:r>
        <w:t xml:space="preserve">United States — official management benchmark</w:t>
      </w:r>
    </w:p>
    <w:p>
      <w:pPr>
        <w:pStyle w:val="FirstParagraph"/>
      </w:pPr>
      <w:r>
        <w:t xml:space="preserve">O*NET reports Bureau of Labor Statistics data for</w:t>
      </w:r>
      <w:r>
        <w:t xml:space="preserve"> </w:t>
      </w:r>
      <w:r>
        <w:rPr>
          <w:bCs/>
          <w:b/>
        </w:rPr>
        <w:t xml:space="preserve">Social and Community Service Managers, 11-9151.00</w:t>
      </w:r>
      <w:r>
        <w:t xml:space="preserve">:</w:t>
      </w:r>
    </w:p>
    <w:p>
      <w:pPr>
        <w:numPr>
          <w:ilvl w:val="0"/>
          <w:numId w:val="1007"/>
        </w:numPr>
        <w:pStyle w:val="Compact"/>
      </w:pPr>
      <w:r>
        <w:rPr>
          <w:bCs/>
          <w:b/>
        </w:rPr>
        <w:t xml:space="preserve">2025 median hourly wage: USD $38.65</w:t>
      </w:r>
    </w:p>
    <w:p>
      <w:pPr>
        <w:numPr>
          <w:ilvl w:val="0"/>
          <w:numId w:val="1007"/>
        </w:numPr>
        <w:pStyle w:val="Compact"/>
      </w:pPr>
      <w:r>
        <w:rPr>
          <w:bCs/>
          <w:b/>
        </w:rPr>
        <w:t xml:space="preserve">2025 median annual wage: USD $80,390</w:t>
      </w:r>
    </w:p>
    <w:p>
      <w:pPr>
        <w:numPr>
          <w:ilvl w:val="0"/>
          <w:numId w:val="1007"/>
        </w:numPr>
        <w:pStyle w:val="Compact"/>
      </w:pPr>
      <w:r>
        <w:rPr>
          <w:bCs/>
          <w:b/>
        </w:rPr>
        <w:t xml:space="preserve">2024 employment: approximately 219,800 workers</w:t>
      </w:r>
    </w:p>
    <w:p>
      <w:pPr>
        <w:numPr>
          <w:ilvl w:val="0"/>
          <w:numId w:val="1007"/>
        </w:numPr>
        <w:pStyle w:val="Compact"/>
      </w:pPr>
      <w:r>
        <w:rPr>
          <w:bCs/>
          <w:b/>
        </w:rPr>
        <w:t xml:space="preserve">Projected growth, 2024–2034: 5% to 6%</w:t>
      </w:r>
    </w:p>
    <w:p>
      <w:pPr>
        <w:numPr>
          <w:ilvl w:val="0"/>
          <w:numId w:val="1007"/>
        </w:numPr>
        <w:pStyle w:val="Compact"/>
      </w:pPr>
      <w:r>
        <w:rPr>
          <w:bCs/>
          <w:b/>
        </w:rPr>
        <w:t xml:space="preserve">Projected annual openings: approximately 18,600</w:t>
      </w:r>
    </w:p>
    <w:p>
      <w:pPr>
        <w:pStyle w:val="FirstParagraph"/>
      </w:pPr>
      <w:r>
        <w:t xml:space="preserve">These figures apply to the broader management occupation. They should be treated as a benchmark for coordinator jobs only when the actual duties approach management-level responsibility.</w:t>
      </w:r>
    </w:p>
    <w:bookmarkEnd w:id="37"/>
    <w:bookmarkStart w:id="38" w:name="X37611ad1b1417b394e8aede6198299d62f84083"/>
    <w:p>
      <w:pPr>
        <w:pStyle w:val="Heading3"/>
      </w:pPr>
      <w:r>
        <w:t xml:space="preserve">United States — current non-government coordinator estimates</w:t>
      </w:r>
    </w:p>
    <w:p>
      <w:pPr>
        <w:pStyle w:val="FirstParagraph"/>
      </w:pPr>
      <w:r>
        <w:t xml:space="preserve">Salary.com reported, as of</w:t>
      </w:r>
      <w:r>
        <w:t xml:space="preserve"> </w:t>
      </w:r>
      <w:r>
        <w:rPr>
          <w:bCs/>
          <w:b/>
        </w:rPr>
        <w:t xml:space="preserve">August 1, 2026</w:t>
      </w:r>
      <w:r>
        <w:t xml:space="preserve">, an average U.S. salary for</w:t>
      </w:r>
      <w:r>
        <w:t xml:space="preserve"> </w:t>
      </w:r>
      <w:r>
        <w:rPr>
          <w:bCs/>
          <w:b/>
        </w:rPr>
        <w:t xml:space="preserve">Community Program Coordinator</w:t>
      </w:r>
      <w:r>
        <w:t xml:space="preserve"> </w:t>
      </w:r>
      <w:r>
        <w:t xml:space="preserve">of approximately:</w:t>
      </w:r>
    </w:p>
    <w:p>
      <w:pPr>
        <w:numPr>
          <w:ilvl w:val="0"/>
          <w:numId w:val="1008"/>
        </w:numPr>
        <w:pStyle w:val="Compact"/>
      </w:pPr>
      <w:r>
        <w:rPr>
          <w:bCs/>
          <w:b/>
        </w:rPr>
        <w:t xml:space="preserve">USD $66,947 per year</w:t>
      </w:r>
    </w:p>
    <w:p>
      <w:pPr>
        <w:numPr>
          <w:ilvl w:val="0"/>
          <w:numId w:val="1008"/>
        </w:numPr>
        <w:pStyle w:val="Compact"/>
      </w:pPr>
      <w:r>
        <w:t xml:space="preserve">approximately</w:t>
      </w:r>
      <w:r>
        <w:t xml:space="preserve"> </w:t>
      </w:r>
      <w:r>
        <w:rPr>
          <w:bCs/>
          <w:b/>
        </w:rPr>
        <w:t xml:space="preserve">USD $32 per hour</w:t>
      </w:r>
    </w:p>
    <w:p>
      <w:pPr>
        <w:numPr>
          <w:ilvl w:val="0"/>
          <w:numId w:val="1008"/>
        </w:numPr>
        <w:pStyle w:val="Compact"/>
      </w:pPr>
      <w:r>
        <w:t xml:space="preserve">reported 25th–75th percentile range of approximately</w:t>
      </w:r>
      <w:r>
        <w:t xml:space="preserve"> </w:t>
      </w:r>
      <w:r>
        <w:rPr>
          <w:bCs/>
          <w:b/>
        </w:rPr>
        <w:t xml:space="preserve">$59,855–$75,965</w:t>
      </w:r>
    </w:p>
    <w:p>
      <w:pPr>
        <w:pStyle w:val="FirstParagraph"/>
      </w:pPr>
      <w:r>
        <w:t xml:space="preserve">ZipRecruiter reported, as of</w:t>
      </w:r>
      <w:r>
        <w:t xml:space="preserve"> </w:t>
      </w:r>
      <w:r>
        <w:rPr>
          <w:bCs/>
          <w:b/>
        </w:rPr>
        <w:t xml:space="preserve">July 20, 2026</w:t>
      </w:r>
      <w:r>
        <w:t xml:space="preserve">, an average U.S. estimate for</w:t>
      </w:r>
      <w:r>
        <w:t xml:space="preserve"> </w:t>
      </w:r>
      <w:r>
        <w:rPr>
          <w:bCs/>
          <w:b/>
        </w:rPr>
        <w:t xml:space="preserve">Community Program Coordinator</w:t>
      </w:r>
      <w:r>
        <w:t xml:space="preserve"> </w:t>
      </w:r>
      <w:r>
        <w:t xml:space="preserve">of approximately:</w:t>
      </w:r>
    </w:p>
    <w:p>
      <w:pPr>
        <w:numPr>
          <w:ilvl w:val="0"/>
          <w:numId w:val="1009"/>
        </w:numPr>
        <w:pStyle w:val="Compact"/>
      </w:pPr>
      <w:r>
        <w:rPr>
          <w:bCs/>
          <w:b/>
        </w:rPr>
        <w:t xml:space="preserve">USD $54,966 per year</w:t>
      </w:r>
    </w:p>
    <w:p>
      <w:pPr>
        <w:numPr>
          <w:ilvl w:val="0"/>
          <w:numId w:val="1009"/>
        </w:numPr>
        <w:pStyle w:val="Compact"/>
      </w:pPr>
      <w:r>
        <w:t xml:space="preserve">approximately</w:t>
      </w:r>
      <w:r>
        <w:t xml:space="preserve"> </w:t>
      </w:r>
      <w:r>
        <w:rPr>
          <w:bCs/>
          <w:b/>
        </w:rPr>
        <w:t xml:space="preserve">USD $26.43 per hour</w:t>
      </w:r>
    </w:p>
    <w:p>
      <w:pPr>
        <w:pStyle w:val="FirstParagraph"/>
      </w:pPr>
      <w:r>
        <w:t xml:space="preserve">These are</w:t>
      </w:r>
      <w:r>
        <w:t xml:space="preserve"> </w:t>
      </w:r>
      <w:r>
        <w:rPr>
          <w:bCs/>
          <w:b/>
        </w:rPr>
        <w:t xml:space="preserve">non-government estimates</w:t>
      </w:r>
      <w:r>
        <w:t xml:space="preserve">. Their methodologies and title matching differ from BLS/O*NET statistics. Do not combine them into one figure or treat them as guaranteed pay.</w:t>
      </w:r>
    </w:p>
    <w:bookmarkEnd w:id="38"/>
    <w:bookmarkStart w:id="39" w:name="canada--official-management-benchmark"/>
    <w:p>
      <w:pPr>
        <w:pStyle w:val="Heading3"/>
      </w:pPr>
      <w:r>
        <w:t xml:space="preserve">Canada — official management benchmark</w:t>
      </w:r>
    </w:p>
    <w:p>
      <w:pPr>
        <w:pStyle w:val="FirstParagraph"/>
      </w:pPr>
      <w:r>
        <w:t xml:space="preserve">Government of Canada Job Bank reports national wages for</w:t>
      </w:r>
      <w:r>
        <w:t xml:space="preserve"> </w:t>
      </w:r>
      <w:r>
        <w:rPr>
          <w:bCs/>
          <w:b/>
        </w:rPr>
        <w:t xml:space="preserve">NOC 40030 — Managers in social, community and correctional services</w:t>
      </w:r>
      <w:r>
        <w:t xml:space="preserve">, updated</w:t>
      </w:r>
      <w:r>
        <w:t xml:space="preserve"> </w:t>
      </w:r>
      <w:r>
        <w:rPr>
          <w:bCs/>
          <w:b/>
        </w:rPr>
        <w:t xml:space="preserve">November 19, 2025</w:t>
      </w:r>
      <w:r>
        <w:t xml:space="preserve"> </w:t>
      </w:r>
      <w:r>
        <w:t xml:space="preserve">using a 2023–2024 Labour Force Survey reference period:</w:t>
      </w:r>
    </w:p>
    <w:p>
      <w:pPr>
        <w:numPr>
          <w:ilvl w:val="0"/>
          <w:numId w:val="1010"/>
        </w:numPr>
        <w:pStyle w:val="Compact"/>
      </w:pPr>
      <w:r>
        <w:rPr>
          <w:bCs/>
          <w:b/>
        </w:rPr>
        <w:t xml:space="preserve">CAD $27.00/hour low</w:t>
      </w:r>
    </w:p>
    <w:p>
      <w:pPr>
        <w:numPr>
          <w:ilvl w:val="0"/>
          <w:numId w:val="1010"/>
        </w:numPr>
        <w:pStyle w:val="Compact"/>
      </w:pPr>
      <w:r>
        <w:rPr>
          <w:bCs/>
          <w:b/>
        </w:rPr>
        <w:t xml:space="preserve">CAD $43.96/hour median</w:t>
      </w:r>
    </w:p>
    <w:p>
      <w:pPr>
        <w:numPr>
          <w:ilvl w:val="0"/>
          <w:numId w:val="1010"/>
        </w:numPr>
        <w:pStyle w:val="Compact"/>
      </w:pPr>
      <w:r>
        <w:rPr>
          <w:bCs/>
          <w:b/>
        </w:rPr>
        <w:t xml:space="preserve">CAD $71.43/hour high</w:t>
      </w:r>
    </w:p>
    <w:p>
      <w:pPr>
        <w:pStyle w:val="FirstParagraph"/>
      </w:pPr>
      <w:r>
        <w:t xml:space="preserve">These are management-level wages and are not guaranteed coordinator pay.</w:t>
      </w:r>
    </w:p>
    <w:bookmarkEnd w:id="39"/>
    <w:bookmarkStart w:id="40" w:name="colombia-1"/>
    <w:p>
      <w:pPr>
        <w:pStyle w:val="Heading3"/>
      </w:pPr>
      <w:r>
        <w:t xml:space="preserve">Colombia</w:t>
      </w:r>
    </w:p>
    <w:p>
      <w:pPr>
        <w:pStyle w:val="FirstParagraph"/>
      </w:pPr>
      <w:r>
        <w:t xml:space="preserve">A directly comparable current national official wage series was not identified that cleanly maps a generic Community Service Program Coordinator title. Do not invent a national salary figure.</w:t>
      </w:r>
    </w:p>
    <w:p>
      <w:pPr>
        <w:pStyle w:val="BodyText"/>
      </w:pPr>
      <w:r>
        <w:t xml:space="preserve">Use current SENA Agencia Pública de Empleo, municipal, nonprofit, foundation, university, healthcare, and public-sector postings to compare pay, contract type, schedule, travel, education, and authority in the city or department where you plan to work.</w:t>
      </w:r>
    </w:p>
    <w:bookmarkEnd w:id="40"/>
    <w:bookmarkEnd w:id="41"/>
    <w:bookmarkStart w:id="42" w:name="program-governance-and-grant-funded-work"/>
    <w:p>
      <w:pPr>
        <w:pStyle w:val="Heading2"/>
      </w:pPr>
      <w:r>
        <w:t xml:space="preserve">Program governance and grant-funded work</w:t>
      </w:r>
    </w:p>
    <w:p>
      <w:pPr>
        <w:pStyle w:val="FirstParagraph"/>
      </w:pPr>
      <w:r>
        <w:t xml:space="preserve">Some coordinator roles support grant-funded programs. Good practice includes:</w:t>
      </w:r>
    </w:p>
    <w:p>
      <w:pPr>
        <w:numPr>
          <w:ilvl w:val="0"/>
          <w:numId w:val="1011"/>
        </w:numPr>
        <w:pStyle w:val="Compact"/>
      </w:pPr>
      <w:r>
        <w:t xml:space="preserve">using the approved work plan and budget;</w:t>
      </w:r>
    </w:p>
    <w:p>
      <w:pPr>
        <w:numPr>
          <w:ilvl w:val="0"/>
          <w:numId w:val="1011"/>
        </w:numPr>
        <w:pStyle w:val="Compact"/>
      </w:pPr>
      <w:r>
        <w:t xml:space="preserve">recording attendance, outputs, purchases, and deliverables accurately;</w:t>
      </w:r>
    </w:p>
    <w:p>
      <w:pPr>
        <w:numPr>
          <w:ilvl w:val="0"/>
          <w:numId w:val="1011"/>
        </w:numPr>
        <w:pStyle w:val="Compact"/>
      </w:pPr>
      <w:r>
        <w:t xml:space="preserve">retaining required receipts and supporting documentation;</w:t>
      </w:r>
    </w:p>
    <w:p>
      <w:pPr>
        <w:numPr>
          <w:ilvl w:val="0"/>
          <w:numId w:val="1011"/>
        </w:numPr>
        <w:pStyle w:val="Compact"/>
      </w:pPr>
      <w:r>
        <w:t xml:space="preserve">following approval thresholds;</w:t>
      </w:r>
    </w:p>
    <w:p>
      <w:pPr>
        <w:numPr>
          <w:ilvl w:val="0"/>
          <w:numId w:val="1011"/>
        </w:numPr>
        <w:pStyle w:val="Compact"/>
      </w:pPr>
      <w:r>
        <w:t xml:space="preserve">separating restricted and unrestricted funds where required;</w:t>
      </w:r>
    </w:p>
    <w:p>
      <w:pPr>
        <w:numPr>
          <w:ilvl w:val="0"/>
          <w:numId w:val="1011"/>
        </w:numPr>
        <w:pStyle w:val="Compact"/>
      </w:pPr>
      <w:r>
        <w:t xml:space="preserve">avoiding unapproved budget changes;</w:t>
      </w:r>
    </w:p>
    <w:p>
      <w:pPr>
        <w:numPr>
          <w:ilvl w:val="0"/>
          <w:numId w:val="1011"/>
        </w:numPr>
        <w:pStyle w:val="Compact"/>
      </w:pPr>
      <w:r>
        <w:t xml:space="preserve">documenting in-kind contributions only under the funder's rules;</w:t>
      </w:r>
    </w:p>
    <w:p>
      <w:pPr>
        <w:numPr>
          <w:ilvl w:val="0"/>
          <w:numId w:val="1011"/>
        </w:numPr>
        <w:pStyle w:val="Compact"/>
      </w:pPr>
      <w:r>
        <w:t xml:space="preserve">disclosing conflicts of interest;</w:t>
      </w:r>
    </w:p>
    <w:p>
      <w:pPr>
        <w:numPr>
          <w:ilvl w:val="0"/>
          <w:numId w:val="1011"/>
        </w:numPr>
        <w:pStyle w:val="Compact"/>
      </w:pPr>
      <w:r>
        <w:t xml:space="preserve">following procurement and vendor-selection procedures; and</w:t>
      </w:r>
    </w:p>
    <w:p>
      <w:pPr>
        <w:numPr>
          <w:ilvl w:val="0"/>
          <w:numId w:val="1011"/>
        </w:numPr>
        <w:pStyle w:val="Compact"/>
      </w:pPr>
      <w:r>
        <w:t xml:space="preserve">escalating suspected misuse, duplicate billing, falsified records, or unsupported expenses.</w:t>
      </w:r>
    </w:p>
    <w:p>
      <w:pPr>
        <w:pStyle w:val="FirstParagraph"/>
      </w:pPr>
      <w:r>
        <w:t xml:space="preserve">Do not approve expenditures, move restricted funds, alter grant budgets, or make grant commitments unless your formal authority allows it.</w:t>
      </w:r>
    </w:p>
    <w:bookmarkEnd w:id="42"/>
    <w:bookmarkStart w:id="43" w:name="privacy-records-and-confidentiality"/>
    <w:p>
      <w:pPr>
        <w:pStyle w:val="Heading2"/>
      </w:pPr>
      <w:r>
        <w:t xml:space="preserve">Privacy, records, and confidentiality</w:t>
      </w:r>
    </w:p>
    <w:p>
      <w:pPr>
        <w:pStyle w:val="FirstParagraph"/>
      </w:pPr>
      <w:r>
        <w:t xml:space="preserve">Community programs may handle names, addresses, contact information, family details, disability information, health information, immigration information, benefits information, donor information, volunteer records, employment information, safeguarding reports, and other sensitive data.</w:t>
      </w:r>
    </w:p>
    <w:p>
      <w:pPr>
        <w:pStyle w:val="BodyText"/>
      </w:pPr>
      <w:r>
        <w:t xml:space="preserve">Follow employer rules for:</w:t>
      </w:r>
    </w:p>
    <w:p>
      <w:pPr>
        <w:numPr>
          <w:ilvl w:val="0"/>
          <w:numId w:val="1012"/>
        </w:numPr>
        <w:pStyle w:val="Compact"/>
      </w:pPr>
      <w:r>
        <w:t xml:space="preserve">collecting only what is needed;</w:t>
      </w:r>
    </w:p>
    <w:p>
      <w:pPr>
        <w:numPr>
          <w:ilvl w:val="0"/>
          <w:numId w:val="1012"/>
        </w:numPr>
        <w:pStyle w:val="Compact"/>
      </w:pPr>
      <w:r>
        <w:t xml:space="preserve">role-based access;</w:t>
      </w:r>
    </w:p>
    <w:p>
      <w:pPr>
        <w:numPr>
          <w:ilvl w:val="0"/>
          <w:numId w:val="1012"/>
        </w:numPr>
        <w:pStyle w:val="Compact"/>
      </w:pPr>
      <w:r>
        <w:t xml:space="preserve">multifactor authentication;</w:t>
      </w:r>
    </w:p>
    <w:p>
      <w:pPr>
        <w:numPr>
          <w:ilvl w:val="0"/>
          <w:numId w:val="1012"/>
        </w:numPr>
        <w:pStyle w:val="Compact"/>
      </w:pPr>
      <w:r>
        <w:t xml:space="preserve">approved databases and cloud services;</w:t>
      </w:r>
    </w:p>
    <w:p>
      <w:pPr>
        <w:numPr>
          <w:ilvl w:val="0"/>
          <w:numId w:val="1012"/>
        </w:numPr>
        <w:pStyle w:val="Compact"/>
      </w:pPr>
      <w:r>
        <w:t xml:space="preserve">secure sharing;</w:t>
      </w:r>
    </w:p>
    <w:p>
      <w:pPr>
        <w:numPr>
          <w:ilvl w:val="0"/>
          <w:numId w:val="1012"/>
        </w:numPr>
        <w:pStyle w:val="Compact"/>
      </w:pPr>
      <w:r>
        <w:t xml:space="preserve">factual and proportionate notes;</w:t>
      </w:r>
    </w:p>
    <w:p>
      <w:pPr>
        <w:numPr>
          <w:ilvl w:val="0"/>
          <w:numId w:val="1012"/>
        </w:numPr>
        <w:pStyle w:val="Compact"/>
      </w:pPr>
      <w:r>
        <w:t xml:space="preserve">retention and secure disposal;</w:t>
      </w:r>
    </w:p>
    <w:p>
      <w:pPr>
        <w:numPr>
          <w:ilvl w:val="0"/>
          <w:numId w:val="1012"/>
        </w:numPr>
        <w:pStyle w:val="Compact"/>
      </w:pPr>
      <w:r>
        <w:t xml:space="preserve">incident reporting;</w:t>
      </w:r>
    </w:p>
    <w:p>
      <w:pPr>
        <w:numPr>
          <w:ilvl w:val="0"/>
          <w:numId w:val="1012"/>
        </w:numPr>
        <w:pStyle w:val="Compact"/>
      </w:pPr>
      <w:r>
        <w:t xml:space="preserve">private conversations and event check-in practices; and</w:t>
      </w:r>
    </w:p>
    <w:p>
      <w:pPr>
        <w:numPr>
          <w:ilvl w:val="0"/>
          <w:numId w:val="1012"/>
        </w:numPr>
        <w:pStyle w:val="Compact"/>
      </w:pPr>
      <w:r>
        <w:t xml:space="preserve">use of personal devices, email, messaging apps, spreadsheets, and removable media.</w:t>
      </w:r>
    </w:p>
    <w:p>
      <w:pPr>
        <w:pStyle w:val="FirstParagraph"/>
      </w:pPr>
      <w:r>
        <w:t xml:space="preserve">Do not keep unofficial copies of sensitive program data for convenience.</w:t>
      </w:r>
    </w:p>
    <w:bookmarkEnd w:id="43"/>
    <w:bookmarkStart w:id="44" w:name="cybersecurity-basics"/>
    <w:p>
      <w:pPr>
        <w:pStyle w:val="Heading2"/>
      </w:pPr>
      <w:r>
        <w:t xml:space="preserve">Cybersecurity basics</w:t>
      </w:r>
    </w:p>
    <w:p>
      <w:pPr>
        <w:pStyle w:val="FirstParagraph"/>
      </w:pPr>
      <w:r>
        <w:t xml:space="preserve">Community-service organizations can be targets for phishing, payment fraud, account takeover, donor scams, ransomware, impersonation, and theft of personal information.</w:t>
      </w:r>
    </w:p>
    <w:p>
      <w:pPr>
        <w:pStyle w:val="BodyText"/>
      </w:pPr>
      <w:r>
        <w:t xml:space="preserve">Use:</w:t>
      </w:r>
    </w:p>
    <w:p>
      <w:pPr>
        <w:numPr>
          <w:ilvl w:val="0"/>
          <w:numId w:val="1013"/>
        </w:numPr>
        <w:pStyle w:val="Compact"/>
      </w:pPr>
      <w:r>
        <w:t xml:space="preserve">unique passwords and approved password managers;</w:t>
      </w:r>
    </w:p>
    <w:p>
      <w:pPr>
        <w:numPr>
          <w:ilvl w:val="0"/>
          <w:numId w:val="1013"/>
        </w:numPr>
        <w:pStyle w:val="Compact"/>
      </w:pPr>
      <w:r>
        <w:t xml:space="preserve">multifactor authentication;</w:t>
      </w:r>
    </w:p>
    <w:p>
      <w:pPr>
        <w:numPr>
          <w:ilvl w:val="0"/>
          <w:numId w:val="1013"/>
        </w:numPr>
        <w:pStyle w:val="Compact"/>
      </w:pPr>
      <w:r>
        <w:t xml:space="preserve">approved devices and software;</w:t>
      </w:r>
    </w:p>
    <w:p>
      <w:pPr>
        <w:numPr>
          <w:ilvl w:val="0"/>
          <w:numId w:val="1013"/>
        </w:numPr>
        <w:pStyle w:val="Compact"/>
      </w:pPr>
      <w:r>
        <w:t xml:space="preserve">verified payment-change procedures;</w:t>
      </w:r>
    </w:p>
    <w:p>
      <w:pPr>
        <w:numPr>
          <w:ilvl w:val="0"/>
          <w:numId w:val="1013"/>
        </w:numPr>
        <w:pStyle w:val="Compact"/>
      </w:pPr>
      <w:r>
        <w:t xml:space="preserve">independent confirmation of unusual vendor or executive requests;</w:t>
      </w:r>
    </w:p>
    <w:p>
      <w:pPr>
        <w:numPr>
          <w:ilvl w:val="0"/>
          <w:numId w:val="1013"/>
        </w:numPr>
        <w:pStyle w:val="Compact"/>
      </w:pPr>
      <w:r>
        <w:t xml:space="preserve">least-privilege access;</w:t>
      </w:r>
    </w:p>
    <w:p>
      <w:pPr>
        <w:numPr>
          <w:ilvl w:val="0"/>
          <w:numId w:val="1013"/>
        </w:numPr>
        <w:pStyle w:val="Compact"/>
      </w:pPr>
      <w:r>
        <w:t xml:space="preserve">prompt reporting of suspicious messages or account activity; and</w:t>
      </w:r>
    </w:p>
    <w:p>
      <w:pPr>
        <w:numPr>
          <w:ilvl w:val="0"/>
          <w:numId w:val="1013"/>
        </w:numPr>
        <w:pStyle w:val="Compact"/>
      </w:pPr>
      <w:r>
        <w:t xml:space="preserve">secure handling of participant lists, donor records, volunteer files, and grant information.</w:t>
      </w:r>
    </w:p>
    <w:p>
      <w:pPr>
        <w:pStyle w:val="FirstParagraph"/>
      </w:pPr>
      <w:r>
        <w:t xml:space="preserve">Never bypass security controls because a deadline is urgent.</w:t>
      </w:r>
    </w:p>
    <w:bookmarkEnd w:id="44"/>
    <w:bookmarkStart w:id="45" w:name="accessibility-and-disability-inclusion"/>
    <w:p>
      <w:pPr>
        <w:pStyle w:val="Heading2"/>
      </w:pPr>
      <w:r>
        <w:t xml:space="preserve">Accessibility and disability inclusion</w:t>
      </w:r>
    </w:p>
    <w:p>
      <w:pPr>
        <w:pStyle w:val="FirstParagraph"/>
      </w:pPr>
      <w:r>
        <w:t xml:space="preserve">Community programs should be planned so that people with disabilities can participate meaningfully.</w:t>
      </w:r>
    </w:p>
    <w:p>
      <w:pPr>
        <w:pStyle w:val="BodyText"/>
      </w:pPr>
      <w:r>
        <w:t xml:space="preserve">Depending on the program, this may involve:</w:t>
      </w:r>
    </w:p>
    <w:p>
      <w:pPr>
        <w:numPr>
          <w:ilvl w:val="0"/>
          <w:numId w:val="1014"/>
        </w:numPr>
        <w:pStyle w:val="Compact"/>
      </w:pPr>
      <w:r>
        <w:t xml:space="preserve">accessible venues and routes;</w:t>
      </w:r>
    </w:p>
    <w:p>
      <w:pPr>
        <w:numPr>
          <w:ilvl w:val="0"/>
          <w:numId w:val="1014"/>
        </w:numPr>
        <w:pStyle w:val="Compact"/>
      </w:pPr>
      <w:r>
        <w:t xml:space="preserve">captioning or interpretation;</w:t>
      </w:r>
    </w:p>
    <w:p>
      <w:pPr>
        <w:numPr>
          <w:ilvl w:val="0"/>
          <w:numId w:val="1014"/>
        </w:numPr>
        <w:pStyle w:val="Compact"/>
      </w:pPr>
      <w:r>
        <w:t xml:space="preserve">accessible digital documents and forms;</w:t>
      </w:r>
    </w:p>
    <w:p>
      <w:pPr>
        <w:numPr>
          <w:ilvl w:val="0"/>
          <w:numId w:val="1014"/>
        </w:numPr>
        <w:pStyle w:val="Compact"/>
      </w:pPr>
      <w:r>
        <w:t xml:space="preserve">readable contrast and font choices;</w:t>
      </w:r>
    </w:p>
    <w:p>
      <w:pPr>
        <w:numPr>
          <w:ilvl w:val="0"/>
          <w:numId w:val="1014"/>
        </w:numPr>
        <w:pStyle w:val="Compact"/>
      </w:pPr>
      <w:r>
        <w:t xml:space="preserve">plain-language information;</w:t>
      </w:r>
    </w:p>
    <w:p>
      <w:pPr>
        <w:numPr>
          <w:ilvl w:val="0"/>
          <w:numId w:val="1014"/>
        </w:numPr>
        <w:pStyle w:val="Compact"/>
      </w:pPr>
      <w:r>
        <w:t xml:space="preserve">multiple contact methods;</w:t>
      </w:r>
    </w:p>
    <w:p>
      <w:pPr>
        <w:numPr>
          <w:ilvl w:val="0"/>
          <w:numId w:val="1014"/>
        </w:numPr>
        <w:pStyle w:val="Compact"/>
      </w:pPr>
      <w:r>
        <w:t xml:space="preserve">advance accommodation processes;</w:t>
      </w:r>
    </w:p>
    <w:p>
      <w:pPr>
        <w:numPr>
          <w:ilvl w:val="0"/>
          <w:numId w:val="1014"/>
        </w:numPr>
        <w:pStyle w:val="Compact"/>
      </w:pPr>
      <w:r>
        <w:t xml:space="preserve">flexible participation methods where possible; and</w:t>
      </w:r>
    </w:p>
    <w:p>
      <w:pPr>
        <w:numPr>
          <w:ilvl w:val="0"/>
          <w:numId w:val="1014"/>
        </w:numPr>
        <w:pStyle w:val="Compact"/>
      </w:pPr>
      <w:r>
        <w:t xml:space="preserve">respectful communication that avoids assumptions about capability.</w:t>
      </w:r>
    </w:p>
    <w:p>
      <w:pPr>
        <w:pStyle w:val="FirstParagraph"/>
      </w:pPr>
      <w:r>
        <w:t xml:space="preserve">Accessibility obligations vary by jurisdiction and organization. Follow applicable law and employer policy.</w:t>
      </w:r>
    </w:p>
    <w:bookmarkEnd w:id="45"/>
    <w:bookmarkStart w:id="46" w:name="safeguarding-and-crisis-boundaries"/>
    <w:p>
      <w:pPr>
        <w:pStyle w:val="Heading2"/>
      </w:pPr>
      <w:r>
        <w:t xml:space="preserve">Safeguarding and crisis boundaries</w:t>
      </w:r>
    </w:p>
    <w:p>
      <w:pPr>
        <w:pStyle w:val="FirstParagraph"/>
      </w:pPr>
      <w:r>
        <w:t xml:space="preserve">Programs serving children, older adults, people with disabilities, people experiencing homelessness, survivors of violence, or other vulnerable populations may have safeguarding or mandatory-reporting requirements.</w:t>
      </w:r>
    </w:p>
    <w:p>
      <w:pPr>
        <w:pStyle w:val="BodyText"/>
      </w:pPr>
      <w:r>
        <w:t xml:space="preserve">Your role is to follow the approved protocol, not invent one. This can include:</w:t>
      </w:r>
    </w:p>
    <w:p>
      <w:pPr>
        <w:numPr>
          <w:ilvl w:val="0"/>
          <w:numId w:val="1015"/>
        </w:numPr>
        <w:pStyle w:val="Compact"/>
      </w:pPr>
      <w:r>
        <w:t xml:space="preserve">contacting a supervisor or designated safeguarding lead;</w:t>
      </w:r>
    </w:p>
    <w:p>
      <w:pPr>
        <w:numPr>
          <w:ilvl w:val="0"/>
          <w:numId w:val="1015"/>
        </w:numPr>
        <w:pStyle w:val="Compact"/>
      </w:pPr>
      <w:r>
        <w:t xml:space="preserve">making a required report through the correct channel;</w:t>
      </w:r>
    </w:p>
    <w:p>
      <w:pPr>
        <w:numPr>
          <w:ilvl w:val="0"/>
          <w:numId w:val="1015"/>
        </w:numPr>
        <w:pStyle w:val="Compact"/>
      </w:pPr>
      <w:r>
        <w:t xml:space="preserve">documenting facts accurately;</w:t>
      </w:r>
    </w:p>
    <w:p>
      <w:pPr>
        <w:numPr>
          <w:ilvl w:val="0"/>
          <w:numId w:val="1015"/>
        </w:numPr>
        <w:pStyle w:val="Compact"/>
      </w:pPr>
      <w:r>
        <w:t xml:space="preserve">contacting emergency services when policy and circumstances require it; and</w:t>
      </w:r>
    </w:p>
    <w:p>
      <w:pPr>
        <w:numPr>
          <w:ilvl w:val="0"/>
          <w:numId w:val="1015"/>
        </w:numPr>
        <w:pStyle w:val="Compact"/>
      </w:pPr>
      <w:r>
        <w:t xml:space="preserve">avoiding promises of confidentiality that conflict with legal or safety duties.</w:t>
      </w:r>
    </w:p>
    <w:p>
      <w:pPr>
        <w:pStyle w:val="FirstParagraph"/>
      </w:pPr>
      <w:r>
        <w:t xml:space="preserve">Training material and AI tools are not substitutes for current local law, organizational procedure, or qualified professional judgment.</w:t>
      </w:r>
    </w:p>
    <w:bookmarkEnd w:id="46"/>
    <w:bookmarkStart w:id="47" w:name="using-ai-responsibly"/>
    <w:p>
      <w:pPr>
        <w:pStyle w:val="Heading2"/>
      </w:pPr>
      <w:r>
        <w:t xml:space="preserve">Using AI responsibly</w:t>
      </w:r>
    </w:p>
    <w:p>
      <w:pPr>
        <w:pStyle w:val="FirstParagraph"/>
      </w:pPr>
      <w:r>
        <w:t xml:space="preserve">AI can help with low-risk tasks such as:</w:t>
      </w:r>
    </w:p>
    <w:p>
      <w:pPr>
        <w:numPr>
          <w:ilvl w:val="0"/>
          <w:numId w:val="1016"/>
        </w:numPr>
        <w:pStyle w:val="Compact"/>
      </w:pPr>
      <w:r>
        <w:t xml:space="preserve">brainstorming generic event themes;</w:t>
      </w:r>
    </w:p>
    <w:p>
      <w:pPr>
        <w:numPr>
          <w:ilvl w:val="0"/>
          <w:numId w:val="1016"/>
        </w:numPr>
        <w:pStyle w:val="Compact"/>
      </w:pPr>
      <w:r>
        <w:t xml:space="preserve">drafting non-sensitive agendas;</w:t>
      </w:r>
    </w:p>
    <w:p>
      <w:pPr>
        <w:numPr>
          <w:ilvl w:val="0"/>
          <w:numId w:val="1016"/>
        </w:numPr>
        <w:pStyle w:val="Compact"/>
      </w:pPr>
      <w:r>
        <w:t xml:space="preserve">improving plain-language wording;</w:t>
      </w:r>
    </w:p>
    <w:p>
      <w:pPr>
        <w:numPr>
          <w:ilvl w:val="0"/>
          <w:numId w:val="1016"/>
        </w:numPr>
        <w:pStyle w:val="Compact"/>
      </w:pPr>
      <w:r>
        <w:t xml:space="preserve">creating study notes;</w:t>
      </w:r>
    </w:p>
    <w:p>
      <w:pPr>
        <w:numPr>
          <w:ilvl w:val="0"/>
          <w:numId w:val="1016"/>
        </w:numPr>
        <w:pStyle w:val="Compact"/>
      </w:pPr>
      <w:r>
        <w:t xml:space="preserve">generating generic checklists;</w:t>
      </w:r>
    </w:p>
    <w:p>
      <w:pPr>
        <w:numPr>
          <w:ilvl w:val="0"/>
          <w:numId w:val="1016"/>
        </w:numPr>
        <w:pStyle w:val="Compact"/>
      </w:pPr>
      <w:r>
        <w:t xml:space="preserve">suggesting survey questions for human review; and</w:t>
      </w:r>
    </w:p>
    <w:p>
      <w:pPr>
        <w:numPr>
          <w:ilvl w:val="0"/>
          <w:numId w:val="1016"/>
        </w:numPr>
        <w:pStyle w:val="Compact"/>
      </w:pPr>
      <w:r>
        <w:t xml:space="preserve">practicing interview questions.</w:t>
      </w:r>
    </w:p>
    <w:p>
      <w:pPr>
        <w:pStyle w:val="FirstParagraph"/>
      </w:pPr>
      <w:r>
        <w:t xml:space="preserve">Do</w:t>
      </w:r>
      <w:r>
        <w:t xml:space="preserve"> </w:t>
      </w:r>
      <w:r>
        <w:rPr>
          <w:bCs/>
          <w:b/>
        </w:rPr>
        <w:t xml:space="preserve">not</w:t>
      </w:r>
      <w:r>
        <w:t xml:space="preserve"> </w:t>
      </w:r>
      <w:r>
        <w:t xml:space="preserve">paste confidential, personal, health, legal, safeguarding, donor, applicant, volunteer, payment, grant-restricted, or unpublished organizational information into a public AI tool unless the organization has specifically approved that use and the system is authorized for the data.</w:t>
      </w:r>
    </w:p>
    <w:p>
      <w:pPr>
        <w:pStyle w:val="BodyText"/>
      </w:pPr>
      <w:r>
        <w:t xml:space="preserve">Human review is required for AI-assisted drafts. Verify facts, dates, names, numbers, eligibility statements, legal language, translations, and commitments before use.</w:t>
      </w:r>
    </w:p>
    <w:p>
      <w:pPr>
        <w:pStyle w:val="BodyText"/>
      </w:pPr>
      <w:r>
        <w:t xml:space="preserve">AI must not be used as a substitute for licensed professional judgment, safeguarding decisions, grant authorization, procurement approval, benefits adjudication, or management authority.</w:t>
      </w:r>
    </w:p>
    <w:bookmarkEnd w:id="47"/>
    <w:bookmarkStart w:id="48" w:name="a-practical-12-week-start-plan"/>
    <w:p>
      <w:pPr>
        <w:pStyle w:val="Heading2"/>
      </w:pPr>
      <w:r>
        <w:t xml:space="preserve">A practical 12-week start plan</w:t>
      </w:r>
    </w:p>
    <w:p>
      <w:pPr>
        <w:pStyle w:val="FirstParagraph"/>
      </w:pPr>
      <w:r>
        <w:rPr>
          <w:bCs/>
          <w:b/>
        </w:rPr>
        <w:t xml:space="preserve">Weeks 1–2:</w:t>
      </w:r>
      <w:r>
        <w:t xml:space="preserve"> </w:t>
      </w:r>
      <w:r>
        <w:t xml:space="preserve">Review 15–20 local coordinator postings. Record recurring duties, education, software, languages, schedule, travel, background checks, grant exposure, budgeting, and supervision.</w:t>
      </w:r>
    </w:p>
    <w:p>
      <w:pPr>
        <w:pStyle w:val="BodyText"/>
      </w:pPr>
      <w:r>
        <w:rPr>
          <w:bCs/>
          <w:b/>
        </w:rPr>
        <w:t xml:space="preserve">Weeks 3–4:</w:t>
      </w:r>
      <w:r>
        <w:t xml:space="preserve"> </w:t>
      </w:r>
      <w:r>
        <w:t xml:space="preserve">Build core administrative skills: spreadsheets, calendars, meeting notes, task tracking, file organization, and basic reporting.</w:t>
      </w:r>
    </w:p>
    <w:p>
      <w:pPr>
        <w:pStyle w:val="BodyText"/>
      </w:pPr>
      <w:r>
        <w:rPr>
          <w:bCs/>
          <w:b/>
        </w:rPr>
        <w:t xml:space="preserve">Weeks 5–6:</w:t>
      </w:r>
      <w:r>
        <w:t xml:space="preserve"> </w:t>
      </w:r>
      <w:r>
        <w:t xml:space="preserve">Learn the local community-resource ecosystem and practice respectful outreach, referral information, partner communication, and accessible event planning.</w:t>
      </w:r>
    </w:p>
    <w:p>
      <w:pPr>
        <w:pStyle w:val="BodyText"/>
      </w:pPr>
      <w:r>
        <w:rPr>
          <w:bCs/>
          <w:b/>
        </w:rPr>
        <w:t xml:space="preserve">Weeks 7–8:</w:t>
      </w:r>
      <w:r>
        <w:t xml:space="preserve"> </w:t>
      </w:r>
      <w:r>
        <w:t xml:space="preserve">Complete suitable public or employer-recognized training in privacy, cybersecurity, safeguarding, accessibility, volunteer management, project coordination, or budgeting basics.</w:t>
      </w:r>
    </w:p>
    <w:p>
      <w:pPr>
        <w:pStyle w:val="BodyText"/>
      </w:pPr>
      <w:r>
        <w:rPr>
          <w:bCs/>
          <w:b/>
        </w:rPr>
        <w:t xml:space="preserve">Weeks 9–10:</w:t>
      </w:r>
      <w:r>
        <w:t xml:space="preserve"> </w:t>
      </w:r>
      <w:r>
        <w:t xml:space="preserve">Build supervised experience through volunteering, program assistance, public events, nonprofit administration, school/community work, healthcare administration, or civic organizations.</w:t>
      </w:r>
    </w:p>
    <w:p>
      <w:pPr>
        <w:pStyle w:val="BodyText"/>
      </w:pPr>
      <w:r>
        <w:rPr>
          <w:bCs/>
          <w:b/>
        </w:rPr>
        <w:t xml:space="preserve">Weeks 11–12:</w:t>
      </w:r>
      <w:r>
        <w:t xml:space="preserve"> </w:t>
      </w:r>
      <w:r>
        <w:t xml:space="preserve">Apply to roles that match your actual education and experience. Prepare examples showing organization, follow-through, reporting, stakeholder coordination, problem solving, financial care, privacy, and appropriate escalation.</w:t>
      </w:r>
    </w:p>
    <w:bookmarkEnd w:id="48"/>
    <w:bookmarkStart w:id="49" w:name="X1083bf06355c361b63c72575330538de88c6660"/>
    <w:p>
      <w:pPr>
        <w:pStyle w:val="Heading2"/>
      </w:pPr>
      <w:r>
        <w:t xml:space="preserve">Building experience without already having the title</w:t>
      </w:r>
    </w:p>
    <w:p>
      <w:pPr>
        <w:pStyle w:val="FirstParagraph"/>
      </w:pPr>
      <w:r>
        <w:t xml:space="preserve">Transferable experience can come from:</w:t>
      </w:r>
    </w:p>
    <w:p>
      <w:pPr>
        <w:numPr>
          <w:ilvl w:val="0"/>
          <w:numId w:val="1017"/>
        </w:numPr>
        <w:pStyle w:val="Compact"/>
      </w:pPr>
      <w:r>
        <w:t xml:space="preserve">program assistance;</w:t>
      </w:r>
    </w:p>
    <w:p>
      <w:pPr>
        <w:numPr>
          <w:ilvl w:val="0"/>
          <w:numId w:val="1017"/>
        </w:numPr>
        <w:pStyle w:val="Compact"/>
      </w:pPr>
      <w:r>
        <w:t xml:space="preserve">volunteering;</w:t>
      </w:r>
    </w:p>
    <w:p>
      <w:pPr>
        <w:numPr>
          <w:ilvl w:val="0"/>
          <w:numId w:val="1017"/>
        </w:numPr>
        <w:pStyle w:val="Compact"/>
      </w:pPr>
      <w:r>
        <w:t xml:space="preserve">customer service;</w:t>
      </w:r>
    </w:p>
    <w:p>
      <w:pPr>
        <w:numPr>
          <w:ilvl w:val="0"/>
          <w:numId w:val="1017"/>
        </w:numPr>
        <w:pStyle w:val="Compact"/>
      </w:pPr>
      <w:r>
        <w:t xml:space="preserve">office administration;</w:t>
      </w:r>
    </w:p>
    <w:p>
      <w:pPr>
        <w:numPr>
          <w:ilvl w:val="0"/>
          <w:numId w:val="1017"/>
        </w:numPr>
        <w:pStyle w:val="Compact"/>
      </w:pPr>
      <w:r>
        <w:t xml:space="preserve">event coordination;</w:t>
      </w:r>
    </w:p>
    <w:p>
      <w:pPr>
        <w:numPr>
          <w:ilvl w:val="0"/>
          <w:numId w:val="1017"/>
        </w:numPr>
        <w:pStyle w:val="Compact"/>
      </w:pPr>
      <w:r>
        <w:t xml:space="preserve">school or university programs;</w:t>
      </w:r>
    </w:p>
    <w:p>
      <w:pPr>
        <w:numPr>
          <w:ilvl w:val="0"/>
          <w:numId w:val="1017"/>
        </w:numPr>
        <w:pStyle w:val="Compact"/>
      </w:pPr>
      <w:r>
        <w:t xml:space="preserve">healthcare administration;</w:t>
      </w:r>
    </w:p>
    <w:p>
      <w:pPr>
        <w:numPr>
          <w:ilvl w:val="0"/>
          <w:numId w:val="1017"/>
        </w:numPr>
        <w:pStyle w:val="Compact"/>
      </w:pPr>
      <w:r>
        <w:t xml:space="preserve">youth or senior programs;</w:t>
      </w:r>
    </w:p>
    <w:p>
      <w:pPr>
        <w:numPr>
          <w:ilvl w:val="0"/>
          <w:numId w:val="1017"/>
        </w:numPr>
        <w:pStyle w:val="Compact"/>
      </w:pPr>
      <w:r>
        <w:t xml:space="preserve">disability-service organizations;</w:t>
      </w:r>
    </w:p>
    <w:p>
      <w:pPr>
        <w:numPr>
          <w:ilvl w:val="0"/>
          <w:numId w:val="1017"/>
        </w:numPr>
        <w:pStyle w:val="Compact"/>
      </w:pPr>
      <w:r>
        <w:t xml:space="preserve">libraries and cultural organizations;</w:t>
      </w:r>
    </w:p>
    <w:p>
      <w:pPr>
        <w:numPr>
          <w:ilvl w:val="0"/>
          <w:numId w:val="1017"/>
        </w:numPr>
        <w:pStyle w:val="Compact"/>
      </w:pPr>
      <w:r>
        <w:t xml:space="preserve">workforce and employment programs;</w:t>
      </w:r>
    </w:p>
    <w:p>
      <w:pPr>
        <w:numPr>
          <w:ilvl w:val="0"/>
          <w:numId w:val="1017"/>
        </w:numPr>
        <w:pStyle w:val="Compact"/>
      </w:pPr>
      <w:r>
        <w:t xml:space="preserve">community associations;</w:t>
      </w:r>
    </w:p>
    <w:p>
      <w:pPr>
        <w:numPr>
          <w:ilvl w:val="0"/>
          <w:numId w:val="1017"/>
        </w:numPr>
        <w:pStyle w:val="Compact"/>
      </w:pPr>
      <w:r>
        <w:t xml:space="preserve">public agencies; or</w:t>
      </w:r>
    </w:p>
    <w:p>
      <w:pPr>
        <w:numPr>
          <w:ilvl w:val="0"/>
          <w:numId w:val="1017"/>
        </w:numPr>
        <w:pStyle w:val="Compact"/>
      </w:pPr>
      <w:r>
        <w:t xml:space="preserve">faith-based or nonprofit organizations.</w:t>
      </w:r>
    </w:p>
    <w:p>
      <w:pPr>
        <w:pStyle w:val="FirstParagraph"/>
      </w:pPr>
      <w:r>
        <w:t xml:space="preserve">Describe your experience precisely. Strong evidence can include reliable event delivery, accurate records, partner coordination, volunteer scheduling, budget tracking, participant communication, accessible materials, reduced errors, improved response times, or completion of grant/reporting deadlines.</w:t>
      </w:r>
    </w:p>
    <w:p>
      <w:pPr>
        <w:pStyle w:val="BodyText"/>
      </w:pPr>
      <w:r>
        <w:t xml:space="preserve">Do not claim management authority, grantmaking authority, clinical practice, legal expertise, fiduciary authority, or case-management authority you did not have.</w:t>
      </w:r>
    </w:p>
    <w:bookmarkEnd w:id="49"/>
    <w:bookmarkStart w:id="50" w:name="career-progression"/>
    <w:p>
      <w:pPr>
        <w:pStyle w:val="Heading2"/>
      </w:pPr>
      <w:r>
        <w:t xml:space="preserve">Career progression</w:t>
      </w:r>
    </w:p>
    <w:p>
      <w:pPr>
        <w:pStyle w:val="FirstParagraph"/>
      </w:pPr>
      <w:r>
        <w:t xml:space="preserve">Possible next steps may include senior program coordinator, community engagement coordinator, volunteer coordinator, outreach coordinator, program specialist, grants/program administrator, program manager, community-services manager, nonprofit operations manager, or public-program administrator.</w:t>
      </w:r>
    </w:p>
    <w:p>
      <w:pPr>
        <w:pStyle w:val="BodyText"/>
      </w:pPr>
      <w:r>
        <w:t xml:space="preserve">Progression depends on sector, education, experience, budget and staff responsibility, regulated-profession boundaries, and local employer requirements. Do not assume that time in a coordinator role automatically qualifies you for a protected professional title or management occupation.</w:t>
      </w:r>
    </w:p>
    <w:bookmarkEnd w:id="50"/>
    <w:bookmarkStart w:id="51" w:name="verify-before-you-enroll-or-accept-a-job"/>
    <w:p>
      <w:pPr>
        <w:pStyle w:val="Heading2"/>
      </w:pPr>
      <w:r>
        <w:t xml:space="preserve">Verify before you enroll or accept a job</w:t>
      </w:r>
    </w:p>
    <w:p>
      <w:pPr>
        <w:pStyle w:val="FirstParagraph"/>
      </w:pPr>
      <w:r>
        <w:t xml:space="preserve">Before paying for training or accepting a role, verify:</w:t>
      </w:r>
    </w:p>
    <w:p>
      <w:pPr>
        <w:numPr>
          <w:ilvl w:val="0"/>
          <w:numId w:val="1018"/>
        </w:numPr>
        <w:pStyle w:val="Compact"/>
      </w:pPr>
      <w:r>
        <w:t xml:space="preserve">the actual duties;</w:t>
      </w:r>
    </w:p>
    <w:p>
      <w:pPr>
        <w:numPr>
          <w:ilvl w:val="0"/>
          <w:numId w:val="1018"/>
        </w:numPr>
        <w:pStyle w:val="Compact"/>
      </w:pPr>
      <w:r>
        <w:t xml:space="preserve">reporting line;</w:t>
      </w:r>
    </w:p>
    <w:p>
      <w:pPr>
        <w:numPr>
          <w:ilvl w:val="0"/>
          <w:numId w:val="1018"/>
        </w:numPr>
        <w:pStyle w:val="Compact"/>
      </w:pPr>
      <w:r>
        <w:t xml:space="preserve">staff or volunteer supervision;</w:t>
      </w:r>
    </w:p>
    <w:p>
      <w:pPr>
        <w:numPr>
          <w:ilvl w:val="0"/>
          <w:numId w:val="1018"/>
        </w:numPr>
        <w:pStyle w:val="Compact"/>
      </w:pPr>
      <w:r>
        <w:t xml:space="preserve">budget and purchasing authority;</w:t>
      </w:r>
    </w:p>
    <w:p>
      <w:pPr>
        <w:numPr>
          <w:ilvl w:val="0"/>
          <w:numId w:val="1018"/>
        </w:numPr>
        <w:pStyle w:val="Compact"/>
      </w:pPr>
      <w:r>
        <w:t xml:space="preserve">grant responsibilities;</w:t>
      </w:r>
    </w:p>
    <w:p>
      <w:pPr>
        <w:numPr>
          <w:ilvl w:val="0"/>
          <w:numId w:val="1018"/>
        </w:numPr>
        <w:pStyle w:val="Compact"/>
      </w:pPr>
      <w:r>
        <w:t xml:space="preserve">safeguarding obligations;</w:t>
      </w:r>
    </w:p>
    <w:p>
      <w:pPr>
        <w:numPr>
          <w:ilvl w:val="0"/>
          <w:numId w:val="1018"/>
        </w:numPr>
        <w:pStyle w:val="Compact"/>
      </w:pPr>
      <w:r>
        <w:t xml:space="preserve">privacy requirements;</w:t>
      </w:r>
    </w:p>
    <w:p>
      <w:pPr>
        <w:numPr>
          <w:ilvl w:val="0"/>
          <w:numId w:val="1018"/>
        </w:numPr>
        <w:pStyle w:val="Compact"/>
      </w:pPr>
      <w:r>
        <w:t xml:space="preserve">required education and credentials;</w:t>
      </w:r>
    </w:p>
    <w:p>
      <w:pPr>
        <w:numPr>
          <w:ilvl w:val="0"/>
          <w:numId w:val="1018"/>
        </w:numPr>
        <w:pStyle w:val="Compact"/>
      </w:pPr>
      <w:r>
        <w:t xml:space="preserve">travel and schedule;</w:t>
      </w:r>
    </w:p>
    <w:p>
      <w:pPr>
        <w:numPr>
          <w:ilvl w:val="0"/>
          <w:numId w:val="1018"/>
        </w:numPr>
        <w:pStyle w:val="Compact"/>
      </w:pPr>
      <w:r>
        <w:t xml:space="preserve">background checks;</w:t>
      </w:r>
    </w:p>
    <w:p>
      <w:pPr>
        <w:numPr>
          <w:ilvl w:val="0"/>
          <w:numId w:val="1018"/>
        </w:numPr>
        <w:pStyle w:val="Compact"/>
      </w:pPr>
      <w:r>
        <w:t xml:space="preserve">compensation and contract type;</w:t>
      </w:r>
    </w:p>
    <w:p>
      <w:pPr>
        <w:numPr>
          <w:ilvl w:val="0"/>
          <w:numId w:val="1018"/>
        </w:numPr>
        <w:pStyle w:val="Compact"/>
      </w:pPr>
      <w:r>
        <w:t xml:space="preserve">whether the role is temporary or grant-funded; and</w:t>
      </w:r>
    </w:p>
    <w:p>
      <w:pPr>
        <w:numPr>
          <w:ilvl w:val="0"/>
          <w:numId w:val="1018"/>
        </w:numPr>
        <w:pStyle w:val="Compact"/>
      </w:pPr>
      <w:r>
        <w:t xml:space="preserve">what training the employer provides.</w:t>
      </w:r>
    </w:p>
    <w:p>
      <w:pPr>
        <w:pStyle w:val="FirstParagraph"/>
      </w:pPr>
      <w:r>
        <w:t xml:space="preserve">Get important promises in writing.</w:t>
      </w:r>
    </w:p>
    <w:bookmarkEnd w:id="51"/>
    <w:bookmarkStart w:id="68" w:name="controlled-source-list"/>
    <w:p>
      <w:pPr>
        <w:pStyle w:val="Heading2"/>
      </w:pPr>
      <w:r>
        <w:t xml:space="preserve">Controlled source list</w:t>
      </w:r>
    </w:p>
    <w:p>
      <w:pPr>
        <w:numPr>
          <w:ilvl w:val="0"/>
          <w:numId w:val="1019"/>
        </w:numPr>
        <w:pStyle w:val="Compact"/>
      </w:pPr>
      <w:r>
        <w:t xml:space="preserve">O*NET OnLine — Social and Community Service Managers, 11-9151.00</w:t>
      </w:r>
      <w:r>
        <w:br/>
      </w:r>
      <w:hyperlink r:id="rId52">
        <w:hyperlink r:id="rId52">
          <w:r>
            <w:rPr>
              <w:rStyle w:val="Hyperlink"/>
            </w:rPr>
            <w:t xml:space="preserve">Source link</w:t>
          </w:r>
        </w:hyperlink>
      </w:hyperlink>
    </w:p>
    <w:p>
      <w:pPr>
        <w:numPr>
          <w:ilvl w:val="0"/>
          <w:numId w:val="1019"/>
        </w:numPr>
        <w:pStyle w:val="Compact"/>
      </w:pPr>
      <w:r>
        <w:t xml:space="preserve">O*NET OnLine — 11-9151.00 summary, BLS wage and projections data</w:t>
      </w:r>
      <w:r>
        <w:br/>
      </w:r>
      <w:hyperlink r:id="rId53">
        <w:hyperlink r:id="rId53">
          <w:r>
            <w:rPr>
              <w:rStyle w:val="Hyperlink"/>
            </w:rPr>
            <w:t xml:space="preserve">Source link</w:t>
          </w:r>
        </w:hyperlink>
      </w:hyperlink>
    </w:p>
    <w:p>
      <w:pPr>
        <w:numPr>
          <w:ilvl w:val="0"/>
          <w:numId w:val="1019"/>
        </w:numPr>
        <w:pStyle w:val="Compact"/>
      </w:pPr>
      <w:r>
        <w:t xml:space="preserve">Salary.com — Community Program Coordinator Salary, updated August 1, 2026</w:t>
      </w:r>
      <w:r>
        <w:br/>
      </w:r>
      <w:hyperlink r:id="rId54">
        <w:hyperlink r:id="rId54">
          <w:r>
            <w:rPr>
              <w:rStyle w:val="Hyperlink"/>
            </w:rPr>
            <w:t xml:space="preserve">Source link</w:t>
          </w:r>
        </w:hyperlink>
      </w:hyperlink>
    </w:p>
    <w:p>
      <w:pPr>
        <w:numPr>
          <w:ilvl w:val="0"/>
          <w:numId w:val="1019"/>
        </w:numPr>
        <w:pStyle w:val="Compact"/>
      </w:pPr>
      <w:r>
        <w:t xml:space="preserve">ZipRecruiter — Community Program Coordinator Salary, July 2026</w:t>
      </w:r>
      <w:r>
        <w:br/>
      </w:r>
      <w:hyperlink r:id="rId55">
        <w:hyperlink r:id="rId55">
          <w:r>
            <w:rPr>
              <w:rStyle w:val="Hyperlink"/>
            </w:rPr>
            <w:t xml:space="preserve">Source link</w:t>
          </w:r>
        </w:hyperlink>
      </w:hyperlink>
    </w:p>
    <w:p>
      <w:pPr>
        <w:numPr>
          <w:ilvl w:val="0"/>
          <w:numId w:val="1019"/>
        </w:numPr>
        <w:pStyle w:val="Compact"/>
      </w:pPr>
      <w:r>
        <w:t xml:space="preserve">Indeed — Community Programs Coordinator current listings</w:t>
      </w:r>
      <w:r>
        <w:br/>
      </w:r>
      <w:hyperlink r:id="rId56">
        <w:hyperlink r:id="rId56">
          <w:r>
            <w:rPr>
              <w:rStyle w:val="Hyperlink"/>
            </w:rPr>
            <w:t xml:space="preserve">Source link</w:t>
          </w:r>
        </w:hyperlink>
      </w:hyperlink>
    </w:p>
    <w:p>
      <w:pPr>
        <w:numPr>
          <w:ilvl w:val="0"/>
          <w:numId w:val="1019"/>
        </w:numPr>
        <w:pStyle w:val="Compact"/>
      </w:pPr>
      <w:r>
        <w:t xml:space="preserve">Government of Canada Job Bank — NOC 40030 summary</w:t>
      </w:r>
      <w:r>
        <w:br/>
      </w:r>
      <w:hyperlink r:id="rId57">
        <w:hyperlink r:id="rId57">
          <w:r>
            <w:rPr>
              <w:rStyle w:val="Hyperlink"/>
            </w:rPr>
            <w:t xml:space="preserve">Source link</w:t>
          </w:r>
        </w:hyperlink>
      </w:hyperlink>
    </w:p>
    <w:p>
      <w:pPr>
        <w:numPr>
          <w:ilvl w:val="0"/>
          <w:numId w:val="1019"/>
        </w:numPr>
        <w:pStyle w:val="Compact"/>
      </w:pPr>
      <w:r>
        <w:t xml:space="preserve">Government of Canada Job Bank — NOC 40030 requirements</w:t>
      </w:r>
      <w:r>
        <w:br/>
      </w:r>
      <w:hyperlink r:id="rId58">
        <w:hyperlink r:id="rId58">
          <w:r>
            <w:rPr>
              <w:rStyle w:val="Hyperlink"/>
            </w:rPr>
            <w:t xml:space="preserve">Source link</w:t>
          </w:r>
        </w:hyperlink>
      </w:hyperlink>
    </w:p>
    <w:p>
      <w:pPr>
        <w:numPr>
          <w:ilvl w:val="0"/>
          <w:numId w:val="1019"/>
        </w:numPr>
        <w:pStyle w:val="Compact"/>
      </w:pPr>
      <w:r>
        <w:t xml:space="preserve">Government of Canada Job Bank — NOC 40030 wages</w:t>
      </w:r>
      <w:r>
        <w:br/>
      </w:r>
      <w:hyperlink r:id="rId59">
        <w:hyperlink r:id="rId59">
          <w:r>
            <w:rPr>
              <w:rStyle w:val="Hyperlink"/>
            </w:rPr>
            <w:t xml:space="preserve">Source link</w:t>
          </w:r>
        </w:hyperlink>
      </w:hyperlink>
    </w:p>
    <w:p>
      <w:pPr>
        <w:numPr>
          <w:ilvl w:val="0"/>
          <w:numId w:val="1019"/>
        </w:numPr>
        <w:pStyle w:val="Compact"/>
      </w:pPr>
      <w:r>
        <w:t xml:space="preserve">SENA Betowa — Gestión comunitaria del riesgo de desastres</w:t>
      </w:r>
      <w:r>
        <w:br/>
      </w:r>
      <w:hyperlink r:id="rId60">
        <w:hyperlink r:id="rId60">
          <w:r>
            <w:rPr>
              <w:rStyle w:val="Hyperlink"/>
            </w:rPr>
            <w:t xml:space="preserve">Source link</w:t>
          </w:r>
        </w:hyperlink>
      </w:hyperlink>
    </w:p>
    <w:p>
      <w:pPr>
        <w:numPr>
          <w:ilvl w:val="0"/>
          <w:numId w:val="1019"/>
        </w:numPr>
        <w:pStyle w:val="Compact"/>
      </w:pPr>
      <w:r>
        <w:t xml:space="preserve">SENA Betowa — Organización comunitaria sostenible</w:t>
      </w:r>
      <w:r>
        <w:br/>
      </w:r>
      <w:hyperlink r:id="rId61">
        <w:hyperlink r:id="rId61">
          <w:r>
            <w:rPr>
              <w:rStyle w:val="Hyperlink"/>
            </w:rPr>
            <w:t xml:space="preserve">Source link</w:t>
          </w:r>
        </w:hyperlink>
      </w:hyperlink>
    </w:p>
    <w:p>
      <w:pPr>
        <w:numPr>
          <w:ilvl w:val="0"/>
          <w:numId w:val="1019"/>
        </w:numPr>
        <w:pStyle w:val="Compact"/>
      </w:pPr>
      <w:r>
        <w:t xml:space="preserve">SENA Agencia Pública de Empleo — community-management vacancy evidence</w:t>
      </w:r>
      <w:r>
        <w:br/>
      </w:r>
      <w:hyperlink r:id="rId62">
        <w:hyperlink r:id="rId62">
          <w:r>
            <w:rPr>
              <w:rStyle w:val="Hyperlink"/>
            </w:rPr>
            <w:t xml:space="preserve">Source link</w:t>
          </w:r>
        </w:hyperlink>
      </w:hyperlink>
    </w:p>
    <w:p>
      <w:pPr>
        <w:numPr>
          <w:ilvl w:val="0"/>
          <w:numId w:val="1019"/>
        </w:numPr>
        <w:pStyle w:val="Compact"/>
      </w:pPr>
      <w:r>
        <w:t xml:space="preserve">SENA Circular 287 of 2025 — community-work contracting guidance</w:t>
      </w:r>
      <w:r>
        <w:br/>
      </w:r>
      <w:hyperlink r:id="rId63">
        <w:hyperlink r:id="rId63">
          <w:r>
            <w:rPr>
              <w:rStyle w:val="Hyperlink"/>
            </w:rPr>
            <w:t xml:space="preserve">Source link</w:t>
          </w:r>
        </w:hyperlink>
      </w:hyperlink>
    </w:p>
    <w:p>
      <w:pPr>
        <w:numPr>
          <w:ilvl w:val="0"/>
          <w:numId w:val="1019"/>
        </w:numPr>
        <w:pStyle w:val="Compact"/>
      </w:pPr>
      <w:r>
        <w:t xml:space="preserve">OIT/Cinterfor — vocational-training observatory</w:t>
      </w:r>
      <w:r>
        <w:br/>
      </w:r>
      <w:hyperlink r:id="rId64">
        <w:r>
          <w:rPr>
            <w:rStyle w:val="Hyperlink"/>
          </w:rPr>
          <w:t xml:space="preserve">https://www.cinterfor.org/statsfp</w:t>
        </w:r>
      </w:hyperlink>
    </w:p>
    <w:p>
      <w:pPr>
        <w:numPr>
          <w:ilvl w:val="0"/>
          <w:numId w:val="1019"/>
        </w:numPr>
        <w:pStyle w:val="Compact"/>
      </w:pPr>
      <w:r>
        <w:t xml:space="preserve">CareerOneStop — WIOA-Eligible Training Program Finder</w:t>
      </w:r>
      <w:r>
        <w:br/>
      </w:r>
      <w:hyperlink r:id="rId65">
        <w:hyperlink r:id="rId65">
          <w:r>
            <w:rPr>
              <w:rStyle w:val="Hyperlink"/>
            </w:rPr>
            <w:t xml:space="preserve">Source link</w:t>
          </w:r>
        </w:hyperlink>
      </w:hyperlink>
    </w:p>
    <w:p>
      <w:pPr>
        <w:numPr>
          <w:ilvl w:val="0"/>
          <w:numId w:val="1019"/>
        </w:numPr>
        <w:pStyle w:val="Compact"/>
      </w:pPr>
      <w:r>
        <w:t xml:space="preserve">CareerOneStop — American Job Center Finder</w:t>
      </w:r>
      <w:r>
        <w:br/>
      </w:r>
      <w:hyperlink r:id="rId66">
        <w:hyperlink r:id="rId66">
          <w:r>
            <w:rPr>
              <w:rStyle w:val="Hyperlink"/>
            </w:rPr>
            <w:t xml:space="preserve">Source link</w:t>
          </w:r>
        </w:hyperlink>
      </w:hyperlink>
    </w:p>
    <w:p>
      <w:pPr>
        <w:numPr>
          <w:ilvl w:val="0"/>
          <w:numId w:val="1019"/>
        </w:numPr>
        <w:pStyle w:val="Compact"/>
      </w:pPr>
      <w:r>
        <w:t xml:space="preserve">Apprenticeship.gov — Apprenticeship Finder</w:t>
      </w:r>
      <w:r>
        <w:br/>
      </w:r>
      <w:hyperlink r:id="rId67">
        <w:hyperlink r:id="rId67">
          <w:r>
            <w:rPr>
              <w:rStyle w:val="Hyperlink"/>
            </w:rPr>
            <w:t xml:space="preserve">Source link</w:t>
          </w:r>
        </w:hyperlink>
      </w:hyperlink>
    </w:p>
    <w:bookmarkEnd w:id="68"/>
    <w:bookmarkStart w:id="69" w:name="assurance-boundary"/>
    <w:p>
      <w:pPr>
        <w:pStyle w:val="Heading2"/>
      </w:pPr>
      <w:r>
        <w:t xml:space="preserve">Assurance boundary</w:t>
      </w:r>
    </w:p>
    <w:p>
      <w:pPr>
        <w:pStyle w:val="FirstParagraph"/>
      </w:pPr>
      <w:r>
        <w:t xml:space="preserve">This guide is educational. It does not provide legal, clinical, financial, grant, procurement, safeguarding, or professional-practice advice. It does not guarantee employment, wages, training funding, certification, licensure, grants, contracts, or promotion. It does not claim independent human certification, professional translation certification, accreditation, accessibility certification, or legal review.</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agenciapublicadeempleo.sena.edu.co/spe-web/spe/demanda/solicitud-sintesis/4052296" TargetMode="External" /><Relationship Type="http://schemas.openxmlformats.org/officeDocument/2006/relationships/hyperlink" Id="rId60" Target="https://betowa.sena.edu.co/oferta/gestion-comunitaria-del-riesgo-de-desastres?level=2&amp;modality=P&amp;offertype=company&amp;programId=177814" TargetMode="External" /><Relationship Type="http://schemas.openxmlformats.org/officeDocument/2006/relationships/hyperlink" Id="rId61" Target="https://betowa.sena.edu.co/oferta/organizacion-comunitaria-sostenible?offertype=company&amp;programId=98528" TargetMode="External" /><Relationship Type="http://schemas.openxmlformats.org/officeDocument/2006/relationships/hyperlink" Id="rId63" Target="https://normograma.sena.edu.co/compilacion/docs/circular_sena_0287_2025.htm" TargetMode="External" /><Relationship Type="http://schemas.openxmlformats.org/officeDocument/2006/relationships/hyperlink" Id="rId67" Target="https://www.apprenticeship.gov/finder/listings" TargetMode="External" /><Relationship Type="http://schemas.openxmlformats.org/officeDocument/2006/relationships/hyperlink" Id="rId66" Target="https://www.careeronestop.org/LocalHelp/AmericanJobCenters/american-job-centers.aspx" TargetMode="External" /><Relationship Type="http://schemas.openxmlformats.org/officeDocument/2006/relationships/hyperlink" Id="rId65" Target="https://www.careeronestop.org/LocalHelp/EmploymentAndTraining/find-WIOA-training-programs.aspx" TargetMode="External" /><Relationship Type="http://schemas.openxmlformats.org/officeDocument/2006/relationships/hyperlink" Id="rId64" Target="https://www.cinterfor.org/statsfp" TargetMode="External" /><Relationship Type="http://schemas.openxmlformats.org/officeDocument/2006/relationships/hyperlink" Id="rId56" Target="https://www.indeed.com/q-community-programs-coordinator-jobs.html" TargetMode="External" /><Relationship Type="http://schemas.openxmlformats.org/officeDocument/2006/relationships/hyperlink" Id="rId58" Target="https://www.jobbank.gc.ca/marketreport/requirements/1797/ca" TargetMode="External" /><Relationship Type="http://schemas.openxmlformats.org/officeDocument/2006/relationships/hyperlink" Id="rId57" Target="https://www.jobbank.gc.ca/marketreport/summary-occupation/1813/ca" TargetMode="External" /><Relationship Type="http://schemas.openxmlformats.org/officeDocument/2006/relationships/hyperlink" Id="rId59" Target="https://www.on.jobbank.gc.ca/wagereport/occupation/1813" TargetMode="External" /><Relationship Type="http://schemas.openxmlformats.org/officeDocument/2006/relationships/hyperlink" Id="rId52" Target="https://www.onetonline.org/link/details/11-9151.00" TargetMode="External" /><Relationship Type="http://schemas.openxmlformats.org/officeDocument/2006/relationships/hyperlink" Id="rId53" Target="https://www.onetonline.org/link/summary/11-9151.00" TargetMode="External" /><Relationship Type="http://schemas.openxmlformats.org/officeDocument/2006/relationships/hyperlink" Id="rId54" Target="https://www.salary.com/research/salary/recruiting/community-program-coordinator-salary" TargetMode="External" /><Relationship Type="http://schemas.openxmlformats.org/officeDocument/2006/relationships/hyperlink" Id="rId55" Target="https://www.ziprecruiter.com/Salaries/Community-Program-Coordinator-Salary" TargetMode="External" /></Relationships>
</file>

<file path=word/_rels/footnotes.xml.rels><?xml version="1.0" encoding="UTF-8"?><Relationships xmlns="http://schemas.openxmlformats.org/package/2006/relationships"><Relationship Type="http://schemas.openxmlformats.org/officeDocument/2006/relationships/hyperlink" Id="rId62" Target="https://agenciapublicadeempleo.sena.edu.co/spe-web/spe/demanda/solicitud-sintesis/4052296" TargetMode="External" /><Relationship Type="http://schemas.openxmlformats.org/officeDocument/2006/relationships/hyperlink" Id="rId60" Target="https://betowa.sena.edu.co/oferta/gestion-comunitaria-del-riesgo-de-desastres?level=2&amp;modality=P&amp;offertype=company&amp;programId=177814" TargetMode="External" /><Relationship Type="http://schemas.openxmlformats.org/officeDocument/2006/relationships/hyperlink" Id="rId61" Target="https://betowa.sena.edu.co/oferta/organizacion-comunitaria-sostenible?offertype=company&amp;programId=98528" TargetMode="External" /><Relationship Type="http://schemas.openxmlformats.org/officeDocument/2006/relationships/hyperlink" Id="rId63" Target="https://normograma.sena.edu.co/compilacion/docs/circular_sena_0287_2025.htm" TargetMode="External" /><Relationship Type="http://schemas.openxmlformats.org/officeDocument/2006/relationships/hyperlink" Id="rId67" Target="https://www.apprenticeship.gov/finder/listings" TargetMode="External" /><Relationship Type="http://schemas.openxmlformats.org/officeDocument/2006/relationships/hyperlink" Id="rId66" Target="https://www.careeronestop.org/LocalHelp/AmericanJobCenters/american-job-centers.aspx" TargetMode="External" /><Relationship Type="http://schemas.openxmlformats.org/officeDocument/2006/relationships/hyperlink" Id="rId65" Target="https://www.careeronestop.org/LocalHelp/EmploymentAndTraining/find-WIOA-training-programs.aspx" TargetMode="External" /><Relationship Type="http://schemas.openxmlformats.org/officeDocument/2006/relationships/hyperlink" Id="rId64" Target="https://www.cinterfor.org/statsfp" TargetMode="External" /><Relationship Type="http://schemas.openxmlformats.org/officeDocument/2006/relationships/hyperlink" Id="rId56" Target="https://www.indeed.com/q-community-programs-coordinator-jobs.html" TargetMode="External" /><Relationship Type="http://schemas.openxmlformats.org/officeDocument/2006/relationships/hyperlink" Id="rId58" Target="https://www.jobbank.gc.ca/marketreport/requirements/1797/ca" TargetMode="External" /><Relationship Type="http://schemas.openxmlformats.org/officeDocument/2006/relationships/hyperlink" Id="rId57" Target="https://www.jobbank.gc.ca/marketreport/summary-occupation/1813/ca" TargetMode="External" /><Relationship Type="http://schemas.openxmlformats.org/officeDocument/2006/relationships/hyperlink" Id="rId59" Target="https://www.on.jobbank.gc.ca/wagereport/occupation/1813" TargetMode="External" /><Relationship Type="http://schemas.openxmlformats.org/officeDocument/2006/relationships/hyperlink" Id="rId52" Target="https://www.onetonline.org/link/details/11-9151.00" TargetMode="External" /><Relationship Type="http://schemas.openxmlformats.org/officeDocument/2006/relationships/hyperlink" Id="rId53" Target="https://www.onetonline.org/link/summary/11-9151.00" TargetMode="External" /><Relationship Type="http://schemas.openxmlformats.org/officeDocument/2006/relationships/hyperlink" Id="rId54" Target="https://www.salary.com/research/salary/recruiting/community-program-coordinator-salary" TargetMode="External" /><Relationship Type="http://schemas.openxmlformats.org/officeDocument/2006/relationships/hyperlink" Id="rId55" Target="https://www.ziprecruiter.com/Salaries/Community-Program-Coordin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2026-08-20T21:58:15Z</dcterms:created>
  <dcterms:modified xsi:type="dcterms:W3CDTF">2026-08-20T21:58:15Z</dcterms:modified>
</cp:coreProperties>
</file>

<file path=docProps/custom.xml><?xml version="1.0" encoding="utf-8"?>
<Properties xmlns="http://schemas.openxmlformats.org/officeDocument/2006/custom-properties" xmlns:vt="http://schemas.openxmlformats.org/officeDocument/2006/docPropsVTypes"/>
</file>