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db3f6a4d5e84f74d6923d802fb0d881cd93bfb8"/>
    <w:p>
      <w:pPr>
        <w:pStyle w:val="Heading1"/>
      </w:pPr>
      <w:r>
        <w:t xml:space="preserve">Guia 64 — Coordenador(a) de Programa de Serviço Comunitário</w:t>
      </w:r>
    </w:p>
    <w:p>
      <w:pPr>
        <w:pStyle w:val="FirstParagraph"/>
      </w:pPr>
      <w:r>
        <w:rPr>
          <w:bCs/>
          <w:b/>
        </w:rPr>
        <w:t xml:space="preserve">Mestre de trabalho controlado em português brasileiro (pt-BR) — Versão 2.0</w:t>
      </w:r>
      <w:r>
        <w:br/>
      </w:r>
      <w:r>
        <w:rPr>
          <w:bCs/>
          <w:b/>
        </w:rPr>
        <w:t xml:space="preserve">Data de revisão:</w:t>
      </w:r>
      <w:r>
        <w:t xml:space="preserve"> </w:t>
      </w:r>
      <w:r>
        <w:t xml:space="preserve">20 de agosto de 2026</w:t>
      </w:r>
      <w:r>
        <w:br/>
      </w:r>
      <w:r>
        <w:rPr>
          <w:bCs/>
          <w:b/>
        </w:rPr>
        <w:t xml:space="preserve">Licença:</w:t>
      </w:r>
      <w:r>
        <w:t xml:space="preserve"> </w:t>
      </w:r>
      <w:r>
        <w:t xml:space="preserve">CC BY-NC-SA 4.0</w:t>
      </w:r>
    </w:p>
    <w:bookmarkStart w:id="20" w:name="em-que-consiste-este-trabalho"/>
    <w:p>
      <w:pPr>
        <w:pStyle w:val="Heading2"/>
      </w:pPr>
      <w:r>
        <w:t xml:space="preserve">Em que consiste este trabalho</w:t>
      </w:r>
    </w:p>
    <w:p>
      <w:pPr>
        <w:pStyle w:val="FirstParagraph"/>
      </w:pPr>
      <w:r>
        <w:t xml:space="preserve">Coordenadores e coordenadoras de programas de serviço comunitário ajudam a organizar, executar, documentar e melhorar programas que atendem comunidades. Dependendo do empregador, o trabalho pode incluir ações de alcance comunitário, eventos, coordenação de voluntariado, encaminhamentos para serviços, comunicação com parceiros, agendamento, registros, acompanhamento de atividades financiadas por subsídios, métricas do programa, apoio a compras, comunicação com participantes, planejamento de acessibilidade e relatórios de rotina.</w:t>
      </w:r>
    </w:p>
    <w:p>
      <w:pPr>
        <w:pStyle w:val="BodyText"/>
      </w:pPr>
      <w:r>
        <w:t xml:space="preserve">O título não é padronizado. Em uma organização, a função pode ser administrativa de nível inicial a intermediário; em outra, a pessoa pode supervisionar funcionários, administrar orçamento ou atuar perto do nível de gerente de programa. Compare sempre as tarefas reais, a autoridade decisória, os requisitos educacionais, as responsabilidades de supervisão, o controle orçamentário e as obrigações legais, em vez de confiar apenas no título.</w:t>
      </w:r>
    </w:p>
    <w:p>
      <w:pPr>
        <w:pStyle w:val="BodyText"/>
      </w:pPr>
      <w:r>
        <w:t xml:space="preserve">Nos Estados Unidos, a referência oficial ampla de gestão mais próxima é</w:t>
      </w:r>
      <w:r>
        <w:t xml:space="preserve"> </w:t>
      </w:r>
      <w:r>
        <w:rPr>
          <w:bCs/>
          <w:b/>
        </w:rPr>
        <w:t xml:space="preserve">O*NET-SOC 11-9151.00 — Social and Community Service Managers</w:t>
      </w:r>
      <w:r>
        <w:t xml:space="preserve">, porque essa ocupação inclui planejar, dirigir ou coordenar programas de serviços sociais e organizações de alcance comunitário. No entanto, muitos cargos de coordenação têm menos autoridade do que essa ocupação gerencial.</w:t>
      </w:r>
    </w:p>
    <w:p>
      <w:pPr>
        <w:pStyle w:val="BodyText"/>
      </w:pPr>
      <w:r>
        <w:t xml:space="preserve">No Canadá, a comparação ampla de gestão mais próxima é</w:t>
      </w:r>
      <w:r>
        <w:t xml:space="preserve"> </w:t>
      </w:r>
      <w:r>
        <w:rPr>
          <w:bCs/>
          <w:b/>
        </w:rPr>
        <w:t xml:space="preserve">NOC 40030 — Managers in social, community and correctional services</w:t>
      </w:r>
      <w:r>
        <w:t xml:space="preserve">. Um título de coordenador não torna automaticamente a função um cargo gerencial NOC 40030.</w:t>
      </w:r>
    </w:p>
    <w:p>
      <w:pPr>
        <w:pStyle w:val="BodyText"/>
      </w:pPr>
      <w:r>
        <w:t xml:space="preserve">Na Colômbia, evidências atuais do SENA apoiam trajetórias ligadas a programas comunitários, alcance, participação e desenvolvimento local, mas não foi identificada uma única ocupação nacional nem uma correspondência salarial que torne todo cargo de Coordenador(a) de Programa de Serviço Comunitário equivalente às classificações gerenciais dos Estados Unidos ou Canadá.</w:t>
      </w:r>
    </w:p>
    <w:bookmarkEnd w:id="20"/>
    <w:bookmarkStart w:id="21" w:name="atividades-típicas"/>
    <w:p>
      <w:pPr>
        <w:pStyle w:val="Heading2"/>
      </w:pPr>
      <w:r>
        <w:t xml:space="preserve">Atividades típicas</w:t>
      </w:r>
    </w:p>
    <w:p>
      <w:pPr>
        <w:pStyle w:val="FirstParagraph"/>
      </w:pPr>
      <w:r>
        <w:t xml:space="preserve">Dependendo do programa e do escopo autorizado da função, as tarefas podem incluir:</w:t>
      </w:r>
    </w:p>
    <w:p>
      <w:pPr>
        <w:numPr>
          <w:ilvl w:val="0"/>
          <w:numId w:val="1001"/>
        </w:numPr>
        <w:pStyle w:val="Compact"/>
      </w:pPr>
      <w:r>
        <w:t xml:space="preserve">coordenar calendários, oficinas, atividades de alcance, reuniões, eventos ou cronogramas de prestação de serviços;</w:t>
      </w:r>
    </w:p>
    <w:p>
      <w:pPr>
        <w:numPr>
          <w:ilvl w:val="0"/>
          <w:numId w:val="1001"/>
        </w:numPr>
        <w:pStyle w:val="Compact"/>
      </w:pPr>
      <w:r>
        <w:t xml:space="preserve">comunicar-se com participantes, voluntários, parceiros comunitários, fornecedores, escolas, órgãos públicos, organizações sem fins lucrativos, financiadores ou equipes internas;</w:t>
      </w:r>
    </w:p>
    <w:p>
      <w:pPr>
        <w:numPr>
          <w:ilvl w:val="0"/>
          <w:numId w:val="1001"/>
        </w:numPr>
        <w:pStyle w:val="Compact"/>
      </w:pPr>
      <w:r>
        <w:t xml:space="preserve">preparar relatórios de rotina, registros de presença, resumos de participação, registros de atividades, atas e métricas do programa;</w:t>
      </w:r>
    </w:p>
    <w:p>
      <w:pPr>
        <w:numPr>
          <w:ilvl w:val="0"/>
          <w:numId w:val="1001"/>
        </w:numPr>
        <w:pStyle w:val="Compact"/>
      </w:pPr>
      <w:r>
        <w:t xml:space="preserve">manter arquivos de participantes, voluntários, fornecedores, subsídios ou programas de acordo com regras de privacidade e retenção;</w:t>
      </w:r>
    </w:p>
    <w:p>
      <w:pPr>
        <w:numPr>
          <w:ilvl w:val="0"/>
          <w:numId w:val="1001"/>
        </w:numPr>
        <w:pStyle w:val="Compact"/>
      </w:pPr>
      <w:r>
        <w:t xml:space="preserve">ajudar a organizar informações de encaminhamento e diretórios de recursos comunitários;</w:t>
      </w:r>
    </w:p>
    <w:p>
      <w:pPr>
        <w:numPr>
          <w:ilvl w:val="0"/>
          <w:numId w:val="1001"/>
        </w:numPr>
        <w:pStyle w:val="Compact"/>
      </w:pPr>
      <w:r>
        <w:t xml:space="preserve">apoiar recrutamento, integração, escala, comunicação e reconhecimento de voluntários;</w:t>
      </w:r>
    </w:p>
    <w:p>
      <w:pPr>
        <w:numPr>
          <w:ilvl w:val="0"/>
          <w:numId w:val="1001"/>
        </w:numPr>
        <w:pStyle w:val="Compact"/>
      </w:pPr>
      <w:r>
        <w:t xml:space="preserve">acompanhar prazos, entregas, solicitações de compra, faturas, suprimentos e despesas aprovadas;</w:t>
      </w:r>
    </w:p>
    <w:p>
      <w:pPr>
        <w:numPr>
          <w:ilvl w:val="0"/>
          <w:numId w:val="1001"/>
        </w:numPr>
        <w:pStyle w:val="Compact"/>
      </w:pPr>
      <w:r>
        <w:t xml:space="preserve">ajudar a monitorar atividades financiadas por subsídios em relação aos planos de trabalho aprovados, sem alterar orçamentos restritos salvo autorização formal;</w:t>
      </w:r>
    </w:p>
    <w:p>
      <w:pPr>
        <w:numPr>
          <w:ilvl w:val="0"/>
          <w:numId w:val="1001"/>
        </w:numPr>
        <w:pStyle w:val="Compact"/>
      </w:pPr>
      <w:r>
        <w:t xml:space="preserve">coletar feedback e ajudar a identificar melhorias operacionais;</w:t>
      </w:r>
    </w:p>
    <w:p>
      <w:pPr>
        <w:numPr>
          <w:ilvl w:val="0"/>
          <w:numId w:val="1001"/>
        </w:numPr>
        <w:pStyle w:val="Compact"/>
      </w:pPr>
      <w:r>
        <w:t xml:space="preserve">apoiar eventos, formulários, comunicações e serviços digitais acessíveis;</w:t>
      </w:r>
    </w:p>
    <w:p>
      <w:pPr>
        <w:numPr>
          <w:ilvl w:val="0"/>
          <w:numId w:val="1001"/>
        </w:numPr>
        <w:pStyle w:val="Compact"/>
      </w:pPr>
      <w:r>
        <w:t xml:space="preserve">preparar rascunhos de comunicações, apresentações, pautas, listas de verificação e materiais de alcance;</w:t>
      </w:r>
    </w:p>
    <w:p>
      <w:pPr>
        <w:numPr>
          <w:ilvl w:val="0"/>
          <w:numId w:val="1001"/>
        </w:numPr>
        <w:pStyle w:val="Compact"/>
      </w:pPr>
      <w:r>
        <w:t xml:space="preserve">coordenar logística com instalações, transporte, intérpretes, prestadores de acessibilidade ou parceiros externos;</w:t>
      </w:r>
    </w:p>
    <w:p>
      <w:pPr>
        <w:numPr>
          <w:ilvl w:val="0"/>
          <w:numId w:val="1001"/>
        </w:numPr>
        <w:pStyle w:val="Compact"/>
      </w:pPr>
      <w:r>
        <w:t xml:space="preserve">escalar preocupações de proteção, privacidade, finanças, cibersegurança, questões jurídicas ou operação pelos canais aprovados; e</w:t>
      </w:r>
    </w:p>
    <w:p>
      <w:pPr>
        <w:numPr>
          <w:ilvl w:val="0"/>
          <w:numId w:val="1001"/>
        </w:numPr>
        <w:pStyle w:val="Compact"/>
      </w:pPr>
      <w:r>
        <w:t xml:space="preserve">apoiar gerentes de programa, diretores, profissionais de serviços sociais, líderes comunitários ou agentes públicos sem se apresentar como detentor de autoridade que não possui.</w:t>
      </w:r>
    </w:p>
    <w:bookmarkEnd w:id="21"/>
    <w:bookmarkStart w:id="22" w:name="Xa854196fec5e35aff326890bab66d39211702df"/>
    <w:p>
      <w:pPr>
        <w:pStyle w:val="Heading2"/>
      </w:pPr>
      <w:r>
        <w:t xml:space="preserve">O que esta função não deve ser apresentada como</w:t>
      </w:r>
    </w:p>
    <w:p>
      <w:pPr>
        <w:pStyle w:val="FirstParagraph"/>
      </w:pPr>
      <w:r>
        <w:t xml:space="preserve">Um título de coordenador não autoriza automaticamente a pessoa a:</w:t>
      </w:r>
    </w:p>
    <w:p>
      <w:pPr>
        <w:numPr>
          <w:ilvl w:val="0"/>
          <w:numId w:val="1002"/>
        </w:numPr>
        <w:pStyle w:val="Compact"/>
      </w:pPr>
      <w:r>
        <w:t xml:space="preserve">exercer serviço social licenciado, psicoterapia, medicina, enfermagem, direito, contabilidade ou outra profissão regulamentada;</w:t>
      </w:r>
    </w:p>
    <w:p>
      <w:pPr>
        <w:numPr>
          <w:ilvl w:val="0"/>
          <w:numId w:val="1002"/>
        </w:numPr>
        <w:pStyle w:val="Compact"/>
      </w:pPr>
      <w:r>
        <w:t xml:space="preserve">diagnosticar condições ou fornecer tratamento clínico;</w:t>
      </w:r>
    </w:p>
    <w:p>
      <w:pPr>
        <w:numPr>
          <w:ilvl w:val="0"/>
          <w:numId w:val="1002"/>
        </w:numPr>
        <w:pStyle w:val="Compact"/>
      </w:pPr>
      <w:r>
        <w:t xml:space="preserve">tomar decisões de elegibilidade para benefícios governamentais, salvo quando essa autoridade for formalmente atribuída;</w:t>
      </w:r>
    </w:p>
    <w:p>
      <w:pPr>
        <w:numPr>
          <w:ilvl w:val="0"/>
          <w:numId w:val="1002"/>
        </w:numPr>
        <w:pStyle w:val="Compact"/>
      </w:pPr>
      <w:r>
        <w:t xml:space="preserve">prometer moradia, financiamento, tratamento, resultados migratórios, benefícios públicos, subsídios, bolsas ou emprego;</w:t>
      </w:r>
    </w:p>
    <w:p>
      <w:pPr>
        <w:numPr>
          <w:ilvl w:val="0"/>
          <w:numId w:val="1002"/>
        </w:numPr>
        <w:pStyle w:val="Compact"/>
      </w:pPr>
      <w:r>
        <w:t xml:space="preserve">aprovar subsídios, assinar contratos, vincular juridicamente a organização, autorizar compras, movimentar recursos restritos ou alterar orçamentos de subsídios, salvo delegação formal;</w:t>
      </w:r>
    </w:p>
    <w:p>
      <w:pPr>
        <w:numPr>
          <w:ilvl w:val="0"/>
          <w:numId w:val="1002"/>
        </w:numPr>
        <w:pStyle w:val="Compact"/>
      </w:pPr>
      <w:r>
        <w:t xml:space="preserve">ignorar controles de compras, finanças, privacidade, proteção, jurídico ou cibersegurança;</w:t>
      </w:r>
    </w:p>
    <w:p>
      <w:pPr>
        <w:numPr>
          <w:ilvl w:val="0"/>
          <w:numId w:val="1002"/>
        </w:numPr>
        <w:pStyle w:val="Compact"/>
      </w:pPr>
      <w:r>
        <w:t xml:space="preserve">tomar decisões de emergência ou proteção fora da política e da legislação aplicável;</w:t>
      </w:r>
    </w:p>
    <w:p>
      <w:pPr>
        <w:numPr>
          <w:ilvl w:val="0"/>
          <w:numId w:val="1002"/>
        </w:numPr>
        <w:pStyle w:val="Compact"/>
      </w:pPr>
      <w:r>
        <w:t xml:space="preserve">acessar registros de participantes, doadores, funcionários, candidatos, voluntários ou beneficiários sem necessidade legítima baseada na função; ou</w:t>
      </w:r>
    </w:p>
    <w:p>
      <w:pPr>
        <w:numPr>
          <w:ilvl w:val="0"/>
          <w:numId w:val="1002"/>
        </w:numPr>
        <w:pStyle w:val="Compact"/>
      </w:pPr>
      <w:r>
        <w:t xml:space="preserve">apresentar um rascunho, uma saída de IA, uma nota interna ou um dado preliminar como decisão organizacional aprovada.</w:t>
      </w:r>
    </w:p>
    <w:p>
      <w:pPr>
        <w:pStyle w:val="FirstParagraph"/>
      </w:pPr>
      <w:r>
        <w:t xml:space="preserve">Quando a autoridade não estiver clara, interrompa a ação e consulte o gerente responsável ou o profissional designado.</w:t>
      </w:r>
    </w:p>
    <w:bookmarkEnd w:id="22"/>
    <w:bookmarkStart w:id="23" w:name="ambiente-de-trabalho"/>
    <w:p>
      <w:pPr>
        <w:pStyle w:val="Heading2"/>
      </w:pPr>
      <w:r>
        <w:t xml:space="preserve">Ambiente de trabalho</w:t>
      </w:r>
    </w:p>
    <w:p>
      <w:pPr>
        <w:pStyle w:val="FirstParagraph"/>
      </w:pPr>
      <w:r>
        <w:t xml:space="preserve">A coordenação de serviços comunitários aparece em organizações sem fins lucrativos, fundações, escolas, universidades, organizações de saúde, governos locais, órgãos públicos, organizações religiosas, instituições de caridade, organizações de serviços para pessoas com deficiência, programas para jovens, serviços para idosos, programas ambientais, iniciativas de moradia, programas de emprego e força de trabalho, programas de preparação para emergências, organizações culturais e outros ambientes voltados à comunidade.</w:t>
      </w:r>
    </w:p>
    <w:p>
      <w:pPr>
        <w:pStyle w:val="BodyText"/>
      </w:pPr>
      <w:r>
        <w:t xml:space="preserve">O trabalho pode incluir tarefas de escritório, coordenação remota, eventos comunitários, visitas a locais, atividades noturnas ou de fim de semana, comunicação com o público e relatórios com prazos apertados. Algumas funções envolvem situações emocionalmente difíceis ou pessoas que enfrentam pobreza, deficiência, instabilidade de moradia, estresse familiar, doença, desemprego, discriminação, impactos de desastres ou outros desafios graves.</w:t>
      </w:r>
    </w:p>
    <w:bookmarkEnd w:id="23"/>
    <w:bookmarkStart w:id="24" w:name="Xed1ac822eb62751aa3e4030f44d645ea595537c"/>
    <w:p>
      <w:pPr>
        <w:pStyle w:val="Heading2"/>
      </w:pPr>
      <w:r>
        <w:t xml:space="preserve">Habilidades que os empregadores podem valorizar</w:t>
      </w:r>
    </w:p>
    <w:p>
      <w:pPr>
        <w:pStyle w:val="FirstParagraph"/>
      </w:pPr>
      <w:r>
        <w:t xml:space="preserve">Habilidades comumente úteis incluem:</w:t>
      </w:r>
    </w:p>
    <w:p>
      <w:pPr>
        <w:numPr>
          <w:ilvl w:val="0"/>
          <w:numId w:val="1003"/>
        </w:numPr>
        <w:pStyle w:val="Compact"/>
      </w:pPr>
      <w:r>
        <w:t xml:space="preserve">organização e acompanhamento até a conclusão;</w:t>
      </w:r>
    </w:p>
    <w:p>
      <w:pPr>
        <w:numPr>
          <w:ilvl w:val="0"/>
          <w:numId w:val="1003"/>
        </w:numPr>
        <w:pStyle w:val="Compact"/>
      </w:pPr>
      <w:r>
        <w:t xml:space="preserve">comunicação escrita e verbal clara;</w:t>
      </w:r>
    </w:p>
    <w:p>
      <w:pPr>
        <w:numPr>
          <w:ilvl w:val="0"/>
          <w:numId w:val="1003"/>
        </w:numPr>
        <w:pStyle w:val="Compact"/>
      </w:pPr>
      <w:r>
        <w:t xml:space="preserve">coordenação de calendários, eventos e logística;</w:t>
      </w:r>
    </w:p>
    <w:p>
      <w:pPr>
        <w:numPr>
          <w:ilvl w:val="0"/>
          <w:numId w:val="1003"/>
        </w:numPr>
        <w:pStyle w:val="Compact"/>
      </w:pPr>
      <w:r>
        <w:t xml:space="preserve">manutenção precisa de registros;</w:t>
      </w:r>
    </w:p>
    <w:p>
      <w:pPr>
        <w:numPr>
          <w:ilvl w:val="0"/>
          <w:numId w:val="1003"/>
        </w:numPr>
        <w:pStyle w:val="Compact"/>
      </w:pPr>
      <w:r>
        <w:t xml:space="preserve">habilidades com planilhas e documentos;</w:t>
      </w:r>
    </w:p>
    <w:p>
      <w:pPr>
        <w:numPr>
          <w:ilvl w:val="0"/>
          <w:numId w:val="1003"/>
        </w:numPr>
        <w:pStyle w:val="Compact"/>
      </w:pPr>
      <w:r>
        <w:t xml:space="preserve">orçamento básico e acompanhamento de despesas;</w:t>
      </w:r>
    </w:p>
    <w:p>
      <w:pPr>
        <w:numPr>
          <w:ilvl w:val="0"/>
          <w:numId w:val="1003"/>
        </w:numPr>
        <w:pStyle w:val="Compact"/>
      </w:pPr>
      <w:r>
        <w:t xml:space="preserve">acompanhamento de projetos e tarefas;</w:t>
      </w:r>
    </w:p>
    <w:p>
      <w:pPr>
        <w:numPr>
          <w:ilvl w:val="0"/>
          <w:numId w:val="1003"/>
        </w:numPr>
        <w:pStyle w:val="Compact"/>
      </w:pPr>
      <w:r>
        <w:t xml:space="preserve">coordenação de voluntariado;</w:t>
      </w:r>
    </w:p>
    <w:p>
      <w:pPr>
        <w:numPr>
          <w:ilvl w:val="0"/>
          <w:numId w:val="1003"/>
        </w:numPr>
        <w:pStyle w:val="Compact"/>
      </w:pPr>
      <w:r>
        <w:t xml:space="preserve">comunicação pública e comunitária;</w:t>
      </w:r>
    </w:p>
    <w:p>
      <w:pPr>
        <w:numPr>
          <w:ilvl w:val="0"/>
          <w:numId w:val="1003"/>
        </w:numPr>
        <w:pStyle w:val="Compact"/>
      </w:pPr>
      <w:r>
        <w:t xml:space="preserve">atendimento respeitoso a populações diversas;</w:t>
      </w:r>
    </w:p>
    <w:p>
      <w:pPr>
        <w:numPr>
          <w:ilvl w:val="0"/>
          <w:numId w:val="1003"/>
        </w:numPr>
        <w:pStyle w:val="Compact"/>
      </w:pPr>
      <w:r>
        <w:t xml:space="preserve">consciência sobre acessibilidade;</w:t>
      </w:r>
    </w:p>
    <w:p>
      <w:pPr>
        <w:numPr>
          <w:ilvl w:val="0"/>
          <w:numId w:val="1003"/>
        </w:numPr>
        <w:pStyle w:val="Compact"/>
      </w:pPr>
      <w:r>
        <w:t xml:space="preserve">privacidade e confidencialidade;</w:t>
      </w:r>
    </w:p>
    <w:p>
      <w:pPr>
        <w:numPr>
          <w:ilvl w:val="0"/>
          <w:numId w:val="1003"/>
        </w:numPr>
        <w:pStyle w:val="Compact"/>
      </w:pPr>
      <w:r>
        <w:t xml:space="preserve">desescalada de conflitos e limites profissionais;</w:t>
      </w:r>
    </w:p>
    <w:p>
      <w:pPr>
        <w:numPr>
          <w:ilvl w:val="0"/>
          <w:numId w:val="1003"/>
        </w:numPr>
        <w:pStyle w:val="Compact"/>
      </w:pPr>
      <w:r>
        <w:t xml:space="preserve">qualidade de dados e métricas de rotina;</w:t>
      </w:r>
    </w:p>
    <w:p>
      <w:pPr>
        <w:numPr>
          <w:ilvl w:val="0"/>
          <w:numId w:val="1003"/>
        </w:numPr>
        <w:pStyle w:val="Compact"/>
      </w:pPr>
      <w:r>
        <w:t xml:space="preserve">coordenação com parceiros e partes interessadas;</w:t>
      </w:r>
    </w:p>
    <w:p>
      <w:pPr>
        <w:numPr>
          <w:ilvl w:val="0"/>
          <w:numId w:val="1003"/>
        </w:numPr>
        <w:pStyle w:val="Compact"/>
      </w:pPr>
      <w:r>
        <w:t xml:space="preserve">hábitos básicos de cibersegurança; e</w:t>
      </w:r>
    </w:p>
    <w:p>
      <w:pPr>
        <w:numPr>
          <w:ilvl w:val="0"/>
          <w:numId w:val="1003"/>
        </w:numPr>
        <w:pStyle w:val="Compact"/>
      </w:pPr>
      <w:r>
        <w:t xml:space="preserve">julgamento para saber quando escalar uma situação em vez de improvisar.</w:t>
      </w:r>
    </w:p>
    <w:p>
      <w:pPr>
        <w:pStyle w:val="FirstParagraph"/>
      </w:pPr>
      <w:r>
        <w:t xml:space="preserve">Habilidade bilíngue ou multilíngue pode ser valiosa em algumas comunidades, mas não alegue credenciais profissionais de interpretação ou tradução que você não possui.</w:t>
      </w:r>
    </w:p>
    <w:bookmarkEnd w:id="24"/>
    <w:bookmarkStart w:id="29" w:name="educação-e-caminhos-de-entrada"/>
    <w:p>
      <w:pPr>
        <w:pStyle w:val="Heading2"/>
      </w:pPr>
      <w:r>
        <w:t xml:space="preserve">Educação e caminhos de entrada</w:t>
      </w:r>
    </w:p>
    <w:bookmarkStart w:id="25" w:name="estados-unidos"/>
    <w:p>
      <w:pPr>
        <w:pStyle w:val="Heading3"/>
      </w:pPr>
      <w:r>
        <w:t xml:space="preserve">Estados Unidos</w:t>
      </w:r>
    </w:p>
    <w:p>
      <w:pPr>
        <w:pStyle w:val="FirstParagraph"/>
      </w:pPr>
      <w:r>
        <w:t xml:space="preserve">Para a ocupação mais ampla de</w:t>
      </w:r>
      <w:r>
        <w:t xml:space="preserve"> </w:t>
      </w:r>
      <w:r>
        <w:rPr>
          <w:bCs/>
          <w:b/>
        </w:rPr>
        <w:t xml:space="preserve">Social and Community Service Managers</w:t>
      </w:r>
      <w:r>
        <w:t xml:space="preserve">, a O*NET coloca a função em</w:t>
      </w:r>
      <w:r>
        <w:t xml:space="preserve"> </w:t>
      </w:r>
      <w:r>
        <w:rPr>
          <w:bCs/>
          <w:b/>
        </w:rPr>
        <w:t xml:space="preserve">Job Zone Four — Considerable Preparation Needed</w:t>
      </w:r>
      <w:r>
        <w:t xml:space="preserve"> </w:t>
      </w:r>
      <w:r>
        <w:t xml:space="preserve">e informa que muitas ocupações nessa zona exigem diploma universitário de quatro anos, embora algumas não exijam. Experiência relacionada considerável também costuma ser esperada.</w:t>
      </w:r>
    </w:p>
    <w:p>
      <w:pPr>
        <w:pStyle w:val="BodyText"/>
      </w:pPr>
      <w:r>
        <w:t xml:space="preserve">Cargos de coordenação podem exigir menos do que a referência gerencial. Alguns empregadores podem aceitar diploma de associado, experiência comunitária relevante, experiência administrativa, liderança voluntária, experiência de apoio a programas ou uma combinação de educação e experiência. Outros podem exigir bacharelado em administração pública, ciências sociais, gestão de organizações sem fins lucrativos, desenvolvimento comunitário, educação, saúde pública, comunicação, negócios ou área relacionada.</w:t>
      </w:r>
    </w:p>
    <w:p>
      <w:pPr>
        <w:pStyle w:val="BodyText"/>
      </w:pPr>
      <w:r>
        <w:t xml:space="preserve">Uma sequência prática de entrada é:</w:t>
      </w:r>
    </w:p>
    <w:p>
      <w:pPr>
        <w:numPr>
          <w:ilvl w:val="0"/>
          <w:numId w:val="1004"/>
        </w:numPr>
        <w:pStyle w:val="Compact"/>
      </w:pPr>
      <w:r>
        <w:t xml:space="preserve">Revise entre 15 e 20 vagas atuais de coordenação na região de interesse.</w:t>
      </w:r>
    </w:p>
    <w:p>
      <w:pPr>
        <w:numPr>
          <w:ilvl w:val="0"/>
          <w:numId w:val="1004"/>
        </w:numPr>
        <w:pStyle w:val="Compact"/>
      </w:pPr>
      <w:r>
        <w:t xml:space="preserve">Registre requisitos recorrentes de educação, direção, verificações de antecedentes, horário, idiomas, software, relatórios, exposição a subsídios, gestão de voluntários e experiência comunitária.</w:t>
      </w:r>
    </w:p>
    <w:p>
      <w:pPr>
        <w:numPr>
          <w:ilvl w:val="0"/>
          <w:numId w:val="1004"/>
        </w:numPr>
        <w:pStyle w:val="Compact"/>
      </w:pPr>
      <w:r>
        <w:t xml:space="preserve">Separe requisitos reais de preferências.</w:t>
      </w:r>
    </w:p>
    <w:p>
      <w:pPr>
        <w:numPr>
          <w:ilvl w:val="0"/>
          <w:numId w:val="1004"/>
        </w:numPr>
        <w:pStyle w:val="Compact"/>
      </w:pPr>
      <w:r>
        <w:t xml:space="preserve">Desenvolva experiência transferível por meio de assistência a programas, apoio administrativo, voluntariado, alcance, atendimento ao cliente, eventos, organizações comunitárias, escolas, administração de saúde, programas de emprego ou serviço público.</w:t>
      </w:r>
    </w:p>
    <w:p>
      <w:pPr>
        <w:numPr>
          <w:ilvl w:val="0"/>
          <w:numId w:val="1004"/>
        </w:numPr>
        <w:pStyle w:val="Compact"/>
      </w:pPr>
      <w:r>
        <w:t xml:space="preserve">Use treinamento gratuito ou de baixo custo para fechar lacunas específicas antes de pagar por um certificado privado amplo.</w:t>
      </w:r>
    </w:p>
    <w:p>
      <w:pPr>
        <w:numPr>
          <w:ilvl w:val="0"/>
          <w:numId w:val="1004"/>
        </w:numPr>
        <w:pStyle w:val="Compact"/>
      </w:pPr>
      <w:r>
        <w:t xml:space="preserve">Candidate-se a funções cuja autoridade e requisitos reais correspondam às suas evidências de experiência.</w:t>
      </w:r>
    </w:p>
    <w:bookmarkEnd w:id="25"/>
    <w:bookmarkStart w:id="26" w:name="canadá"/>
    <w:p>
      <w:pPr>
        <w:pStyle w:val="Heading3"/>
      </w:pPr>
      <w:r>
        <w:t xml:space="preserve">Canadá</w:t>
      </w:r>
    </w:p>
    <w:p>
      <w:pPr>
        <w:pStyle w:val="FirstParagraph"/>
      </w:pPr>
      <w:r>
        <w:t xml:space="preserve">O Government of Canada Job Bank classifica</w:t>
      </w:r>
      <w:r>
        <w:t xml:space="preserve"> </w:t>
      </w:r>
      <w:r>
        <w:rPr>
          <w:bCs/>
          <w:b/>
        </w:rPr>
        <w:t xml:space="preserve">Managers in social, community and correctional services como NOC 40030</w:t>
      </w:r>
      <w:r>
        <w:t xml:space="preserve">. Essa é uma comparação em nível gerencial, não uma classificação universal para cargos de coordenação.</w:t>
      </w:r>
    </w:p>
    <w:p>
      <w:pPr>
        <w:pStyle w:val="BodyText"/>
      </w:pPr>
      <w:r>
        <w:t xml:space="preserve">O Job Bank informa que gerentes NOC 40030 geralmente precisam de</w:t>
      </w:r>
      <w:r>
        <w:t xml:space="preserve"> </w:t>
      </w:r>
      <w:r>
        <w:rPr>
          <w:bCs/>
          <w:b/>
        </w:rPr>
        <w:t xml:space="preserve">mestrado em uma disciplina de ciências sociais ou administrativa</w:t>
      </w:r>
      <w:r>
        <w:t xml:space="preserve"> </w:t>
      </w:r>
      <w:r>
        <w:t xml:space="preserve">mais vários anos de experiência relacionada, enquanto gerentes de associações e organizações de membros podem se qualificar por extensa experiência relacionada.</w:t>
      </w:r>
    </w:p>
    <w:p>
      <w:pPr>
        <w:pStyle w:val="BodyText"/>
      </w:pPr>
      <w:r>
        <w:t xml:space="preserve">Não suponha que mestrado seja exigido para todo título de coordenador. Compare a vaga real e os requisitos provinciais. Uma função de coordenação com tarefas principalmente administrativas ou de apoio a programas pode estar abaixo do nível gerencial NOC 40030.</w:t>
      </w:r>
    </w:p>
    <w:bookmarkEnd w:id="26"/>
    <w:bookmarkStart w:id="27" w:name="colômbia"/>
    <w:p>
      <w:pPr>
        <w:pStyle w:val="Heading3"/>
      </w:pPr>
      <w:r>
        <w:t xml:space="preserve">Colômbia</w:t>
      </w:r>
    </w:p>
    <w:p>
      <w:pPr>
        <w:pStyle w:val="FirstParagraph"/>
      </w:pPr>
      <w:r>
        <w:t xml:space="preserve">As trajetórias atuais do SENA mostram opções relevantes de formação pública e experiência em trabalho comunitário.</w:t>
      </w:r>
    </w:p>
    <w:p>
      <w:pPr>
        <w:pStyle w:val="BodyText"/>
      </w:pPr>
      <w:r>
        <w:t xml:space="preserve">O SENA Betowa atualmente lista</w:t>
      </w:r>
      <w:r>
        <w:t xml:space="preserve"> </w:t>
      </w:r>
      <w:r>
        <w:rPr>
          <w:bCs/>
          <w:b/>
        </w:rPr>
        <w:t xml:space="preserve">Gestión comunitaria del riesgo de desastres</w:t>
      </w:r>
      <w:r>
        <w:t xml:space="preserve">, um programa técnico de</w:t>
      </w:r>
      <w:r>
        <w:t xml:space="preserve"> </w:t>
      </w:r>
      <w:r>
        <w:rPr>
          <w:bCs/>
          <w:b/>
        </w:rPr>
        <w:t xml:space="preserve">1.920 horas</w:t>
      </w:r>
      <w:r>
        <w:t xml:space="preserve">, com competências relacionadas a coordenar campanhas, diagnosticar riscos comunitários, promover ações de prevenção, seguir protocolos e usar ferramentas de informação.</w:t>
      </w:r>
    </w:p>
    <w:p>
      <w:pPr>
        <w:pStyle w:val="BodyText"/>
      </w:pPr>
      <w:r>
        <w:t xml:space="preserve">O SENA Betowa também lista</w:t>
      </w:r>
      <w:r>
        <w:t xml:space="preserve"> </w:t>
      </w:r>
      <w:r>
        <w:rPr>
          <w:bCs/>
          <w:b/>
        </w:rPr>
        <w:t xml:space="preserve">Organización comunitaria sostenible</w:t>
      </w:r>
      <w:r>
        <w:t xml:space="preserve">, com foco em educação, participação, necessidades territoriais e processos ambientais e comunitários.</w:t>
      </w:r>
    </w:p>
    <w:p>
      <w:pPr>
        <w:pStyle w:val="BodyText"/>
      </w:pPr>
      <w:r>
        <w:t xml:space="preserve">Evidências atuais da Agencia Pública de Empleo do SENA também mostram funções reais de gestão comunitária, como programar oficinas e atividades de alcance, preparar relatórios, apoiar autoridades locais e comunidades e coordenar a participação entre produtores, associações e atores locais.</w:t>
      </w:r>
    </w:p>
    <w:p>
      <w:pPr>
        <w:pStyle w:val="BodyText"/>
      </w:pPr>
      <w:r>
        <w:t xml:space="preserve">Esses exemplos mostram possíveis trajetórias e atividades. Não constituem exigência legal universal para todo cargo de coordenação nem estabelecem uma única referência salarial nacional.</w:t>
      </w:r>
    </w:p>
    <w:bookmarkEnd w:id="27"/>
    <w:bookmarkStart w:id="28" w:name="américa-latina-e-caribe"/>
    <w:p>
      <w:pPr>
        <w:pStyle w:val="Heading3"/>
      </w:pPr>
      <w:r>
        <w:t xml:space="preserve">América Latina e Caribe</w:t>
      </w:r>
    </w:p>
    <w:p>
      <w:pPr>
        <w:pStyle w:val="FirstParagraph"/>
      </w:pPr>
      <w:r>
        <w:t xml:space="preserve">Os sistemas de formação, as estruturas de serviço público, os setores sem fins lucrativos, as regras sobre títulos profissionais e as trajetórias de programas comunitários variam por país. A</w:t>
      </w:r>
      <w:r>
        <w:t xml:space="preserve"> </w:t>
      </w:r>
      <w:r>
        <w:rPr>
          <w:bCs/>
          <w:b/>
        </w:rPr>
        <w:t xml:space="preserve">OIT/Cinterfor</w:t>
      </w:r>
      <w:r>
        <w:t xml:space="preserve"> </w:t>
      </w:r>
      <w:r>
        <w:t xml:space="preserve">mantém uma rede regional de formação profissional e um observatório que podem ajudar a identificar a instituição pública nacional de formação relevante.</w:t>
      </w:r>
    </w:p>
    <w:p>
      <w:pPr>
        <w:pStyle w:val="BodyText"/>
      </w:pPr>
      <w:r>
        <w:t xml:space="preserve">Use a rede regional como localizador e depois verifique o programa exato, custo, reconhecimento, requisitos de entrada e relevância para o emprego diretamente com a instituição nacional e o mercado de trabalho local.</w:t>
      </w:r>
    </w:p>
    <w:bookmarkEnd w:id="28"/>
    <w:bookmarkEnd w:id="29"/>
    <w:bookmarkStart w:id="30" w:name="Xa9116a87090468e57b1d6de5818a1c833370526"/>
    <w:p>
      <w:pPr>
        <w:pStyle w:val="Heading2"/>
      </w:pPr>
      <w:r>
        <w:t xml:space="preserve">Estratégia de formação: primeiro opções gratuitas e de baixo custo</w:t>
      </w:r>
    </w:p>
    <w:p>
      <w:pPr>
        <w:pStyle w:val="FirstParagraph"/>
      </w:pPr>
      <w:r>
        <w:t xml:space="preserve">Antes de pagar por treinamento:</w:t>
      </w:r>
    </w:p>
    <w:p>
      <w:pPr>
        <w:numPr>
          <w:ilvl w:val="0"/>
          <w:numId w:val="1005"/>
        </w:numPr>
        <w:pStyle w:val="Compact"/>
      </w:pPr>
      <w:r>
        <w:t xml:space="preserve">Revise vagas locais reais.</w:t>
      </w:r>
    </w:p>
    <w:p>
      <w:pPr>
        <w:numPr>
          <w:ilvl w:val="0"/>
          <w:numId w:val="1005"/>
        </w:numPr>
        <w:pStyle w:val="Compact"/>
      </w:pPr>
      <w:r>
        <w:t xml:space="preserve">Identifique as habilidades e credenciais mais recorrentes.</w:t>
      </w:r>
    </w:p>
    <w:p>
      <w:pPr>
        <w:numPr>
          <w:ilvl w:val="0"/>
          <w:numId w:val="1005"/>
        </w:numPr>
        <w:pStyle w:val="Compact"/>
      </w:pPr>
      <w:r>
        <w:t xml:space="preserve">Pergunte aos empregadores se oferecem integração paga ou treinamento específico do programa.</w:t>
      </w:r>
    </w:p>
    <w:p>
      <w:pPr>
        <w:numPr>
          <w:ilvl w:val="0"/>
          <w:numId w:val="1005"/>
        </w:numPr>
        <w:pStyle w:val="Compact"/>
      </w:pPr>
      <w:r>
        <w:t xml:space="preserve">Priorize, quando adequado, treinamento público de emprego, community colleges, formação profissional, bibliotecas, extensão universitária, organizações sem fins lucrativos e governo.</w:t>
      </w:r>
    </w:p>
    <w:p>
      <w:pPr>
        <w:numPr>
          <w:ilvl w:val="0"/>
          <w:numId w:val="1005"/>
        </w:numPr>
        <w:pStyle w:val="Compact"/>
      </w:pPr>
      <w:r>
        <w:t xml:space="preserve">Compare custo total, horário, transporte, materiais, exames e exigências de estágio não remunerado.</w:t>
      </w:r>
    </w:p>
    <w:p>
      <w:pPr>
        <w:numPr>
          <w:ilvl w:val="0"/>
          <w:numId w:val="1005"/>
        </w:numPr>
        <w:pStyle w:val="Compact"/>
      </w:pPr>
      <w:r>
        <w:t xml:space="preserve">Verifique se os empregadores realmente reconhecem a credencial.</w:t>
      </w:r>
    </w:p>
    <w:p>
      <w:pPr>
        <w:numPr>
          <w:ilvl w:val="0"/>
          <w:numId w:val="1005"/>
        </w:numPr>
        <w:pStyle w:val="Compact"/>
      </w:pPr>
      <w:r>
        <w:t xml:space="preserve">Obtenha por escrito políticas de reembolso e alegações de colocação profissional.</w:t>
      </w:r>
    </w:p>
    <w:p>
      <w:pPr>
        <w:numPr>
          <w:ilvl w:val="0"/>
          <w:numId w:val="1005"/>
        </w:numPr>
        <w:pStyle w:val="Compact"/>
      </w:pPr>
      <w:r>
        <w:t xml:space="preserve">Evite endividamento por credenciais que os empregadores-alvo não pedem.</w:t>
      </w:r>
    </w:p>
    <w:p>
      <w:pPr>
        <w:pStyle w:val="FirstParagraph"/>
      </w:pPr>
      <w:r>
        <w:t xml:space="preserve">Áreas úteis de treinamento de baixo custo podem incluir coordenação de projetos, planilhas, relatórios, acessibilidade, gestão de registros, gestão de voluntariado, orçamento básico, proteção, fundamentos de compras, fundamentos de conformidade de subsídios, comunicação em público, privacidade digital e conscientização em cibersegurança.</w:t>
      </w:r>
    </w:p>
    <w:bookmarkEnd w:id="30"/>
    <w:bookmarkStart w:id="35" w:name="X2b07011812abbd8ec518a9245c6d090fd919b04"/>
    <w:p>
      <w:pPr>
        <w:pStyle w:val="Heading2"/>
      </w:pPr>
      <w:r>
        <w:t xml:space="preserve">Localizadores de financiamento e formação pública</w:t>
      </w:r>
    </w:p>
    <w:bookmarkStart w:id="31" w:name="estados-unidos-1"/>
    <w:p>
      <w:pPr>
        <w:pStyle w:val="Heading3"/>
      </w:pPr>
      <w:r>
        <w:t xml:space="preserve">Estados Unidos</w:t>
      </w:r>
    </w:p>
    <w:p>
      <w:pPr>
        <w:pStyle w:val="FirstParagraph"/>
      </w:pPr>
      <w:r>
        <w:t xml:space="preserve">O</w:t>
      </w:r>
      <w:r>
        <w:t xml:space="preserve"> </w:t>
      </w:r>
      <w:r>
        <w:rPr>
          <w:bCs/>
          <w:b/>
        </w:rPr>
        <w:t xml:space="preserve">WIOA-Eligible Training Program Finder</w:t>
      </w:r>
      <w:r>
        <w:t xml:space="preserve"> </w:t>
      </w:r>
      <w:r>
        <w:t xml:space="preserve">da CareerOneStop fornece diretórios estaduais de programas aprovados para consideração sob a WIOA. Elegibilidade, programas aprovados, prioridades locais e recursos disponíveis variam. A inclusão em um diretório</w:t>
      </w:r>
      <w:r>
        <w:t xml:space="preserve"> </w:t>
      </w:r>
      <w:r>
        <w:rPr>
          <w:bCs/>
          <w:b/>
        </w:rPr>
        <w:t xml:space="preserve">não</w:t>
      </w:r>
      <w:r>
        <w:t xml:space="preserve"> </w:t>
      </w:r>
      <w:r>
        <w:t xml:space="preserve">garante financiamento.</w:t>
      </w:r>
    </w:p>
    <w:p>
      <w:pPr>
        <w:pStyle w:val="BodyText"/>
      </w:pPr>
      <w:r>
        <w:t xml:space="preserve">O</w:t>
      </w:r>
      <w:r>
        <w:t xml:space="preserve"> </w:t>
      </w:r>
      <w:r>
        <w:rPr>
          <w:bCs/>
          <w:b/>
        </w:rPr>
        <w:t xml:space="preserve">American Job Center Finder</w:t>
      </w:r>
      <w:r>
        <w:t xml:space="preserve"> </w:t>
      </w:r>
      <w:r>
        <w:t xml:space="preserve">da CareerOneStop pode ajudar a localizar centros de emprego que podem oferecer apoio à busca de trabalho, encaminhamentos para treinamento, orientação profissional, adaptações de acessibilidade e informações sobre serviços de apoio.</w:t>
      </w:r>
    </w:p>
    <w:bookmarkEnd w:id="31"/>
    <w:bookmarkStart w:id="32" w:name="Xe621c4e762170be12e6df74317b03fa74675372"/>
    <w:p>
      <w:pPr>
        <w:pStyle w:val="Heading3"/>
      </w:pPr>
      <w:r>
        <w:t xml:space="preserve">Aprendizagem e formação baseada no trabalho</w:t>
      </w:r>
    </w:p>
    <w:p>
      <w:pPr>
        <w:pStyle w:val="FirstParagraph"/>
      </w:pPr>
      <w:r>
        <w:t xml:space="preserve">Não existe exigência universal de Registered Apprenticeship para Coordenadores de Programas de Serviço Comunitário. Pesquise no</w:t>
      </w:r>
      <w:r>
        <w:t xml:space="preserve"> </w:t>
      </w:r>
      <w:r>
        <w:rPr>
          <w:bCs/>
          <w:b/>
        </w:rPr>
        <w:t xml:space="preserve">Apprenticeship.gov</w:t>
      </w:r>
      <w:r>
        <w:t xml:space="preserve"> </w:t>
      </w:r>
      <w:r>
        <w:t xml:space="preserve">por palavras-chave relacionadas e localização para identificar oportunidades registradas ou patrocinadas por empregadores que estejam disponíveis, em vez de presumir que exista uma em sua região.</w:t>
      </w:r>
    </w:p>
    <w:bookmarkEnd w:id="32"/>
    <w:bookmarkStart w:id="33" w:name="canadá-1"/>
    <w:p>
      <w:pPr>
        <w:pStyle w:val="Heading3"/>
      </w:pPr>
      <w:r>
        <w:t xml:space="preserve">Canadá</w:t>
      </w:r>
    </w:p>
    <w:p>
      <w:pPr>
        <w:pStyle w:val="FirstParagraph"/>
      </w:pPr>
      <w:r>
        <w:t xml:space="preserve">As opções públicas de treinamento e financiamento variam por província, instituição, programa de emprego e elegibilidade individual. Verifique as opções atuais de auxílio estudantil provincial, serviços de emprego, faculdades, universidades e apoio do empregador antes de se matricular.</w:t>
      </w:r>
    </w:p>
    <w:bookmarkEnd w:id="33"/>
    <w:bookmarkStart w:id="34" w:name="colômbia-e-américa-latina"/>
    <w:p>
      <w:pPr>
        <w:pStyle w:val="Heading3"/>
      </w:pPr>
      <w:r>
        <w:t xml:space="preserve">Colômbia e América Latina</w:t>
      </w:r>
    </w:p>
    <w:p>
      <w:pPr>
        <w:pStyle w:val="FirstParagraph"/>
      </w:pPr>
      <w:r>
        <w:t xml:space="preserve">Na Colômbia, comece pelo SENA e seus serviços públicos de emprego. Em outros países da América Latina, use a OIT/Cinterfor para localizar a instituição nacional de formação profissional correspondente e depois verifique diretamente as ofertas atuais.</w:t>
      </w:r>
    </w:p>
    <w:bookmarkEnd w:id="34"/>
    <w:bookmarkEnd w:id="35"/>
    <w:bookmarkStart w:id="36" w:name="desenvolvimento-apoiado-pelo-empregador"/>
    <w:p>
      <w:pPr>
        <w:pStyle w:val="Heading2"/>
      </w:pPr>
      <w:r>
        <w:t xml:space="preserve">Desenvolvimento apoiado pelo empregador</w:t>
      </w:r>
    </w:p>
    <w:p>
      <w:pPr>
        <w:pStyle w:val="FirstParagraph"/>
      </w:pPr>
      <w:r>
        <w:t xml:space="preserve">Pergunte aos empregadores sobre:</w:t>
      </w:r>
    </w:p>
    <w:p>
      <w:pPr>
        <w:numPr>
          <w:ilvl w:val="0"/>
          <w:numId w:val="1006"/>
        </w:numPr>
        <w:pStyle w:val="Compact"/>
      </w:pPr>
      <w:r>
        <w:t xml:space="preserve">integração paga;</w:t>
      </w:r>
    </w:p>
    <w:p>
      <w:pPr>
        <w:numPr>
          <w:ilvl w:val="0"/>
          <w:numId w:val="1006"/>
        </w:numPr>
        <w:pStyle w:val="Compact"/>
      </w:pPr>
      <w:r>
        <w:t xml:space="preserve">procedimentos específicos do programa;</w:t>
      </w:r>
    </w:p>
    <w:p>
      <w:pPr>
        <w:numPr>
          <w:ilvl w:val="0"/>
          <w:numId w:val="1006"/>
        </w:numPr>
        <w:pStyle w:val="Compact"/>
      </w:pPr>
      <w:r>
        <w:t xml:space="preserve">treinamento de proteção e reporte obrigatório, quando aplicável;</w:t>
      </w:r>
    </w:p>
    <w:p>
      <w:pPr>
        <w:numPr>
          <w:ilvl w:val="0"/>
          <w:numId w:val="1006"/>
        </w:numPr>
        <w:pStyle w:val="Compact"/>
      </w:pPr>
      <w:r>
        <w:t xml:space="preserve">treinamento em conformidade e relatórios de subsídios;</w:t>
      </w:r>
    </w:p>
    <w:p>
      <w:pPr>
        <w:numPr>
          <w:ilvl w:val="0"/>
          <w:numId w:val="1006"/>
        </w:numPr>
        <w:pStyle w:val="Compact"/>
      </w:pPr>
      <w:r>
        <w:t xml:space="preserve">procedimentos de orçamento, compras e controle de despesas;</w:t>
      </w:r>
    </w:p>
    <w:p>
      <w:pPr>
        <w:numPr>
          <w:ilvl w:val="0"/>
          <w:numId w:val="1006"/>
        </w:numPr>
        <w:pStyle w:val="Compact"/>
      </w:pPr>
      <w:r>
        <w:t xml:space="preserve">treinamento em gestão de voluntariado;</w:t>
      </w:r>
    </w:p>
    <w:p>
      <w:pPr>
        <w:numPr>
          <w:ilvl w:val="0"/>
          <w:numId w:val="1006"/>
        </w:numPr>
        <w:pStyle w:val="Compact"/>
      </w:pPr>
      <w:r>
        <w:t xml:space="preserve">treinamento em acessibilidade e inclusão de pessoas com deficiência;</w:t>
      </w:r>
    </w:p>
    <w:p>
      <w:pPr>
        <w:numPr>
          <w:ilvl w:val="0"/>
          <w:numId w:val="1006"/>
        </w:numPr>
        <w:pStyle w:val="Compact"/>
      </w:pPr>
      <w:r>
        <w:t xml:space="preserve">treinamento em privacidade e retenção de registros;</w:t>
      </w:r>
    </w:p>
    <w:p>
      <w:pPr>
        <w:numPr>
          <w:ilvl w:val="0"/>
          <w:numId w:val="1006"/>
        </w:numPr>
        <w:pStyle w:val="Compact"/>
      </w:pPr>
      <w:r>
        <w:t xml:space="preserve">treinamento em cibersegurança e conscientização sobre phishing;</w:t>
      </w:r>
    </w:p>
    <w:p>
      <w:pPr>
        <w:numPr>
          <w:ilvl w:val="0"/>
          <w:numId w:val="1006"/>
        </w:numPr>
        <w:pStyle w:val="Compact"/>
      </w:pPr>
      <w:r>
        <w:t xml:space="preserve">ferramentas de gestão de projetos;</w:t>
      </w:r>
    </w:p>
    <w:p>
      <w:pPr>
        <w:numPr>
          <w:ilvl w:val="0"/>
          <w:numId w:val="1006"/>
        </w:numPr>
        <w:pStyle w:val="Compact"/>
      </w:pPr>
      <w:r>
        <w:t xml:space="preserve">auxílio para mensalidades ou reembolso de cursos; e</w:t>
      </w:r>
    </w:p>
    <w:p>
      <w:pPr>
        <w:numPr>
          <w:ilvl w:val="0"/>
          <w:numId w:val="1006"/>
        </w:numPr>
        <w:pStyle w:val="Compact"/>
      </w:pPr>
      <w:r>
        <w:t xml:space="preserve">trajetórias internas de assistente ou coordenador para coordenador sênior ou gerente de programa.</w:t>
      </w:r>
    </w:p>
    <w:p>
      <w:pPr>
        <w:pStyle w:val="FirstParagraph"/>
      </w:pPr>
      <w:r>
        <w:t xml:space="preserve">Obtenha por escrito qualquer obrigação de reembolso relacionada a educação financiada pelo empregador.</w:t>
      </w:r>
    </w:p>
    <w:bookmarkEnd w:id="36"/>
    <w:bookmarkStart w:id="41" w:name="remuneração-e-perspectivas-de-emprego"/>
    <w:p>
      <w:pPr>
        <w:pStyle w:val="Heading2"/>
      </w:pPr>
      <w:r>
        <w:t xml:space="preserve">Remuneração e perspectivas de emprego</w:t>
      </w:r>
    </w:p>
    <w:bookmarkStart w:id="37" w:name="X5038c664f80fe343f803bd748cfa5e1c4ac6875"/>
    <w:p>
      <w:pPr>
        <w:pStyle w:val="Heading3"/>
      </w:pPr>
      <w:r>
        <w:t xml:space="preserve">Estados Unidos — referência oficial de gestão</w:t>
      </w:r>
    </w:p>
    <w:p>
      <w:pPr>
        <w:pStyle w:val="FirstParagraph"/>
      </w:pPr>
      <w:r>
        <w:t xml:space="preserve">A O*NET reporta dados do Bureau of Labor Statistics para</w:t>
      </w:r>
      <w:r>
        <w:t xml:space="preserve"> </w:t>
      </w:r>
      <w:r>
        <w:rPr>
          <w:bCs/>
          <w:b/>
        </w:rPr>
        <w:t xml:space="preserve">Social and Community Service Managers, 11-9151.00</w:t>
      </w:r>
      <w:r>
        <w:t xml:space="preserve">:</w:t>
      </w:r>
    </w:p>
    <w:p>
      <w:pPr>
        <w:numPr>
          <w:ilvl w:val="0"/>
          <w:numId w:val="1007"/>
        </w:numPr>
        <w:pStyle w:val="Compact"/>
      </w:pPr>
      <w:r>
        <w:rPr>
          <w:bCs/>
          <w:b/>
        </w:rPr>
        <w:t xml:space="preserve">Mediana salarial por hora em 2025: USD $38,65</w:t>
      </w:r>
    </w:p>
    <w:p>
      <w:pPr>
        <w:numPr>
          <w:ilvl w:val="0"/>
          <w:numId w:val="1007"/>
        </w:numPr>
        <w:pStyle w:val="Compact"/>
      </w:pPr>
      <w:r>
        <w:rPr>
          <w:bCs/>
          <w:b/>
        </w:rPr>
        <w:t xml:space="preserve">Mediana salarial anual em 2025: USD $80.390</w:t>
      </w:r>
    </w:p>
    <w:p>
      <w:pPr>
        <w:numPr>
          <w:ilvl w:val="0"/>
          <w:numId w:val="1007"/>
        </w:numPr>
        <w:pStyle w:val="Compact"/>
      </w:pPr>
      <w:r>
        <w:rPr>
          <w:bCs/>
          <w:b/>
        </w:rPr>
        <w:t xml:space="preserve">Emprego em 2024: aproximadamente 219.800 trabalhadores</w:t>
      </w:r>
    </w:p>
    <w:p>
      <w:pPr>
        <w:numPr>
          <w:ilvl w:val="0"/>
          <w:numId w:val="1007"/>
        </w:numPr>
        <w:pStyle w:val="Compact"/>
      </w:pPr>
      <w:r>
        <w:rPr>
          <w:bCs/>
          <w:b/>
        </w:rPr>
        <w:t xml:space="preserve">Crescimento projetado, 2024–2034: 5% a 6%</w:t>
      </w:r>
    </w:p>
    <w:p>
      <w:pPr>
        <w:numPr>
          <w:ilvl w:val="0"/>
          <w:numId w:val="1007"/>
        </w:numPr>
        <w:pStyle w:val="Compact"/>
      </w:pPr>
      <w:r>
        <w:rPr>
          <w:bCs/>
          <w:b/>
        </w:rPr>
        <w:t xml:space="preserve">Aberturas anuais projetadas: aproximadamente 18.600</w:t>
      </w:r>
    </w:p>
    <w:p>
      <w:pPr>
        <w:pStyle w:val="FirstParagraph"/>
      </w:pPr>
      <w:r>
        <w:t xml:space="preserve">Esses números se aplicam à ocupação gerencial mais ampla. Devem ser tratados apenas como referência para cargos de coordenação quando as atividades reais se aproximarem de responsabilidades de nível gerencial.</w:t>
      </w:r>
    </w:p>
    <w:bookmarkEnd w:id="37"/>
    <w:bookmarkStart w:id="38" w:name="X962a63ba19fc5df15419ec436905aa32f45cb3c"/>
    <w:p>
      <w:pPr>
        <w:pStyle w:val="Heading3"/>
      </w:pPr>
      <w:r>
        <w:t xml:space="preserve">Estados Unidos — estimativas atuais não governamentais para coordenação</w:t>
      </w:r>
    </w:p>
    <w:p>
      <w:pPr>
        <w:pStyle w:val="FirstParagraph"/>
      </w:pPr>
      <w:r>
        <w:t xml:space="preserve">A Salary.com informou, em</w:t>
      </w:r>
      <w:r>
        <w:t xml:space="preserve"> </w:t>
      </w:r>
      <w:r>
        <w:rPr>
          <w:bCs/>
          <w:b/>
        </w:rPr>
        <w:t xml:space="preserve">1º de agosto de 2026</w:t>
      </w:r>
      <w:r>
        <w:t xml:space="preserve">, salário médio nos Estados Unidos para</w:t>
      </w:r>
      <w:r>
        <w:t xml:space="preserve"> </w:t>
      </w:r>
      <w:r>
        <w:rPr>
          <w:bCs/>
          <w:b/>
        </w:rPr>
        <w:t xml:space="preserve">Community Program Coordinator</w:t>
      </w:r>
      <w:r>
        <w:t xml:space="preserve"> </w:t>
      </w:r>
      <w:r>
        <w:t xml:space="preserve">de aproximadamente:</w:t>
      </w:r>
    </w:p>
    <w:p>
      <w:pPr>
        <w:numPr>
          <w:ilvl w:val="0"/>
          <w:numId w:val="1008"/>
        </w:numPr>
        <w:pStyle w:val="Compact"/>
      </w:pPr>
      <w:r>
        <w:rPr>
          <w:bCs/>
          <w:b/>
        </w:rPr>
        <w:t xml:space="preserve">USD $66.947 por ano</w:t>
      </w:r>
    </w:p>
    <w:p>
      <w:pPr>
        <w:numPr>
          <w:ilvl w:val="0"/>
          <w:numId w:val="1008"/>
        </w:numPr>
        <w:pStyle w:val="Compact"/>
      </w:pPr>
      <w:r>
        <w:t xml:space="preserve">aproximadamente</w:t>
      </w:r>
      <w:r>
        <w:t xml:space="preserve"> </w:t>
      </w:r>
      <w:r>
        <w:rPr>
          <w:bCs/>
          <w:b/>
        </w:rPr>
        <w:t xml:space="preserve">USD $32 por hora</w:t>
      </w:r>
    </w:p>
    <w:p>
      <w:pPr>
        <w:numPr>
          <w:ilvl w:val="0"/>
          <w:numId w:val="1008"/>
        </w:numPr>
        <w:pStyle w:val="Compact"/>
      </w:pPr>
      <w:r>
        <w:t xml:space="preserve">faixa informada entre os percentis 25 e 75 de aproximadamente</w:t>
      </w:r>
      <w:r>
        <w:t xml:space="preserve"> </w:t>
      </w:r>
      <w:r>
        <w:rPr>
          <w:bCs/>
          <w:b/>
        </w:rPr>
        <w:t xml:space="preserve">$59.855–$75.965</w:t>
      </w:r>
    </w:p>
    <w:p>
      <w:pPr>
        <w:pStyle w:val="FirstParagraph"/>
      </w:pPr>
      <w:r>
        <w:t xml:space="preserve">A ZipRecruiter informou, em</w:t>
      </w:r>
      <w:r>
        <w:t xml:space="preserve"> </w:t>
      </w:r>
      <w:r>
        <w:rPr>
          <w:bCs/>
          <w:b/>
        </w:rPr>
        <w:t xml:space="preserve">20 de julho de 2026</w:t>
      </w:r>
      <w:r>
        <w:t xml:space="preserve">, estimativa média nos Estados Unidos para</w:t>
      </w:r>
      <w:r>
        <w:t xml:space="preserve"> </w:t>
      </w:r>
      <w:r>
        <w:rPr>
          <w:bCs/>
          <w:b/>
        </w:rPr>
        <w:t xml:space="preserve">Community Program Coordinator</w:t>
      </w:r>
      <w:r>
        <w:t xml:space="preserve"> </w:t>
      </w:r>
      <w:r>
        <w:t xml:space="preserve">de aproximadamente:</w:t>
      </w:r>
    </w:p>
    <w:p>
      <w:pPr>
        <w:numPr>
          <w:ilvl w:val="0"/>
          <w:numId w:val="1009"/>
        </w:numPr>
        <w:pStyle w:val="Compact"/>
      </w:pPr>
      <w:r>
        <w:rPr>
          <w:bCs/>
          <w:b/>
        </w:rPr>
        <w:t xml:space="preserve">USD $54.966 por ano</w:t>
      </w:r>
    </w:p>
    <w:p>
      <w:pPr>
        <w:numPr>
          <w:ilvl w:val="0"/>
          <w:numId w:val="1009"/>
        </w:numPr>
        <w:pStyle w:val="Compact"/>
      </w:pPr>
      <w:r>
        <w:t xml:space="preserve">aproximadamente</w:t>
      </w:r>
      <w:r>
        <w:t xml:space="preserve"> </w:t>
      </w:r>
      <w:r>
        <w:rPr>
          <w:bCs/>
          <w:b/>
        </w:rPr>
        <w:t xml:space="preserve">USD $26,43 por hora</w:t>
      </w:r>
    </w:p>
    <w:p>
      <w:pPr>
        <w:pStyle w:val="FirstParagraph"/>
      </w:pPr>
      <w:r>
        <w:t xml:space="preserve">Essas são</w:t>
      </w:r>
      <w:r>
        <w:t xml:space="preserve"> </w:t>
      </w:r>
      <w:r>
        <w:rPr>
          <w:bCs/>
          <w:b/>
        </w:rPr>
        <w:t xml:space="preserve">estimativas não governamentais</w:t>
      </w:r>
      <w:r>
        <w:t xml:space="preserve">. Suas metodologias e correspondência de títulos diferem das estatísticas do BLS/O*NET. Não as combine em um único valor nem as trate como remuneração garantida.</w:t>
      </w:r>
    </w:p>
    <w:bookmarkEnd w:id="38"/>
    <w:bookmarkStart w:id="39" w:name="canadá--referência-oficial-de-gestão"/>
    <w:p>
      <w:pPr>
        <w:pStyle w:val="Heading3"/>
      </w:pPr>
      <w:r>
        <w:t xml:space="preserve">Canadá — referência oficial de gestão</w:t>
      </w:r>
    </w:p>
    <w:p>
      <w:pPr>
        <w:pStyle w:val="FirstParagraph"/>
      </w:pPr>
      <w:r>
        <w:t xml:space="preserve">O Government of Canada Job Bank informa salários nacionais para</w:t>
      </w:r>
      <w:r>
        <w:t xml:space="preserve"> </w:t>
      </w:r>
      <w:r>
        <w:rPr>
          <w:bCs/>
          <w:b/>
        </w:rPr>
        <w:t xml:space="preserve">NOC 40030 — Managers in social, community and correctional services</w:t>
      </w:r>
      <w:r>
        <w:t xml:space="preserve">, atualizados em</w:t>
      </w:r>
      <w:r>
        <w:t xml:space="preserve"> </w:t>
      </w:r>
      <w:r>
        <w:rPr>
          <w:bCs/>
          <w:b/>
        </w:rPr>
        <w:t xml:space="preserve">19 de novembro de 2025</w:t>
      </w:r>
      <w:r>
        <w:t xml:space="preserve"> </w:t>
      </w:r>
      <w:r>
        <w:t xml:space="preserve">usando o período de referência 2023–2024 da Labour Force Survey:</w:t>
      </w:r>
    </w:p>
    <w:p>
      <w:pPr>
        <w:numPr>
          <w:ilvl w:val="0"/>
          <w:numId w:val="1010"/>
        </w:numPr>
        <w:pStyle w:val="Compact"/>
      </w:pPr>
      <w:r>
        <w:rPr>
          <w:bCs/>
          <w:b/>
        </w:rPr>
        <w:t xml:space="preserve">CAD $27,00/hora, faixa baixa</w:t>
      </w:r>
    </w:p>
    <w:p>
      <w:pPr>
        <w:numPr>
          <w:ilvl w:val="0"/>
          <w:numId w:val="1010"/>
        </w:numPr>
        <w:pStyle w:val="Compact"/>
      </w:pPr>
      <w:r>
        <w:rPr>
          <w:bCs/>
          <w:b/>
        </w:rPr>
        <w:t xml:space="preserve">CAD $43,96/hora, mediana</w:t>
      </w:r>
    </w:p>
    <w:p>
      <w:pPr>
        <w:numPr>
          <w:ilvl w:val="0"/>
          <w:numId w:val="1010"/>
        </w:numPr>
        <w:pStyle w:val="Compact"/>
      </w:pPr>
      <w:r>
        <w:rPr>
          <w:bCs/>
          <w:b/>
        </w:rPr>
        <w:t xml:space="preserve">CAD $71,43/hora, faixa alta</w:t>
      </w:r>
    </w:p>
    <w:p>
      <w:pPr>
        <w:pStyle w:val="FirstParagraph"/>
      </w:pPr>
      <w:r>
        <w:t xml:space="preserve">Esses são salários de nível gerencial e não representam remuneração garantida para cargos de coordenação.</w:t>
      </w:r>
    </w:p>
    <w:bookmarkEnd w:id="39"/>
    <w:bookmarkStart w:id="40" w:name="colômbia-1"/>
    <w:p>
      <w:pPr>
        <w:pStyle w:val="Heading3"/>
      </w:pPr>
      <w:r>
        <w:t xml:space="preserve">Colômbia</w:t>
      </w:r>
    </w:p>
    <w:p>
      <w:pPr>
        <w:pStyle w:val="FirstParagraph"/>
      </w:pPr>
      <w:r>
        <w:t xml:space="preserve">Não foi identificada uma série salarial oficial nacional atual diretamente comparável que corresponda de forma clara a um título genérico de Coordenador(a) de Programa de Serviço Comunitário. Não invente um valor salarial nacional.</w:t>
      </w:r>
    </w:p>
    <w:p>
      <w:pPr>
        <w:pStyle w:val="BodyText"/>
      </w:pPr>
      <w:r>
        <w:t xml:space="preserve">Use vagas atuais da Agencia Pública de Empleo do SENA, municípios, organizações sem fins lucrativos, fundações, universidades, organizações de saúde e setor público para comparar remuneração, tipo de contrato, horário, viagens, educação e autoridade na cidade ou departamento onde pretende trabalhar.</w:t>
      </w:r>
    </w:p>
    <w:bookmarkEnd w:id="40"/>
    <w:bookmarkEnd w:id="41"/>
    <w:bookmarkStart w:id="42" w:name="X967db4a9a353117fc70419037258e0005e102a6"/>
    <w:p>
      <w:pPr>
        <w:pStyle w:val="Heading2"/>
      </w:pPr>
      <w:r>
        <w:t xml:space="preserve">Governança de programas e trabalho financiado por subsídios</w:t>
      </w:r>
    </w:p>
    <w:p>
      <w:pPr>
        <w:pStyle w:val="FirstParagraph"/>
      </w:pPr>
      <w:r>
        <w:t xml:space="preserve">Algumas funções de coordenação apoiam programas financiados por subsídios. Boas práticas incluem:</w:t>
      </w:r>
    </w:p>
    <w:p>
      <w:pPr>
        <w:numPr>
          <w:ilvl w:val="0"/>
          <w:numId w:val="1011"/>
        </w:numPr>
        <w:pStyle w:val="Compact"/>
      </w:pPr>
      <w:r>
        <w:t xml:space="preserve">usar o plano de trabalho e o orçamento aprovados;</w:t>
      </w:r>
    </w:p>
    <w:p>
      <w:pPr>
        <w:numPr>
          <w:ilvl w:val="0"/>
          <w:numId w:val="1011"/>
        </w:numPr>
        <w:pStyle w:val="Compact"/>
      </w:pPr>
      <w:r>
        <w:t xml:space="preserve">registrar com precisão presença, resultados, compras e entregas;</w:t>
      </w:r>
    </w:p>
    <w:p>
      <w:pPr>
        <w:numPr>
          <w:ilvl w:val="0"/>
          <w:numId w:val="1011"/>
        </w:numPr>
        <w:pStyle w:val="Compact"/>
      </w:pPr>
      <w:r>
        <w:t xml:space="preserve">guardar recibos e documentação de apoio exigidos;</w:t>
      </w:r>
    </w:p>
    <w:p>
      <w:pPr>
        <w:numPr>
          <w:ilvl w:val="0"/>
          <w:numId w:val="1011"/>
        </w:numPr>
        <w:pStyle w:val="Compact"/>
      </w:pPr>
      <w:r>
        <w:t xml:space="preserve">seguir limites de aprovação;</w:t>
      </w:r>
    </w:p>
    <w:p>
      <w:pPr>
        <w:numPr>
          <w:ilvl w:val="0"/>
          <w:numId w:val="1011"/>
        </w:numPr>
        <w:pStyle w:val="Compact"/>
      </w:pPr>
      <w:r>
        <w:t xml:space="preserve">separar fundos restritos e não restritos quando necessário;</w:t>
      </w:r>
    </w:p>
    <w:p>
      <w:pPr>
        <w:numPr>
          <w:ilvl w:val="0"/>
          <w:numId w:val="1011"/>
        </w:numPr>
        <w:pStyle w:val="Compact"/>
      </w:pPr>
      <w:r>
        <w:t xml:space="preserve">evitar alterações orçamentárias não aprovadas;</w:t>
      </w:r>
    </w:p>
    <w:p>
      <w:pPr>
        <w:numPr>
          <w:ilvl w:val="0"/>
          <w:numId w:val="1011"/>
        </w:numPr>
        <w:pStyle w:val="Compact"/>
      </w:pPr>
      <w:r>
        <w:t xml:space="preserve">documentar contribuições em espécie somente conforme as regras do financiador;</w:t>
      </w:r>
    </w:p>
    <w:p>
      <w:pPr>
        <w:numPr>
          <w:ilvl w:val="0"/>
          <w:numId w:val="1011"/>
        </w:numPr>
        <w:pStyle w:val="Compact"/>
      </w:pPr>
      <w:r>
        <w:t xml:space="preserve">divulgar conflitos de interesse;</w:t>
      </w:r>
    </w:p>
    <w:p>
      <w:pPr>
        <w:numPr>
          <w:ilvl w:val="0"/>
          <w:numId w:val="1011"/>
        </w:numPr>
        <w:pStyle w:val="Compact"/>
      </w:pPr>
      <w:r>
        <w:t xml:space="preserve">seguir procedimentos de compras e seleção de fornecedores; e</w:t>
      </w:r>
    </w:p>
    <w:p>
      <w:pPr>
        <w:numPr>
          <w:ilvl w:val="0"/>
          <w:numId w:val="1011"/>
        </w:numPr>
        <w:pStyle w:val="Compact"/>
      </w:pPr>
      <w:r>
        <w:t xml:space="preserve">escalar suspeitas de uso indevido, cobrança duplicada, registros falsificados ou despesas sem suporte.</w:t>
      </w:r>
    </w:p>
    <w:p>
      <w:pPr>
        <w:pStyle w:val="FirstParagraph"/>
      </w:pPr>
      <w:r>
        <w:t xml:space="preserve">Não aprove despesas, movimente recursos restritos, altere orçamentos de subsídios nem assuma compromissos de subsídio, a menos que sua autoridade formal permita.</w:t>
      </w:r>
    </w:p>
    <w:bookmarkEnd w:id="42"/>
    <w:bookmarkStart w:id="43" w:name="X3b770b2765f8272761ba037d045f631d7373c1b"/>
    <w:p>
      <w:pPr>
        <w:pStyle w:val="Heading2"/>
      </w:pPr>
      <w:r>
        <w:t xml:space="preserve">Privacidade, registros e confidencialidade</w:t>
      </w:r>
    </w:p>
    <w:p>
      <w:pPr>
        <w:pStyle w:val="FirstParagraph"/>
      </w:pPr>
      <w:r>
        <w:t xml:space="preserve">Programas comunitários podem lidar com nomes, endereços, informações de contato, detalhes familiares, informações sobre deficiência, saúde, imigração, benefícios, doadores, registros de voluntários, informações de emprego, relatos de proteção e outros dados sensíveis.</w:t>
      </w:r>
    </w:p>
    <w:p>
      <w:pPr>
        <w:pStyle w:val="BodyText"/>
      </w:pPr>
      <w:r>
        <w:t xml:space="preserve">Siga as regras do empregador para:</w:t>
      </w:r>
    </w:p>
    <w:p>
      <w:pPr>
        <w:numPr>
          <w:ilvl w:val="0"/>
          <w:numId w:val="1012"/>
        </w:numPr>
        <w:pStyle w:val="Compact"/>
      </w:pPr>
      <w:r>
        <w:t xml:space="preserve">coletar apenas o necessário;</w:t>
      </w:r>
    </w:p>
    <w:p>
      <w:pPr>
        <w:numPr>
          <w:ilvl w:val="0"/>
          <w:numId w:val="1012"/>
        </w:numPr>
        <w:pStyle w:val="Compact"/>
      </w:pPr>
      <w:r>
        <w:t xml:space="preserve">acesso baseado em função;</w:t>
      </w:r>
    </w:p>
    <w:p>
      <w:pPr>
        <w:numPr>
          <w:ilvl w:val="0"/>
          <w:numId w:val="1012"/>
        </w:numPr>
        <w:pStyle w:val="Compact"/>
      </w:pPr>
      <w:r>
        <w:t xml:space="preserve">autenticação multifator;</w:t>
      </w:r>
    </w:p>
    <w:p>
      <w:pPr>
        <w:numPr>
          <w:ilvl w:val="0"/>
          <w:numId w:val="1012"/>
        </w:numPr>
        <w:pStyle w:val="Compact"/>
      </w:pPr>
      <w:r>
        <w:t xml:space="preserve">bancos de dados e serviços de nuvem aprovados;</w:t>
      </w:r>
    </w:p>
    <w:p>
      <w:pPr>
        <w:numPr>
          <w:ilvl w:val="0"/>
          <w:numId w:val="1012"/>
        </w:numPr>
        <w:pStyle w:val="Compact"/>
      </w:pPr>
      <w:r>
        <w:t xml:space="preserve">compartilhamento seguro;</w:t>
      </w:r>
    </w:p>
    <w:p>
      <w:pPr>
        <w:numPr>
          <w:ilvl w:val="0"/>
          <w:numId w:val="1012"/>
        </w:numPr>
        <w:pStyle w:val="Compact"/>
      </w:pPr>
      <w:r>
        <w:t xml:space="preserve">anotações factuais e proporcionais;</w:t>
      </w:r>
    </w:p>
    <w:p>
      <w:pPr>
        <w:numPr>
          <w:ilvl w:val="0"/>
          <w:numId w:val="1012"/>
        </w:numPr>
        <w:pStyle w:val="Compact"/>
      </w:pPr>
      <w:r>
        <w:t xml:space="preserve">retenção e descarte seguro;</w:t>
      </w:r>
    </w:p>
    <w:p>
      <w:pPr>
        <w:numPr>
          <w:ilvl w:val="0"/>
          <w:numId w:val="1012"/>
        </w:numPr>
        <w:pStyle w:val="Compact"/>
      </w:pPr>
      <w:r>
        <w:t xml:space="preserve">reporte de incidentes;</w:t>
      </w:r>
    </w:p>
    <w:p>
      <w:pPr>
        <w:numPr>
          <w:ilvl w:val="0"/>
          <w:numId w:val="1012"/>
        </w:numPr>
        <w:pStyle w:val="Compact"/>
      </w:pPr>
      <w:r>
        <w:t xml:space="preserve">conversas privadas e práticas de check-in em eventos; e</w:t>
      </w:r>
    </w:p>
    <w:p>
      <w:pPr>
        <w:numPr>
          <w:ilvl w:val="0"/>
          <w:numId w:val="1012"/>
        </w:numPr>
        <w:pStyle w:val="Compact"/>
      </w:pPr>
      <w:r>
        <w:t xml:space="preserve">uso de dispositivos pessoais, e-mail, aplicativos de mensagens, planilhas e mídias removíveis.</w:t>
      </w:r>
    </w:p>
    <w:p>
      <w:pPr>
        <w:pStyle w:val="FirstParagraph"/>
      </w:pPr>
      <w:r>
        <w:t xml:space="preserve">Não mantenha cópias não oficiais de dados sensíveis do programa por conveniência.</w:t>
      </w:r>
    </w:p>
    <w:bookmarkEnd w:id="43"/>
    <w:bookmarkStart w:id="44" w:name="fundamentos-de-cibersegurança"/>
    <w:p>
      <w:pPr>
        <w:pStyle w:val="Heading2"/>
      </w:pPr>
      <w:r>
        <w:t xml:space="preserve">Fundamentos de cibersegurança</w:t>
      </w:r>
    </w:p>
    <w:p>
      <w:pPr>
        <w:pStyle w:val="FirstParagraph"/>
      </w:pPr>
      <w:r>
        <w:t xml:space="preserve">Organizações de serviço comunitário podem ser alvo de phishing, fraude de pagamentos, tomada de contas, golpes contra doadores, ransomware, falsidade de identidade e roubo de informações pessoais.</w:t>
      </w:r>
    </w:p>
    <w:p>
      <w:pPr>
        <w:pStyle w:val="BodyText"/>
      </w:pPr>
      <w:r>
        <w:t xml:space="preserve">Use:</w:t>
      </w:r>
    </w:p>
    <w:p>
      <w:pPr>
        <w:numPr>
          <w:ilvl w:val="0"/>
          <w:numId w:val="1013"/>
        </w:numPr>
        <w:pStyle w:val="Compact"/>
      </w:pPr>
      <w:r>
        <w:t xml:space="preserve">senhas únicas e gerenciadores de senhas aprovados;</w:t>
      </w:r>
    </w:p>
    <w:p>
      <w:pPr>
        <w:numPr>
          <w:ilvl w:val="0"/>
          <w:numId w:val="1013"/>
        </w:numPr>
        <w:pStyle w:val="Compact"/>
      </w:pPr>
      <w:r>
        <w:t xml:space="preserve">autenticação multifator;</w:t>
      </w:r>
    </w:p>
    <w:p>
      <w:pPr>
        <w:numPr>
          <w:ilvl w:val="0"/>
          <w:numId w:val="1013"/>
        </w:numPr>
        <w:pStyle w:val="Compact"/>
      </w:pPr>
      <w:r>
        <w:t xml:space="preserve">dispositivos e software aprovados;</w:t>
      </w:r>
    </w:p>
    <w:p>
      <w:pPr>
        <w:numPr>
          <w:ilvl w:val="0"/>
          <w:numId w:val="1013"/>
        </w:numPr>
        <w:pStyle w:val="Compact"/>
      </w:pPr>
      <w:r>
        <w:t xml:space="preserve">procedimentos verificados para alterações de pagamento;</w:t>
      </w:r>
    </w:p>
    <w:p>
      <w:pPr>
        <w:numPr>
          <w:ilvl w:val="0"/>
          <w:numId w:val="1013"/>
        </w:numPr>
        <w:pStyle w:val="Compact"/>
      </w:pPr>
      <w:r>
        <w:t xml:space="preserve">confirmação independente de solicitações incomuns de fornecedores ou executivos;</w:t>
      </w:r>
    </w:p>
    <w:p>
      <w:pPr>
        <w:numPr>
          <w:ilvl w:val="0"/>
          <w:numId w:val="1013"/>
        </w:numPr>
        <w:pStyle w:val="Compact"/>
      </w:pPr>
      <w:r>
        <w:t xml:space="preserve">acesso de privilégio mínimo;</w:t>
      </w:r>
    </w:p>
    <w:p>
      <w:pPr>
        <w:numPr>
          <w:ilvl w:val="0"/>
          <w:numId w:val="1013"/>
        </w:numPr>
        <w:pStyle w:val="Compact"/>
      </w:pPr>
      <w:r>
        <w:t xml:space="preserve">reporte rápido de mensagens suspeitas ou atividade incomum em contas; e</w:t>
      </w:r>
    </w:p>
    <w:p>
      <w:pPr>
        <w:numPr>
          <w:ilvl w:val="0"/>
          <w:numId w:val="1013"/>
        </w:numPr>
        <w:pStyle w:val="Compact"/>
      </w:pPr>
      <w:r>
        <w:t xml:space="preserve">tratamento seguro de listas de participantes, registros de doadores, arquivos de voluntários e informações sobre subsídios.</w:t>
      </w:r>
    </w:p>
    <w:p>
      <w:pPr>
        <w:pStyle w:val="FirstParagraph"/>
      </w:pPr>
      <w:r>
        <w:t xml:space="preserve">Nunca ignore controles de segurança porque um prazo é urgente.</w:t>
      </w:r>
    </w:p>
    <w:bookmarkEnd w:id="44"/>
    <w:bookmarkStart w:id="45" w:name="X834dc7ae72d6289c32345b82f05d5675a5e8025"/>
    <w:p>
      <w:pPr>
        <w:pStyle w:val="Heading2"/>
      </w:pPr>
      <w:r>
        <w:t xml:space="preserve">Acessibilidade e inclusão de pessoas com deficiência</w:t>
      </w:r>
    </w:p>
    <w:p>
      <w:pPr>
        <w:pStyle w:val="FirstParagraph"/>
      </w:pPr>
      <w:r>
        <w:t xml:space="preserve">Programas comunitários devem ser planejados para que pessoas com deficiência possam participar de forma significativa.</w:t>
      </w:r>
    </w:p>
    <w:p>
      <w:pPr>
        <w:pStyle w:val="BodyText"/>
      </w:pPr>
      <w:r>
        <w:t xml:space="preserve">Dependendo do programa, isso pode incluir:</w:t>
      </w:r>
    </w:p>
    <w:p>
      <w:pPr>
        <w:numPr>
          <w:ilvl w:val="0"/>
          <w:numId w:val="1014"/>
        </w:numPr>
        <w:pStyle w:val="Compact"/>
      </w:pPr>
      <w:r>
        <w:t xml:space="preserve">locais e rotas acessíveis;</w:t>
      </w:r>
    </w:p>
    <w:p>
      <w:pPr>
        <w:numPr>
          <w:ilvl w:val="0"/>
          <w:numId w:val="1014"/>
        </w:numPr>
        <w:pStyle w:val="Compact"/>
      </w:pPr>
      <w:r>
        <w:t xml:space="preserve">legendagem ou interpretação;</w:t>
      </w:r>
    </w:p>
    <w:p>
      <w:pPr>
        <w:numPr>
          <w:ilvl w:val="0"/>
          <w:numId w:val="1014"/>
        </w:numPr>
        <w:pStyle w:val="Compact"/>
      </w:pPr>
      <w:r>
        <w:t xml:space="preserve">documentos e formulários digitais acessíveis;</w:t>
      </w:r>
    </w:p>
    <w:p>
      <w:pPr>
        <w:numPr>
          <w:ilvl w:val="0"/>
          <w:numId w:val="1014"/>
        </w:numPr>
        <w:pStyle w:val="Compact"/>
      </w:pPr>
      <w:r>
        <w:t xml:space="preserve">escolhas legíveis de contraste e fonte;</w:t>
      </w:r>
    </w:p>
    <w:p>
      <w:pPr>
        <w:numPr>
          <w:ilvl w:val="0"/>
          <w:numId w:val="1014"/>
        </w:numPr>
        <w:pStyle w:val="Compact"/>
      </w:pPr>
      <w:r>
        <w:t xml:space="preserve">informações em linguagem simples;</w:t>
      </w:r>
    </w:p>
    <w:p>
      <w:pPr>
        <w:numPr>
          <w:ilvl w:val="0"/>
          <w:numId w:val="1014"/>
        </w:numPr>
        <w:pStyle w:val="Compact"/>
      </w:pPr>
      <w:r>
        <w:t xml:space="preserve">vários métodos de contato;</w:t>
      </w:r>
    </w:p>
    <w:p>
      <w:pPr>
        <w:numPr>
          <w:ilvl w:val="0"/>
          <w:numId w:val="1014"/>
        </w:numPr>
        <w:pStyle w:val="Compact"/>
      </w:pPr>
      <w:r>
        <w:t xml:space="preserve">processos antecipados para solicitar adaptações;</w:t>
      </w:r>
    </w:p>
    <w:p>
      <w:pPr>
        <w:numPr>
          <w:ilvl w:val="0"/>
          <w:numId w:val="1014"/>
        </w:numPr>
        <w:pStyle w:val="Compact"/>
      </w:pPr>
      <w:r>
        <w:t xml:space="preserve">métodos flexíveis de participação quando possível; e</w:t>
      </w:r>
    </w:p>
    <w:p>
      <w:pPr>
        <w:numPr>
          <w:ilvl w:val="0"/>
          <w:numId w:val="1014"/>
        </w:numPr>
        <w:pStyle w:val="Compact"/>
      </w:pPr>
      <w:r>
        <w:t xml:space="preserve">comunicação respeitosa que evite suposições sobre a capacidade da pessoa.</w:t>
      </w:r>
    </w:p>
    <w:p>
      <w:pPr>
        <w:pStyle w:val="FirstParagraph"/>
      </w:pPr>
      <w:r>
        <w:t xml:space="preserve">As obrigações de acessibilidade variam conforme a jurisdição e a organização. Siga a legislação aplicável e as políticas do empregador.</w:t>
      </w:r>
    </w:p>
    <w:bookmarkEnd w:id="45"/>
    <w:bookmarkStart w:id="46" w:name="limites-de-proteção-e-situações-de-crise"/>
    <w:p>
      <w:pPr>
        <w:pStyle w:val="Heading2"/>
      </w:pPr>
      <w:r>
        <w:t xml:space="preserve">Limites de proteção e situações de crise</w:t>
      </w:r>
    </w:p>
    <w:p>
      <w:pPr>
        <w:pStyle w:val="FirstParagraph"/>
      </w:pPr>
      <w:r>
        <w:t xml:space="preserve">Programas que atendem crianças, idosos, pessoas com deficiência, pessoas em situação de rua, sobreviventes de violência ou outras populações vulneráveis podem ter exigências de proteção ou reporte obrigatório.</w:t>
      </w:r>
    </w:p>
    <w:p>
      <w:pPr>
        <w:pStyle w:val="BodyText"/>
      </w:pPr>
      <w:r>
        <w:t xml:space="preserve">Sua função é seguir o protocolo aprovado, não inventar um. Isso pode incluir:</w:t>
      </w:r>
    </w:p>
    <w:p>
      <w:pPr>
        <w:numPr>
          <w:ilvl w:val="0"/>
          <w:numId w:val="1015"/>
        </w:numPr>
        <w:pStyle w:val="Compact"/>
      </w:pPr>
      <w:r>
        <w:t xml:space="preserve">contatar um supervisor ou responsável designado por proteção;</w:t>
      </w:r>
    </w:p>
    <w:p>
      <w:pPr>
        <w:numPr>
          <w:ilvl w:val="0"/>
          <w:numId w:val="1015"/>
        </w:numPr>
        <w:pStyle w:val="Compact"/>
      </w:pPr>
      <w:r>
        <w:t xml:space="preserve">fazer o reporte exigido pelo canal correto;</w:t>
      </w:r>
    </w:p>
    <w:p>
      <w:pPr>
        <w:numPr>
          <w:ilvl w:val="0"/>
          <w:numId w:val="1015"/>
        </w:numPr>
        <w:pStyle w:val="Compact"/>
      </w:pPr>
      <w:r>
        <w:t xml:space="preserve">documentar fatos com precisão;</w:t>
      </w:r>
    </w:p>
    <w:p>
      <w:pPr>
        <w:numPr>
          <w:ilvl w:val="0"/>
          <w:numId w:val="1015"/>
        </w:numPr>
        <w:pStyle w:val="Compact"/>
      </w:pPr>
      <w:r>
        <w:t xml:space="preserve">contatar serviços de emergência quando a política e as circunstâncias exigirem; e</w:t>
      </w:r>
    </w:p>
    <w:p>
      <w:pPr>
        <w:numPr>
          <w:ilvl w:val="0"/>
          <w:numId w:val="1015"/>
        </w:numPr>
        <w:pStyle w:val="Compact"/>
      </w:pPr>
      <w:r>
        <w:t xml:space="preserve">evitar promessas de confidencialidade que entrem em conflito com obrigações legais ou de segurança.</w:t>
      </w:r>
    </w:p>
    <w:p>
      <w:pPr>
        <w:pStyle w:val="FirstParagraph"/>
      </w:pPr>
      <w:r>
        <w:t xml:space="preserve">Materiais de treinamento e ferramentas de IA não substituem a legislação local vigente, os procedimentos da organização ou o julgamento profissional qualificado.</w:t>
      </w:r>
    </w:p>
    <w:bookmarkEnd w:id="46"/>
    <w:bookmarkStart w:id="47" w:name="uso-responsável-de-ia"/>
    <w:p>
      <w:pPr>
        <w:pStyle w:val="Heading2"/>
      </w:pPr>
      <w:r>
        <w:t xml:space="preserve">Uso responsável de IA</w:t>
      </w:r>
    </w:p>
    <w:p>
      <w:pPr>
        <w:pStyle w:val="FirstParagraph"/>
      </w:pPr>
      <w:r>
        <w:t xml:space="preserve">A IA pode ajudar em tarefas de baixo risco, como:</w:t>
      </w:r>
    </w:p>
    <w:p>
      <w:pPr>
        <w:numPr>
          <w:ilvl w:val="0"/>
          <w:numId w:val="1016"/>
        </w:numPr>
        <w:pStyle w:val="Compact"/>
      </w:pPr>
      <w:r>
        <w:t xml:space="preserve">gerar ideias para temas genéricos de eventos;</w:t>
      </w:r>
    </w:p>
    <w:p>
      <w:pPr>
        <w:numPr>
          <w:ilvl w:val="0"/>
          <w:numId w:val="1016"/>
        </w:numPr>
        <w:pStyle w:val="Compact"/>
      </w:pPr>
      <w:r>
        <w:t xml:space="preserve">redigir pautas não sensíveis;</w:t>
      </w:r>
    </w:p>
    <w:p>
      <w:pPr>
        <w:numPr>
          <w:ilvl w:val="0"/>
          <w:numId w:val="1016"/>
        </w:numPr>
        <w:pStyle w:val="Compact"/>
      </w:pPr>
      <w:r>
        <w:t xml:space="preserve">melhorar a redação em linguagem simples;</w:t>
      </w:r>
    </w:p>
    <w:p>
      <w:pPr>
        <w:numPr>
          <w:ilvl w:val="0"/>
          <w:numId w:val="1016"/>
        </w:numPr>
        <w:pStyle w:val="Compact"/>
      </w:pPr>
      <w:r>
        <w:t xml:space="preserve">criar notas de estudo;</w:t>
      </w:r>
    </w:p>
    <w:p>
      <w:pPr>
        <w:numPr>
          <w:ilvl w:val="0"/>
          <w:numId w:val="1016"/>
        </w:numPr>
        <w:pStyle w:val="Compact"/>
      </w:pPr>
      <w:r>
        <w:t xml:space="preserve">gerar listas de verificação genéricas;</w:t>
      </w:r>
    </w:p>
    <w:p>
      <w:pPr>
        <w:numPr>
          <w:ilvl w:val="0"/>
          <w:numId w:val="1016"/>
        </w:numPr>
        <w:pStyle w:val="Compact"/>
      </w:pPr>
      <w:r>
        <w:t xml:space="preserve">sugerir perguntas de pesquisa para revisão humana; e</w:t>
      </w:r>
    </w:p>
    <w:p>
      <w:pPr>
        <w:numPr>
          <w:ilvl w:val="0"/>
          <w:numId w:val="1016"/>
        </w:numPr>
        <w:pStyle w:val="Compact"/>
      </w:pPr>
      <w:r>
        <w:t xml:space="preserve">praticar perguntas de entrevista.</w:t>
      </w:r>
    </w:p>
    <w:p>
      <w:pPr>
        <w:pStyle w:val="FirstParagraph"/>
      </w:pPr>
      <w:r>
        <w:rPr>
          <w:bCs/>
          <w:b/>
        </w:rPr>
        <w:t xml:space="preserve">Não</w:t>
      </w:r>
      <w:r>
        <w:t xml:space="preserve"> </w:t>
      </w:r>
      <w:r>
        <w:t xml:space="preserve">insira informações confidenciais, pessoais, de saúde, jurídicas, de proteção, de doadores, candidatos, voluntários, pagamentos, subsídios restritos ou informações organizacionais não publicadas em uma ferramenta pública de IA, a menos que a organização tenha aprovado especificamente esse uso e o sistema esteja autorizado para esses dados.</w:t>
      </w:r>
    </w:p>
    <w:p>
      <w:pPr>
        <w:pStyle w:val="BodyText"/>
      </w:pPr>
      <w:r>
        <w:t xml:space="preserve">Rascunhos assistidos por IA exigem revisão humana. Verifique fatos, datas, nomes, números, declarações de elegibilidade, linguagem jurídica, traduções e compromissos antes do uso.</w:t>
      </w:r>
    </w:p>
    <w:p>
      <w:pPr>
        <w:pStyle w:val="BodyText"/>
      </w:pPr>
      <w:r>
        <w:t xml:space="preserve">A IA não deve ser usada como substituta do julgamento de profissionais licenciados, decisões de proteção, autorização de subsídios, aprovação de compras, adjudicação de benefícios ou autoridade gerencial.</w:t>
      </w:r>
    </w:p>
    <w:bookmarkEnd w:id="47"/>
    <w:bookmarkStart w:id="48" w:name="plano-prático-de-início-de-12-semanas"/>
    <w:p>
      <w:pPr>
        <w:pStyle w:val="Heading2"/>
      </w:pPr>
      <w:r>
        <w:t xml:space="preserve">Plano prático de início de 12 semanas</w:t>
      </w:r>
    </w:p>
    <w:p>
      <w:pPr>
        <w:pStyle w:val="FirstParagraph"/>
      </w:pPr>
      <w:r>
        <w:rPr>
          <w:bCs/>
          <w:b/>
        </w:rPr>
        <w:t xml:space="preserve">Semanas 1–2:</w:t>
      </w:r>
      <w:r>
        <w:t xml:space="preserve"> </w:t>
      </w:r>
      <w:r>
        <w:t xml:space="preserve">Revise entre 15 e 20 vagas locais de coordenação. Registre atividades recorrentes, educação, software, idiomas, horário, viagens, verificações de antecedentes, exposição a subsídios, orçamento e supervisão.</w:t>
      </w:r>
    </w:p>
    <w:p>
      <w:pPr>
        <w:pStyle w:val="BodyText"/>
      </w:pPr>
      <w:r>
        <w:rPr>
          <w:bCs/>
          <w:b/>
        </w:rPr>
        <w:t xml:space="preserve">Semanas 3–4:</w:t>
      </w:r>
      <w:r>
        <w:t xml:space="preserve"> </w:t>
      </w:r>
      <w:r>
        <w:t xml:space="preserve">Desenvolva habilidades administrativas essenciais: planilhas, calendários, atas, acompanhamento de tarefas, organização de arquivos e relatórios básicos.</w:t>
      </w:r>
    </w:p>
    <w:p>
      <w:pPr>
        <w:pStyle w:val="BodyText"/>
      </w:pPr>
      <w:r>
        <w:rPr>
          <w:bCs/>
          <w:b/>
        </w:rPr>
        <w:t xml:space="preserve">Semanas 5–6:</w:t>
      </w:r>
      <w:r>
        <w:t xml:space="preserve"> </w:t>
      </w:r>
      <w:r>
        <w:t xml:space="preserve">Conheça o ecossistema local de recursos comunitários e pratique alcance respeitoso, informações de encaminhamento, comunicação com parceiros e planejamento de eventos acessíveis.</w:t>
      </w:r>
    </w:p>
    <w:p>
      <w:pPr>
        <w:pStyle w:val="BodyText"/>
      </w:pPr>
      <w:r>
        <w:rPr>
          <w:bCs/>
          <w:b/>
        </w:rPr>
        <w:t xml:space="preserve">Semanas 7–8:</w:t>
      </w:r>
      <w:r>
        <w:t xml:space="preserve"> </w:t>
      </w:r>
      <w:r>
        <w:t xml:space="preserve">Conclua treinamento público adequado ou reconhecido por empregadores em privacidade, cibersegurança, proteção, acessibilidade, gestão de voluntariado, coordenação de projetos ou orçamento básico.</w:t>
      </w:r>
    </w:p>
    <w:p>
      <w:pPr>
        <w:pStyle w:val="BodyText"/>
      </w:pPr>
      <w:r>
        <w:rPr>
          <w:bCs/>
          <w:b/>
        </w:rPr>
        <w:t xml:space="preserve">Semanas 9–10:</w:t>
      </w:r>
      <w:r>
        <w:t xml:space="preserve"> </w:t>
      </w:r>
      <w:r>
        <w:t xml:space="preserve">Desenvolva experiência supervisionada por meio de voluntariado, assistência a programas, eventos públicos, administração de organizações sem fins lucrativos, trabalho escolar ou comunitário, administração de saúde ou organizações cívicas.</w:t>
      </w:r>
    </w:p>
    <w:p>
      <w:pPr>
        <w:pStyle w:val="BodyText"/>
      </w:pPr>
      <w:r>
        <w:rPr>
          <w:bCs/>
          <w:b/>
        </w:rPr>
        <w:t xml:space="preserve">Semanas 11–12:</w:t>
      </w:r>
      <w:r>
        <w:t xml:space="preserve"> </w:t>
      </w:r>
      <w:r>
        <w:t xml:space="preserve">Candidate-se a funções compatíveis com sua educação e experiência reais. Prepare exemplos que demonstrem organização, acompanhamento, relatórios, coordenação de partes interessadas, solução de problemas, cuidado financeiro, privacidade e escalonamento adequado.</w:t>
      </w:r>
    </w:p>
    <w:bookmarkEnd w:id="48"/>
    <w:bookmarkStart w:id="49" w:name="Xa7c7e921063d52fc3ed0d1ebe0b2dad47a0134f"/>
    <w:p>
      <w:pPr>
        <w:pStyle w:val="Heading2"/>
      </w:pPr>
      <w:r>
        <w:t xml:space="preserve">Como desenvolver experiência sem já ter o título</w:t>
      </w:r>
    </w:p>
    <w:p>
      <w:pPr>
        <w:pStyle w:val="FirstParagraph"/>
      </w:pPr>
      <w:r>
        <w:t xml:space="preserve">A experiência transferível pode vir de:</w:t>
      </w:r>
    </w:p>
    <w:p>
      <w:pPr>
        <w:numPr>
          <w:ilvl w:val="0"/>
          <w:numId w:val="1017"/>
        </w:numPr>
        <w:pStyle w:val="Compact"/>
      </w:pPr>
      <w:r>
        <w:t xml:space="preserve">assistência a programas;</w:t>
      </w:r>
    </w:p>
    <w:p>
      <w:pPr>
        <w:numPr>
          <w:ilvl w:val="0"/>
          <w:numId w:val="1017"/>
        </w:numPr>
        <w:pStyle w:val="Compact"/>
      </w:pPr>
      <w:r>
        <w:t xml:space="preserve">voluntariado;</w:t>
      </w:r>
    </w:p>
    <w:p>
      <w:pPr>
        <w:numPr>
          <w:ilvl w:val="0"/>
          <w:numId w:val="1017"/>
        </w:numPr>
        <w:pStyle w:val="Compact"/>
      </w:pPr>
      <w:r>
        <w:t xml:space="preserve">atendimento ao cliente;</w:t>
      </w:r>
    </w:p>
    <w:p>
      <w:pPr>
        <w:numPr>
          <w:ilvl w:val="0"/>
          <w:numId w:val="1017"/>
        </w:numPr>
        <w:pStyle w:val="Compact"/>
      </w:pPr>
      <w:r>
        <w:t xml:space="preserve">administração de escritório;</w:t>
      </w:r>
    </w:p>
    <w:p>
      <w:pPr>
        <w:numPr>
          <w:ilvl w:val="0"/>
          <w:numId w:val="1017"/>
        </w:numPr>
        <w:pStyle w:val="Compact"/>
      </w:pPr>
      <w:r>
        <w:t xml:space="preserve">coordenação de eventos;</w:t>
      </w:r>
    </w:p>
    <w:p>
      <w:pPr>
        <w:numPr>
          <w:ilvl w:val="0"/>
          <w:numId w:val="1017"/>
        </w:numPr>
        <w:pStyle w:val="Compact"/>
      </w:pPr>
      <w:r>
        <w:t xml:space="preserve">programas escolares ou universitários;</w:t>
      </w:r>
    </w:p>
    <w:p>
      <w:pPr>
        <w:numPr>
          <w:ilvl w:val="0"/>
          <w:numId w:val="1017"/>
        </w:numPr>
        <w:pStyle w:val="Compact"/>
      </w:pPr>
      <w:r>
        <w:t xml:space="preserve">administração de saúde;</w:t>
      </w:r>
    </w:p>
    <w:p>
      <w:pPr>
        <w:numPr>
          <w:ilvl w:val="0"/>
          <w:numId w:val="1017"/>
        </w:numPr>
        <w:pStyle w:val="Compact"/>
      </w:pPr>
      <w:r>
        <w:t xml:space="preserve">programas para jovens ou idosos;</w:t>
      </w:r>
    </w:p>
    <w:p>
      <w:pPr>
        <w:numPr>
          <w:ilvl w:val="0"/>
          <w:numId w:val="1017"/>
        </w:numPr>
        <w:pStyle w:val="Compact"/>
      </w:pPr>
      <w:r>
        <w:t xml:space="preserve">organizações de serviços para pessoas com deficiência;</w:t>
      </w:r>
    </w:p>
    <w:p>
      <w:pPr>
        <w:numPr>
          <w:ilvl w:val="0"/>
          <w:numId w:val="1017"/>
        </w:numPr>
        <w:pStyle w:val="Compact"/>
      </w:pPr>
      <w:r>
        <w:t xml:space="preserve">bibliotecas e organizações culturais;</w:t>
      </w:r>
    </w:p>
    <w:p>
      <w:pPr>
        <w:numPr>
          <w:ilvl w:val="0"/>
          <w:numId w:val="1017"/>
        </w:numPr>
        <w:pStyle w:val="Compact"/>
      </w:pPr>
      <w:r>
        <w:t xml:space="preserve">programas de emprego e força de trabalho;</w:t>
      </w:r>
    </w:p>
    <w:p>
      <w:pPr>
        <w:numPr>
          <w:ilvl w:val="0"/>
          <w:numId w:val="1017"/>
        </w:numPr>
        <w:pStyle w:val="Compact"/>
      </w:pPr>
      <w:r>
        <w:t xml:space="preserve">associações comunitárias;</w:t>
      </w:r>
    </w:p>
    <w:p>
      <w:pPr>
        <w:numPr>
          <w:ilvl w:val="0"/>
          <w:numId w:val="1017"/>
        </w:numPr>
        <w:pStyle w:val="Compact"/>
      </w:pPr>
      <w:r>
        <w:t xml:space="preserve">órgãos públicos; ou</w:t>
      </w:r>
    </w:p>
    <w:p>
      <w:pPr>
        <w:numPr>
          <w:ilvl w:val="0"/>
          <w:numId w:val="1017"/>
        </w:numPr>
        <w:pStyle w:val="Compact"/>
      </w:pPr>
      <w:r>
        <w:t xml:space="preserve">organizações religiosas ou sem fins lucrativos.</w:t>
      </w:r>
    </w:p>
    <w:p>
      <w:pPr>
        <w:pStyle w:val="FirstParagraph"/>
      </w:pPr>
      <w:r>
        <w:t xml:space="preserve">Descreva sua experiência com precisão. Evidências fortes podem incluir execução confiável de eventos, registros precisos, coordenação de parceiros, escala de voluntários, acompanhamento de orçamento, comunicação com participantes, materiais acessíveis, redução de erros, melhoria de tempos de resposta ou cumprimento de prazos de subsídios e relatórios.</w:t>
      </w:r>
    </w:p>
    <w:p>
      <w:pPr>
        <w:pStyle w:val="BodyText"/>
      </w:pPr>
      <w:r>
        <w:t xml:space="preserve">Não alegue autoridade gerencial, autoridade para conceder subsídios, prática clínica, experiência jurídica, autoridade fiduciária ou autoridade de gestão de casos que você não teve.</w:t>
      </w:r>
    </w:p>
    <w:bookmarkEnd w:id="49"/>
    <w:bookmarkStart w:id="50" w:name="progressão-de-carreira"/>
    <w:p>
      <w:pPr>
        <w:pStyle w:val="Heading2"/>
      </w:pPr>
      <w:r>
        <w:t xml:space="preserve">Progressão de carreira</w:t>
      </w:r>
    </w:p>
    <w:p>
      <w:pPr>
        <w:pStyle w:val="FirstParagraph"/>
      </w:pPr>
      <w:r>
        <w:t xml:space="preserve">Possíveis próximos passos podem incluir coordenador sênior de programa, coordenador de engajamento comunitário, coordenador de voluntariado, coordenador de alcance, especialista de programa, administrador de subsídios ou programas, gerente de programa, gerente de serviços comunitários, gerente de operações de organização sem fins lucrativos ou administrador de programas públicos.</w:t>
      </w:r>
    </w:p>
    <w:p>
      <w:pPr>
        <w:pStyle w:val="BodyText"/>
      </w:pPr>
      <w:r>
        <w:t xml:space="preserve">A progressão depende do setor, educação, experiência, responsabilidade por orçamento e equipe, limites de profissões regulamentadas e requisitos do empregador local. Não suponha que o tempo em uma função de coordenação o qualifique automaticamente para um título profissional protegido ou uma ocupação gerencial.</w:t>
      </w:r>
    </w:p>
    <w:bookmarkEnd w:id="50"/>
    <w:bookmarkStart w:id="51" w:name="X8724e2e8c584facb2ca723cba9608a9f2f980ea"/>
    <w:p>
      <w:pPr>
        <w:pStyle w:val="Heading2"/>
      </w:pPr>
      <w:r>
        <w:t xml:space="preserve">Verifique antes de se matricular ou aceitar um emprego</w:t>
      </w:r>
    </w:p>
    <w:p>
      <w:pPr>
        <w:pStyle w:val="FirstParagraph"/>
      </w:pPr>
      <w:r>
        <w:t xml:space="preserve">Antes de pagar por treinamento ou aceitar uma função, verifique:</w:t>
      </w:r>
    </w:p>
    <w:p>
      <w:pPr>
        <w:numPr>
          <w:ilvl w:val="0"/>
          <w:numId w:val="1018"/>
        </w:numPr>
        <w:pStyle w:val="Compact"/>
      </w:pPr>
      <w:r>
        <w:t xml:space="preserve">as tarefas reais;</w:t>
      </w:r>
    </w:p>
    <w:p>
      <w:pPr>
        <w:numPr>
          <w:ilvl w:val="0"/>
          <w:numId w:val="1018"/>
        </w:numPr>
        <w:pStyle w:val="Compact"/>
      </w:pPr>
      <w:r>
        <w:t xml:space="preserve">a linha de reporte;</w:t>
      </w:r>
    </w:p>
    <w:p>
      <w:pPr>
        <w:numPr>
          <w:ilvl w:val="0"/>
          <w:numId w:val="1018"/>
        </w:numPr>
        <w:pStyle w:val="Compact"/>
      </w:pPr>
      <w:r>
        <w:t xml:space="preserve">a supervisão de funcionários ou voluntários;</w:t>
      </w:r>
    </w:p>
    <w:p>
      <w:pPr>
        <w:numPr>
          <w:ilvl w:val="0"/>
          <w:numId w:val="1018"/>
        </w:numPr>
        <w:pStyle w:val="Compact"/>
      </w:pPr>
      <w:r>
        <w:t xml:space="preserve">a autoridade orçamentária e de compras;</w:t>
      </w:r>
    </w:p>
    <w:p>
      <w:pPr>
        <w:numPr>
          <w:ilvl w:val="0"/>
          <w:numId w:val="1018"/>
        </w:numPr>
        <w:pStyle w:val="Compact"/>
      </w:pPr>
      <w:r>
        <w:t xml:space="preserve">as responsabilidades relacionadas a subsídios;</w:t>
      </w:r>
    </w:p>
    <w:p>
      <w:pPr>
        <w:numPr>
          <w:ilvl w:val="0"/>
          <w:numId w:val="1018"/>
        </w:numPr>
        <w:pStyle w:val="Compact"/>
      </w:pPr>
      <w:r>
        <w:t xml:space="preserve">as obrigações de proteção;</w:t>
      </w:r>
    </w:p>
    <w:p>
      <w:pPr>
        <w:numPr>
          <w:ilvl w:val="0"/>
          <w:numId w:val="1018"/>
        </w:numPr>
        <w:pStyle w:val="Compact"/>
      </w:pPr>
      <w:r>
        <w:t xml:space="preserve">os requisitos de privacidade;</w:t>
      </w:r>
    </w:p>
    <w:p>
      <w:pPr>
        <w:numPr>
          <w:ilvl w:val="0"/>
          <w:numId w:val="1018"/>
        </w:numPr>
        <w:pStyle w:val="Compact"/>
      </w:pPr>
      <w:r>
        <w:t xml:space="preserve">a educação e as credenciais exigidas;</w:t>
      </w:r>
    </w:p>
    <w:p>
      <w:pPr>
        <w:numPr>
          <w:ilvl w:val="0"/>
          <w:numId w:val="1018"/>
        </w:numPr>
        <w:pStyle w:val="Compact"/>
      </w:pPr>
      <w:r>
        <w:t xml:space="preserve">viagens e horário;</w:t>
      </w:r>
    </w:p>
    <w:p>
      <w:pPr>
        <w:numPr>
          <w:ilvl w:val="0"/>
          <w:numId w:val="1018"/>
        </w:numPr>
        <w:pStyle w:val="Compact"/>
      </w:pPr>
      <w:r>
        <w:t xml:space="preserve">verificações de antecedentes;</w:t>
      </w:r>
    </w:p>
    <w:p>
      <w:pPr>
        <w:numPr>
          <w:ilvl w:val="0"/>
          <w:numId w:val="1018"/>
        </w:numPr>
        <w:pStyle w:val="Compact"/>
      </w:pPr>
      <w:r>
        <w:t xml:space="preserve">remuneração e tipo de contrato;</w:t>
      </w:r>
    </w:p>
    <w:p>
      <w:pPr>
        <w:numPr>
          <w:ilvl w:val="0"/>
          <w:numId w:val="1018"/>
        </w:numPr>
        <w:pStyle w:val="Compact"/>
      </w:pPr>
      <w:r>
        <w:t xml:space="preserve">se a função é temporária ou financiada por subsídio; e</w:t>
      </w:r>
    </w:p>
    <w:p>
      <w:pPr>
        <w:numPr>
          <w:ilvl w:val="0"/>
          <w:numId w:val="1018"/>
        </w:numPr>
        <w:pStyle w:val="Compact"/>
      </w:pPr>
      <w:r>
        <w:t xml:space="preserve">qual treinamento o empregador oferece.</w:t>
      </w:r>
    </w:p>
    <w:p>
      <w:pPr>
        <w:pStyle w:val="FirstParagraph"/>
      </w:pPr>
      <w:r>
        <w:t xml:space="preserve">Obtenha por escrito promessas importantes.</w:t>
      </w:r>
    </w:p>
    <w:bookmarkEnd w:id="51"/>
    <w:bookmarkStart w:id="68" w:name="lista-controlada-de-fontes"/>
    <w:p>
      <w:pPr>
        <w:pStyle w:val="Heading2"/>
      </w:pPr>
      <w:r>
        <w:t xml:space="preserve">Lista controlada de fontes</w:t>
      </w:r>
    </w:p>
    <w:p>
      <w:pPr>
        <w:numPr>
          <w:ilvl w:val="0"/>
          <w:numId w:val="1019"/>
        </w:numPr>
        <w:pStyle w:val="Compact"/>
      </w:pPr>
      <w:r>
        <w:t xml:space="preserve">O*NET OnLine — Social and Community Service Managers, 11-9151.00</w:t>
      </w:r>
      <w:r>
        <w:br/>
      </w:r>
      <w:hyperlink r:id="rId52">
        <w:hyperlink r:id="rId52">
          <w:r>
            <w:rPr>
              <w:rStyle w:val="Hyperlink"/>
            </w:rPr>
            <w:t xml:space="preserve">Source link</w:t>
          </w:r>
        </w:hyperlink>
      </w:hyperlink>
    </w:p>
    <w:p>
      <w:pPr>
        <w:numPr>
          <w:ilvl w:val="0"/>
          <w:numId w:val="1019"/>
        </w:numPr>
        <w:pStyle w:val="Compact"/>
      </w:pPr>
      <w:r>
        <w:t xml:space="preserve">O*NET OnLine — resumo 11-9151.00, dados salariais e projeções do BLS</w:t>
      </w:r>
      <w:r>
        <w:br/>
      </w:r>
      <w:hyperlink r:id="rId53">
        <w:hyperlink r:id="rId53">
          <w:r>
            <w:rPr>
              <w:rStyle w:val="Hyperlink"/>
            </w:rPr>
            <w:t xml:space="preserve">Source link</w:t>
          </w:r>
        </w:hyperlink>
      </w:hyperlink>
    </w:p>
    <w:p>
      <w:pPr>
        <w:numPr>
          <w:ilvl w:val="0"/>
          <w:numId w:val="1019"/>
        </w:numPr>
        <w:pStyle w:val="Compact"/>
      </w:pPr>
      <w:r>
        <w:t xml:space="preserve">Salary.com — Community Program Coordinator Salary, atualizado em 1º de agosto de 2026</w:t>
      </w:r>
      <w:r>
        <w:br/>
      </w:r>
      <w:hyperlink r:id="rId54">
        <w:hyperlink r:id="rId54">
          <w:r>
            <w:rPr>
              <w:rStyle w:val="Hyperlink"/>
            </w:rPr>
            <w:t xml:space="preserve">Source link</w:t>
          </w:r>
        </w:hyperlink>
      </w:hyperlink>
    </w:p>
    <w:p>
      <w:pPr>
        <w:numPr>
          <w:ilvl w:val="0"/>
          <w:numId w:val="1019"/>
        </w:numPr>
        <w:pStyle w:val="Compact"/>
      </w:pPr>
      <w:r>
        <w:t xml:space="preserve">ZipRecruiter — Community Program Coordinator Salary, julho de 2026</w:t>
      </w:r>
      <w:r>
        <w:br/>
      </w:r>
      <w:hyperlink r:id="rId55">
        <w:hyperlink r:id="rId55">
          <w:r>
            <w:rPr>
              <w:rStyle w:val="Hyperlink"/>
            </w:rPr>
            <w:t xml:space="preserve">Source link</w:t>
          </w:r>
        </w:hyperlink>
      </w:hyperlink>
    </w:p>
    <w:p>
      <w:pPr>
        <w:numPr>
          <w:ilvl w:val="0"/>
          <w:numId w:val="1019"/>
        </w:numPr>
        <w:pStyle w:val="Compact"/>
      </w:pPr>
      <w:r>
        <w:t xml:space="preserve">Indeed — vagas atuais de Community Programs Coordinator</w:t>
      </w:r>
      <w:r>
        <w:br/>
      </w:r>
      <w:hyperlink r:id="rId56">
        <w:hyperlink r:id="rId56">
          <w:r>
            <w:rPr>
              <w:rStyle w:val="Hyperlink"/>
            </w:rPr>
            <w:t xml:space="preserve">Source link</w:t>
          </w:r>
        </w:hyperlink>
      </w:hyperlink>
    </w:p>
    <w:p>
      <w:pPr>
        <w:numPr>
          <w:ilvl w:val="0"/>
          <w:numId w:val="1019"/>
        </w:numPr>
        <w:pStyle w:val="Compact"/>
      </w:pPr>
      <w:r>
        <w:t xml:space="preserve">Government of Canada Job Bank — resumo NOC 40030</w:t>
      </w:r>
      <w:r>
        <w:br/>
      </w:r>
      <w:hyperlink r:id="rId57">
        <w:hyperlink r:id="rId57">
          <w:r>
            <w:rPr>
              <w:rStyle w:val="Hyperlink"/>
            </w:rPr>
            <w:t xml:space="preserve">Source link</w:t>
          </w:r>
        </w:hyperlink>
      </w:hyperlink>
    </w:p>
    <w:p>
      <w:pPr>
        <w:numPr>
          <w:ilvl w:val="0"/>
          <w:numId w:val="1019"/>
        </w:numPr>
        <w:pStyle w:val="Compact"/>
      </w:pPr>
      <w:r>
        <w:t xml:space="preserve">Government of Canada Job Bank — requisitos NOC 40030</w:t>
      </w:r>
      <w:r>
        <w:br/>
      </w:r>
      <w:hyperlink r:id="rId58">
        <w:hyperlink r:id="rId58">
          <w:r>
            <w:rPr>
              <w:rStyle w:val="Hyperlink"/>
            </w:rPr>
            <w:t xml:space="preserve">Source link</w:t>
          </w:r>
        </w:hyperlink>
      </w:hyperlink>
    </w:p>
    <w:p>
      <w:pPr>
        <w:numPr>
          <w:ilvl w:val="0"/>
          <w:numId w:val="1019"/>
        </w:numPr>
        <w:pStyle w:val="Compact"/>
      </w:pPr>
      <w:r>
        <w:t xml:space="preserve">Government of Canada Job Bank — salários NOC 40030</w:t>
      </w:r>
      <w:r>
        <w:br/>
      </w:r>
      <w:hyperlink r:id="rId59">
        <w:hyperlink r:id="rId59">
          <w:r>
            <w:rPr>
              <w:rStyle w:val="Hyperlink"/>
            </w:rPr>
            <w:t xml:space="preserve">Source link</w:t>
          </w:r>
        </w:hyperlink>
      </w:hyperlink>
    </w:p>
    <w:p>
      <w:pPr>
        <w:numPr>
          <w:ilvl w:val="0"/>
          <w:numId w:val="1019"/>
        </w:numPr>
        <w:pStyle w:val="Compact"/>
      </w:pPr>
      <w:r>
        <w:t xml:space="preserve">SENA Betowa — Gestión comunitaria del riesgo de desastres</w:t>
      </w:r>
      <w:r>
        <w:br/>
      </w:r>
      <w:hyperlink r:id="rId60">
        <w:hyperlink r:id="rId60">
          <w:r>
            <w:rPr>
              <w:rStyle w:val="Hyperlink"/>
            </w:rPr>
            <w:t xml:space="preserve">Source link</w:t>
          </w:r>
        </w:hyperlink>
      </w:hyperlink>
    </w:p>
    <w:p>
      <w:pPr>
        <w:numPr>
          <w:ilvl w:val="0"/>
          <w:numId w:val="1019"/>
        </w:numPr>
        <w:pStyle w:val="Compact"/>
      </w:pPr>
      <w:r>
        <w:t xml:space="preserve">SENA Betowa — Organización comunitaria sostenible</w:t>
      </w:r>
      <w:r>
        <w:br/>
      </w:r>
      <w:hyperlink r:id="rId61">
        <w:hyperlink r:id="rId61">
          <w:r>
            <w:rPr>
              <w:rStyle w:val="Hyperlink"/>
            </w:rPr>
            <w:t xml:space="preserve">Source link</w:t>
          </w:r>
        </w:hyperlink>
      </w:hyperlink>
    </w:p>
    <w:p>
      <w:pPr>
        <w:numPr>
          <w:ilvl w:val="0"/>
          <w:numId w:val="1019"/>
        </w:numPr>
        <w:pStyle w:val="Compact"/>
      </w:pPr>
      <w:r>
        <w:t xml:space="preserve">SENA Agencia Pública de Empleo — evidência de vaga de gestão comunitária</w:t>
      </w:r>
      <w:r>
        <w:br/>
      </w:r>
      <w:hyperlink r:id="rId62">
        <w:hyperlink r:id="rId62">
          <w:r>
            <w:rPr>
              <w:rStyle w:val="Hyperlink"/>
            </w:rPr>
            <w:t xml:space="preserve">Source link</w:t>
          </w:r>
        </w:hyperlink>
      </w:hyperlink>
    </w:p>
    <w:p>
      <w:pPr>
        <w:numPr>
          <w:ilvl w:val="0"/>
          <w:numId w:val="1019"/>
        </w:numPr>
        <w:pStyle w:val="Compact"/>
      </w:pPr>
      <w:r>
        <w:t xml:space="preserve">SENA Circular 287 de 2025 — orientação sobre contratação de trabalho comunitário</w:t>
      </w:r>
      <w:r>
        <w:br/>
      </w:r>
      <w:hyperlink r:id="rId63">
        <w:hyperlink r:id="rId63">
          <w:r>
            <w:rPr>
              <w:rStyle w:val="Hyperlink"/>
            </w:rPr>
            <w:t xml:space="preserve">Source link</w:t>
          </w:r>
        </w:hyperlink>
      </w:hyperlink>
    </w:p>
    <w:p>
      <w:pPr>
        <w:numPr>
          <w:ilvl w:val="0"/>
          <w:numId w:val="1019"/>
        </w:numPr>
        <w:pStyle w:val="Compact"/>
      </w:pPr>
      <w:r>
        <w:t xml:space="preserve">OIT/Cinterfor — observatório de formação profissional</w:t>
      </w:r>
      <w:r>
        <w:br/>
      </w:r>
      <w:hyperlink r:id="rId64">
        <w:r>
          <w:rPr>
            <w:rStyle w:val="Hyperlink"/>
          </w:rPr>
          <w:t xml:space="preserve">https://www.cinterfor.org/statsfp</w:t>
        </w:r>
      </w:hyperlink>
    </w:p>
    <w:p>
      <w:pPr>
        <w:numPr>
          <w:ilvl w:val="0"/>
          <w:numId w:val="1019"/>
        </w:numPr>
        <w:pStyle w:val="Compact"/>
      </w:pPr>
      <w:r>
        <w:t xml:space="preserve">CareerOneStop — WIOA-Eligible Training Program Finder</w:t>
      </w:r>
      <w:r>
        <w:br/>
      </w:r>
      <w:hyperlink r:id="rId65">
        <w:hyperlink r:id="rId65">
          <w:r>
            <w:rPr>
              <w:rStyle w:val="Hyperlink"/>
            </w:rPr>
            <w:t xml:space="preserve">Source link</w:t>
          </w:r>
        </w:hyperlink>
      </w:hyperlink>
    </w:p>
    <w:p>
      <w:pPr>
        <w:numPr>
          <w:ilvl w:val="0"/>
          <w:numId w:val="1019"/>
        </w:numPr>
        <w:pStyle w:val="Compact"/>
      </w:pPr>
      <w:r>
        <w:t xml:space="preserve">CareerOneStop — American Job Center Finder</w:t>
      </w:r>
      <w:r>
        <w:br/>
      </w:r>
      <w:hyperlink r:id="rId66">
        <w:hyperlink r:id="rId66">
          <w:r>
            <w:rPr>
              <w:rStyle w:val="Hyperlink"/>
            </w:rPr>
            <w:t xml:space="preserve">Source link</w:t>
          </w:r>
        </w:hyperlink>
      </w:hyperlink>
    </w:p>
    <w:p>
      <w:pPr>
        <w:numPr>
          <w:ilvl w:val="0"/>
          <w:numId w:val="1019"/>
        </w:numPr>
        <w:pStyle w:val="Compact"/>
      </w:pPr>
      <w:r>
        <w:t xml:space="preserve">Apprenticeship.gov — Apprenticeship Finder</w:t>
      </w:r>
      <w:r>
        <w:br/>
      </w:r>
      <w:hyperlink r:id="rId67">
        <w:hyperlink r:id="rId67">
          <w:r>
            <w:rPr>
              <w:rStyle w:val="Hyperlink"/>
            </w:rPr>
            <w:t xml:space="preserve">Source link</w:t>
          </w:r>
        </w:hyperlink>
      </w:hyperlink>
    </w:p>
    <w:bookmarkEnd w:id="68"/>
    <w:bookmarkStart w:id="69" w:name="limite-de-garantia"/>
    <w:p>
      <w:pPr>
        <w:pStyle w:val="Heading2"/>
      </w:pPr>
      <w:r>
        <w:t xml:space="preserve">Limite de garantia</w:t>
      </w:r>
    </w:p>
    <w:p>
      <w:pPr>
        <w:pStyle w:val="FirstParagraph"/>
      </w:pPr>
      <w:r>
        <w:t xml:space="preserve">Este guia é educacional. Não fornece aconselhamento jurídico, clínico, financeiro, sobre subsídios, compras, proteção ou prática profissional. Não garante emprego, salários, financiamento de treinamento, certificação, licença, subsídios, contratos ou promoção. Também não afirma certificação humana independente, certificação profissional de tradução, acreditação, certificação de acessibilidade ou revisão jurídica.</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agenciapublicadeempleo.sena.edu.co/spe-web/spe/demanda/solicitud-sintesis/4052296" TargetMode="External" /><Relationship Type="http://schemas.openxmlformats.org/officeDocument/2006/relationships/hyperlink" Id="rId60" Target="https://betowa.sena.edu.co/oferta/gestion-comunitaria-del-riesgo-de-desastres?level=2&amp;modality=P&amp;offertype=company&amp;programId=177814" TargetMode="External" /><Relationship Type="http://schemas.openxmlformats.org/officeDocument/2006/relationships/hyperlink" Id="rId61" Target="https://betowa.sena.edu.co/oferta/organizacion-comunitaria-sostenible?offertype=company&amp;programId=98528" TargetMode="External" /><Relationship Type="http://schemas.openxmlformats.org/officeDocument/2006/relationships/hyperlink" Id="rId63" Target="https://normograma.sena.edu.co/compilacion/docs/circular_sena_0287_2025.htm" TargetMode="External" /><Relationship Type="http://schemas.openxmlformats.org/officeDocument/2006/relationships/hyperlink" Id="rId67" Target="https://www.apprenticeship.gov/finder/listings" TargetMode="External" /><Relationship Type="http://schemas.openxmlformats.org/officeDocument/2006/relationships/hyperlink" Id="rId66" Target="https://www.careeronestop.org/LocalHelp/AmericanJobCenters/american-job-centers.aspx" TargetMode="External" /><Relationship Type="http://schemas.openxmlformats.org/officeDocument/2006/relationships/hyperlink" Id="rId65" Target="https://www.careeronestop.org/LocalHelp/EmploymentAndTraining/find-WIOA-training-programs.aspx" TargetMode="External" /><Relationship Type="http://schemas.openxmlformats.org/officeDocument/2006/relationships/hyperlink" Id="rId64" Target="https://www.cinterfor.org/statsfp" TargetMode="External" /><Relationship Type="http://schemas.openxmlformats.org/officeDocument/2006/relationships/hyperlink" Id="rId56" Target="https://www.indeed.com/q-community-programs-coordinator-jobs.html" TargetMode="External" /><Relationship Type="http://schemas.openxmlformats.org/officeDocument/2006/relationships/hyperlink" Id="rId58" Target="https://www.jobbank.gc.ca/marketreport/requirements/1797/ca" TargetMode="External" /><Relationship Type="http://schemas.openxmlformats.org/officeDocument/2006/relationships/hyperlink" Id="rId57" Target="https://www.jobbank.gc.ca/marketreport/summary-occupation/1813/ca" TargetMode="External" /><Relationship Type="http://schemas.openxmlformats.org/officeDocument/2006/relationships/hyperlink" Id="rId59" Target="https://www.on.jobbank.gc.ca/wagereport/occupation/1813" TargetMode="External" /><Relationship Type="http://schemas.openxmlformats.org/officeDocument/2006/relationships/hyperlink" Id="rId52" Target="https://www.onetonline.org/link/details/11-9151.00" TargetMode="External" /><Relationship Type="http://schemas.openxmlformats.org/officeDocument/2006/relationships/hyperlink" Id="rId53" Target="https://www.onetonline.org/link/summary/11-9151.00" TargetMode="External" /><Relationship Type="http://schemas.openxmlformats.org/officeDocument/2006/relationships/hyperlink" Id="rId54" Target="https://www.salary.com/research/salary/recruiting/community-program-coordinator-salary" TargetMode="External" /><Relationship Type="http://schemas.openxmlformats.org/officeDocument/2006/relationships/hyperlink" Id="rId55" Target="https://www.ziprecruiter.com/Salaries/Community-Program-Coordinator-Salary" TargetMode="External" /></Relationships>
</file>

<file path=word/_rels/footnotes.xml.rels><?xml version="1.0" encoding="UTF-8"?><Relationships xmlns="http://schemas.openxmlformats.org/package/2006/relationships"><Relationship Type="http://schemas.openxmlformats.org/officeDocument/2006/relationships/hyperlink" Id="rId62" Target="https://agenciapublicadeempleo.sena.edu.co/spe-web/spe/demanda/solicitud-sintesis/4052296" TargetMode="External" /><Relationship Type="http://schemas.openxmlformats.org/officeDocument/2006/relationships/hyperlink" Id="rId60" Target="https://betowa.sena.edu.co/oferta/gestion-comunitaria-del-riesgo-de-desastres?level=2&amp;modality=P&amp;offertype=company&amp;programId=177814" TargetMode="External" /><Relationship Type="http://schemas.openxmlformats.org/officeDocument/2006/relationships/hyperlink" Id="rId61" Target="https://betowa.sena.edu.co/oferta/organizacion-comunitaria-sostenible?offertype=company&amp;programId=98528" TargetMode="External" /><Relationship Type="http://schemas.openxmlformats.org/officeDocument/2006/relationships/hyperlink" Id="rId63" Target="https://normograma.sena.edu.co/compilacion/docs/circular_sena_0287_2025.htm" TargetMode="External" /><Relationship Type="http://schemas.openxmlformats.org/officeDocument/2006/relationships/hyperlink" Id="rId67" Target="https://www.apprenticeship.gov/finder/listings" TargetMode="External" /><Relationship Type="http://schemas.openxmlformats.org/officeDocument/2006/relationships/hyperlink" Id="rId66" Target="https://www.careeronestop.org/LocalHelp/AmericanJobCenters/american-job-centers.aspx" TargetMode="External" /><Relationship Type="http://schemas.openxmlformats.org/officeDocument/2006/relationships/hyperlink" Id="rId65" Target="https://www.careeronestop.org/LocalHelp/EmploymentAndTraining/find-WIOA-training-programs.aspx" TargetMode="External" /><Relationship Type="http://schemas.openxmlformats.org/officeDocument/2006/relationships/hyperlink" Id="rId64" Target="https://www.cinterfor.org/statsfp" TargetMode="External" /><Relationship Type="http://schemas.openxmlformats.org/officeDocument/2006/relationships/hyperlink" Id="rId56" Target="https://www.indeed.com/q-community-programs-coordinator-jobs.html" TargetMode="External" /><Relationship Type="http://schemas.openxmlformats.org/officeDocument/2006/relationships/hyperlink" Id="rId58" Target="https://www.jobbank.gc.ca/marketreport/requirements/1797/ca" TargetMode="External" /><Relationship Type="http://schemas.openxmlformats.org/officeDocument/2006/relationships/hyperlink" Id="rId57" Target="https://www.jobbank.gc.ca/marketreport/summary-occupation/1813/ca" TargetMode="External" /><Relationship Type="http://schemas.openxmlformats.org/officeDocument/2006/relationships/hyperlink" Id="rId59" Target="https://www.on.jobbank.gc.ca/wagereport/occupation/1813" TargetMode="External" /><Relationship Type="http://schemas.openxmlformats.org/officeDocument/2006/relationships/hyperlink" Id="rId52" Target="https://www.onetonline.org/link/details/11-9151.00" TargetMode="External" /><Relationship Type="http://schemas.openxmlformats.org/officeDocument/2006/relationships/hyperlink" Id="rId53" Target="https://www.onetonline.org/link/summary/11-9151.00" TargetMode="External" /><Relationship Type="http://schemas.openxmlformats.org/officeDocument/2006/relationships/hyperlink" Id="rId54" Target="https://www.salary.com/research/salary/recruiting/community-program-coordinator-salary" TargetMode="External" /><Relationship Type="http://schemas.openxmlformats.org/officeDocument/2006/relationships/hyperlink" Id="rId55" Target="https://www.ziprecruiter.com/Salaries/Community-Program-Coordinato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2026-08-20T21:58:18Z</dcterms:created>
  <dcterms:modified xsi:type="dcterms:W3CDTF">2026-08-20T21:58:18Z</dcterms:modified>
</cp:coreProperties>
</file>

<file path=docProps/custom.xml><?xml version="1.0" encoding="utf-8"?>
<Properties xmlns="http://schemas.openxmlformats.org/officeDocument/2006/custom-properties" xmlns:vt="http://schemas.openxmlformats.org/officeDocument/2006/docPropsVTypes"/>
</file>