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62ead4e602e31ccdf351bb85dcb639dbcc795cf"/>
    <w:p>
      <w:pPr>
        <w:pStyle w:val="Heading1"/>
      </w:pPr>
      <w:r>
        <w:t xml:space="preserve">Guía 64 — Coordinador/a de Programas de Servicio Comunitario</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20 de agosto de 2026</w:t>
      </w:r>
      <w:r>
        <w:br/>
      </w:r>
      <w:r>
        <w:rPr>
          <w:bCs/>
          <w:b/>
        </w:rPr>
        <w:t xml:space="preserve">Licencia:</w:t>
      </w:r>
      <w:r>
        <w:t xml:space="preserve"> </w:t>
      </w:r>
      <w:r>
        <w:t xml:space="preserve">CC BY-NC-SA 4.0</w:t>
      </w:r>
    </w:p>
    <w:bookmarkStart w:id="20" w:name="en-qué-consiste-este-trabajo"/>
    <w:p>
      <w:pPr>
        <w:pStyle w:val="Heading2"/>
      </w:pPr>
      <w:r>
        <w:t xml:space="preserve">En qué consiste este trabajo</w:t>
      </w:r>
    </w:p>
    <w:p>
      <w:pPr>
        <w:pStyle w:val="FirstParagraph"/>
      </w:pPr>
      <w:r>
        <w:t xml:space="preserve">Los coordinadores y las coordinadoras de programas de servicio comunitario ayudan a organizar, prestar, documentar y mejorar programas que atienden a comunidades. Según el empleador, el trabajo puede incluir actividades de alcance comunitario, eventos, coordinación de voluntariado, referencias a servicios, comunicación con socios, programación, registros, seguimiento de actividades financiadas por subvenciones, métricas del programa, apoyo a compras, comunicaciones con participantes, planificación de accesibilidad e informes rutinarios.</w:t>
      </w:r>
    </w:p>
    <w:p>
      <w:pPr>
        <w:pStyle w:val="BodyText"/>
      </w:pPr>
      <w:r>
        <w:t xml:space="preserve">El título no está estandarizado. En una organización, una persona coordinadora puede desempeñar una función administrativa de programa de nivel inicial a intermedio; en otra, puede supervisar personal, administrar un presupuesto o trabajar cerca del nivel de gerente de programa. Compare siempre las funciones reales, la autoridad para tomar decisiones, los requisitos educativos, las responsabilidades de supervisión, el control presupuestario y las obligaciones legales, en lugar de basarse únicamente en el título.</w:t>
      </w:r>
    </w:p>
    <w:p>
      <w:pPr>
        <w:pStyle w:val="BodyText"/>
      </w:pPr>
      <w:r>
        <w:t xml:space="preserve">En Estados Unidos, el punto de referencia oficial amplio de gestión más cercano es</w:t>
      </w:r>
      <w:r>
        <w:t xml:space="preserve"> </w:t>
      </w:r>
      <w:r>
        <w:rPr>
          <w:bCs/>
          <w:b/>
        </w:rPr>
        <w:t xml:space="preserve">O*NET-SOC 11-9151.00 — Social and Community Service Managers</w:t>
      </w:r>
      <w:r>
        <w:t xml:space="preserve">, porque esa ocupación incluye planificar, dirigir o coordinar programas de servicios sociales y organizaciones de alcance comunitario. Sin embargo, muchos puestos de coordinación tienen menos autoridad que esa ocupación gerencial.</w:t>
      </w:r>
    </w:p>
    <w:p>
      <w:pPr>
        <w:pStyle w:val="BodyText"/>
      </w:pPr>
      <w:r>
        <w:t xml:space="preserve">En Canadá, la comparación amplia de gestión más cercana es</w:t>
      </w:r>
      <w:r>
        <w:t xml:space="preserve"> </w:t>
      </w:r>
      <w:r>
        <w:rPr>
          <w:bCs/>
          <w:b/>
        </w:rPr>
        <w:t xml:space="preserve">NOC 40030 — Managers in social, community and correctional services</w:t>
      </w:r>
      <w:r>
        <w:t xml:space="preserve">. Un título de coordinador no convierte automáticamente el puesto en una función gerencial NOC 40030.</w:t>
      </w:r>
    </w:p>
    <w:p>
      <w:pPr>
        <w:pStyle w:val="BodyText"/>
      </w:pPr>
      <w:r>
        <w:t xml:space="preserve">En Colombia, la evidencia actual del SENA respalda trayectorias relacionadas con programas comunitarios, alcance, participación y desarrollo local, pero no se identificó una sola ocupación nacional ni una correspondencia salarial que haga que cada puesto de Coordinador/a de Programas de Servicio Comunitario sea equivalente a las clasificaciones gerenciales de Estados Unidos o Canadá.</w:t>
      </w:r>
    </w:p>
    <w:bookmarkEnd w:id="20"/>
    <w:bookmarkStart w:id="21" w:name="funciones-típicas"/>
    <w:p>
      <w:pPr>
        <w:pStyle w:val="Heading2"/>
      </w:pPr>
      <w:r>
        <w:t xml:space="preserve">Funciones típicas</w:t>
      </w:r>
    </w:p>
    <w:p>
      <w:pPr>
        <w:pStyle w:val="FirstParagraph"/>
      </w:pPr>
      <w:r>
        <w:t xml:space="preserve">Según el programa y el alcance autorizado de su función, las tareas pueden incluir:</w:t>
      </w:r>
    </w:p>
    <w:p>
      <w:pPr>
        <w:numPr>
          <w:ilvl w:val="0"/>
          <w:numId w:val="1001"/>
        </w:numPr>
        <w:pStyle w:val="Compact"/>
      </w:pPr>
      <w:r>
        <w:t xml:space="preserve">coordinar calendarios, talleres, actividades de alcance, reuniones, eventos o cronogramas de prestación de servicios;</w:t>
      </w:r>
    </w:p>
    <w:p>
      <w:pPr>
        <w:numPr>
          <w:ilvl w:val="0"/>
          <w:numId w:val="1001"/>
        </w:numPr>
        <w:pStyle w:val="Compact"/>
      </w:pPr>
      <w:r>
        <w:t xml:space="preserve">comunicarse con participantes, voluntarios, socios comunitarios, proveedores, escuelas, organismos públicos, organizaciones sin fines de lucro, financiadores o equipos internos;</w:t>
      </w:r>
    </w:p>
    <w:p>
      <w:pPr>
        <w:numPr>
          <w:ilvl w:val="0"/>
          <w:numId w:val="1001"/>
        </w:numPr>
        <w:pStyle w:val="Compact"/>
      </w:pPr>
      <w:r>
        <w:t xml:space="preserve">preparar informes rutinarios, registros de asistencia, resúmenes de participación, bitácoras de actividades, notas de reuniones y métricas del programa;</w:t>
      </w:r>
    </w:p>
    <w:p>
      <w:pPr>
        <w:numPr>
          <w:ilvl w:val="0"/>
          <w:numId w:val="1001"/>
        </w:numPr>
        <w:pStyle w:val="Compact"/>
      </w:pPr>
      <w:r>
        <w:t xml:space="preserve">mantener archivos de participantes, voluntarios, proveedores, subvenciones o programas de acuerdo con las normas de privacidad y conservación;</w:t>
      </w:r>
    </w:p>
    <w:p>
      <w:pPr>
        <w:numPr>
          <w:ilvl w:val="0"/>
          <w:numId w:val="1001"/>
        </w:numPr>
        <w:pStyle w:val="Compact"/>
      </w:pPr>
      <w:r>
        <w:t xml:space="preserve">ayudar a organizar información de referencias y directorios de recursos comunitarios;</w:t>
      </w:r>
    </w:p>
    <w:p>
      <w:pPr>
        <w:numPr>
          <w:ilvl w:val="0"/>
          <w:numId w:val="1001"/>
        </w:numPr>
        <w:pStyle w:val="Compact"/>
      </w:pPr>
      <w:r>
        <w:t xml:space="preserve">apoyar el reclutamiento, incorporación, programación, comunicación y reconocimiento de voluntarios;</w:t>
      </w:r>
    </w:p>
    <w:p>
      <w:pPr>
        <w:numPr>
          <w:ilvl w:val="0"/>
          <w:numId w:val="1001"/>
        </w:numPr>
        <w:pStyle w:val="Compact"/>
      </w:pPr>
      <w:r>
        <w:t xml:space="preserve">dar seguimiento a plazos, entregables, solicitudes de compra, facturas, suministros y gastos aprobados;</w:t>
      </w:r>
    </w:p>
    <w:p>
      <w:pPr>
        <w:numPr>
          <w:ilvl w:val="0"/>
          <w:numId w:val="1001"/>
        </w:numPr>
        <w:pStyle w:val="Compact"/>
      </w:pPr>
      <w:r>
        <w:t xml:space="preserve">ayudar a monitorear actividades financiadas por subvenciones frente a los planes de trabajo aprobados, sin modificar presupuestos restringidos salvo autorización formal;</w:t>
      </w:r>
    </w:p>
    <w:p>
      <w:pPr>
        <w:numPr>
          <w:ilvl w:val="0"/>
          <w:numId w:val="1001"/>
        </w:numPr>
        <w:pStyle w:val="Compact"/>
      </w:pPr>
      <w:r>
        <w:t xml:space="preserve">recopilar comentarios y ayudar a identificar mejoras operativas;</w:t>
      </w:r>
    </w:p>
    <w:p>
      <w:pPr>
        <w:numPr>
          <w:ilvl w:val="0"/>
          <w:numId w:val="1001"/>
        </w:numPr>
        <w:pStyle w:val="Compact"/>
      </w:pPr>
      <w:r>
        <w:t xml:space="preserve">apoyar eventos, formularios, comunicaciones y servicios digitales accesibles;</w:t>
      </w:r>
    </w:p>
    <w:p>
      <w:pPr>
        <w:numPr>
          <w:ilvl w:val="0"/>
          <w:numId w:val="1001"/>
        </w:numPr>
        <w:pStyle w:val="Compact"/>
      </w:pPr>
      <w:r>
        <w:t xml:space="preserve">preparar borradores de comunicaciones, presentaciones, agendas, listas de verificación y materiales de alcance;</w:t>
      </w:r>
    </w:p>
    <w:p>
      <w:pPr>
        <w:numPr>
          <w:ilvl w:val="0"/>
          <w:numId w:val="1001"/>
        </w:numPr>
        <w:pStyle w:val="Compact"/>
      </w:pPr>
      <w:r>
        <w:t xml:space="preserve">coordinar logística con instalaciones, transporte, intérpretes, proveedores de accesibilidad o socios externos;</w:t>
      </w:r>
    </w:p>
    <w:p>
      <w:pPr>
        <w:numPr>
          <w:ilvl w:val="0"/>
          <w:numId w:val="1001"/>
        </w:numPr>
        <w:pStyle w:val="Compact"/>
      </w:pPr>
      <w:r>
        <w:t xml:space="preserve">escalar inquietudes de protección, privacidad, finanzas, ciberseguridad, asuntos legales u operación por los canales aprobados; y</w:t>
      </w:r>
    </w:p>
    <w:p>
      <w:pPr>
        <w:numPr>
          <w:ilvl w:val="0"/>
          <w:numId w:val="1001"/>
        </w:numPr>
        <w:pStyle w:val="Compact"/>
      </w:pPr>
      <w:r>
        <w:t xml:space="preserve">apoyar a gerentes de programa, directores, profesionales de servicios sociales, líderes comunitarios o funcionarios públicos sin presentarse como titular de una autoridad que no posee.</w:t>
      </w:r>
    </w:p>
    <w:bookmarkEnd w:id="21"/>
    <w:bookmarkStart w:id="22" w:name="X53e94c86bbf251e129855ca91a8b4b3d622cb67"/>
    <w:p>
      <w:pPr>
        <w:pStyle w:val="Heading2"/>
      </w:pPr>
      <w:r>
        <w:t xml:space="preserve">Lo que no debe presentarse como parte automática de esta función</w:t>
      </w:r>
    </w:p>
    <w:p>
      <w:pPr>
        <w:pStyle w:val="FirstParagraph"/>
      </w:pPr>
      <w:r>
        <w:t xml:space="preserve">Un título de coordinador no le autoriza automáticamente a:</w:t>
      </w:r>
    </w:p>
    <w:p>
      <w:pPr>
        <w:numPr>
          <w:ilvl w:val="0"/>
          <w:numId w:val="1002"/>
        </w:numPr>
        <w:pStyle w:val="Compact"/>
      </w:pPr>
      <w:r>
        <w:t xml:space="preserve">ejercer trabajo social licenciado, psicoterapia, medicina, enfermería, derecho, contabilidad u otra profesión regulada;</w:t>
      </w:r>
    </w:p>
    <w:p>
      <w:pPr>
        <w:numPr>
          <w:ilvl w:val="0"/>
          <w:numId w:val="1002"/>
        </w:numPr>
        <w:pStyle w:val="Compact"/>
      </w:pPr>
      <w:r>
        <w:t xml:space="preserve">diagnosticar condiciones o proporcionar tratamiento clínico;</w:t>
      </w:r>
    </w:p>
    <w:p>
      <w:pPr>
        <w:numPr>
          <w:ilvl w:val="0"/>
          <w:numId w:val="1002"/>
        </w:numPr>
        <w:pStyle w:val="Compact"/>
      </w:pPr>
      <w:r>
        <w:t xml:space="preserve">tomar decisiones de elegibilidad para beneficios gubernamentales, salvo que esa autoridad haya sido asignada formalmente;</w:t>
      </w:r>
    </w:p>
    <w:p>
      <w:pPr>
        <w:numPr>
          <w:ilvl w:val="0"/>
          <w:numId w:val="1002"/>
        </w:numPr>
        <w:pStyle w:val="Compact"/>
      </w:pPr>
      <w:r>
        <w:t xml:space="preserve">prometer vivienda, financiamiento, tratamiento, resultados migratorios, beneficios públicos, subvenciones, becas o empleo;</w:t>
      </w:r>
    </w:p>
    <w:p>
      <w:pPr>
        <w:numPr>
          <w:ilvl w:val="0"/>
          <w:numId w:val="1002"/>
        </w:numPr>
        <w:pStyle w:val="Compact"/>
      </w:pPr>
      <w:r>
        <w:t xml:space="preserve">aprobar subvenciones, firmar contratos, obligar jurídicamente a la organización, autorizar compras, mover fondos restringidos o cambiar presupuestos de subvenciones, salvo delegación formal;</w:t>
      </w:r>
    </w:p>
    <w:p>
      <w:pPr>
        <w:numPr>
          <w:ilvl w:val="0"/>
          <w:numId w:val="1002"/>
        </w:numPr>
        <w:pStyle w:val="Compact"/>
      </w:pPr>
      <w:r>
        <w:t xml:space="preserve">omitir controles de compras, finanzas, privacidad, protección, asuntos legales o ciberseguridad;</w:t>
      </w:r>
    </w:p>
    <w:p>
      <w:pPr>
        <w:numPr>
          <w:ilvl w:val="0"/>
          <w:numId w:val="1002"/>
        </w:numPr>
        <w:pStyle w:val="Compact"/>
      </w:pPr>
      <w:r>
        <w:t xml:space="preserve">tomar decisiones de emergencia o protección fuera de la política y la ley aplicable;</w:t>
      </w:r>
    </w:p>
    <w:p>
      <w:pPr>
        <w:numPr>
          <w:ilvl w:val="0"/>
          <w:numId w:val="1002"/>
        </w:numPr>
        <w:pStyle w:val="Compact"/>
      </w:pPr>
      <w:r>
        <w:t xml:space="preserve">acceder a registros de participantes, donantes, empleados, solicitantes, voluntarios o beneficiarios sin una necesidad legítima basada en su función; o</w:t>
      </w:r>
    </w:p>
    <w:p>
      <w:pPr>
        <w:numPr>
          <w:ilvl w:val="0"/>
          <w:numId w:val="1002"/>
        </w:numPr>
        <w:pStyle w:val="Compact"/>
      </w:pPr>
      <w:r>
        <w:t xml:space="preserve">presentar un borrador, una salida de IA, una nota interna o un dato preliminar como una decisión organizacional aprobada.</w:t>
      </w:r>
    </w:p>
    <w:p>
      <w:pPr>
        <w:pStyle w:val="FirstParagraph"/>
      </w:pPr>
      <w:r>
        <w:t xml:space="preserve">Cuando la autoridad no esté clara, deténgase y consulte a la persona gerente responsable o al profesional designado.</w:t>
      </w:r>
    </w:p>
    <w:bookmarkEnd w:id="22"/>
    <w:bookmarkStart w:id="23" w:name="entorno-de-trabajo"/>
    <w:p>
      <w:pPr>
        <w:pStyle w:val="Heading2"/>
      </w:pPr>
      <w:r>
        <w:t xml:space="preserve">Entorno de trabajo</w:t>
      </w:r>
    </w:p>
    <w:p>
      <w:pPr>
        <w:pStyle w:val="FirstParagraph"/>
      </w:pPr>
      <w:r>
        <w:t xml:space="preserve">La coordinación de servicios comunitarios aparece en organizaciones sin fines de lucro, fundaciones, escuelas, universidades, organizaciones de salud, gobiernos locales, organismos públicos, organizaciones religiosas, entidades benéficas, organizaciones de servicios para personas con discapacidad, programas juveniles, servicios para personas mayores, programas ambientales, iniciativas de vivienda, programas de empleo y fuerza laboral, programas de preparación para emergencias, organizaciones culturales y otros entornos orientados a la comunidad.</w:t>
      </w:r>
    </w:p>
    <w:p>
      <w:pPr>
        <w:pStyle w:val="BodyText"/>
      </w:pPr>
      <w:r>
        <w:t xml:space="preserve">El trabajo puede incluir tareas de oficina, coordinación remota, eventos comunitarios, visitas a sitios, actividades nocturnas o de fin de semana, comunicación con el público e informes con plazos exigentes. Algunas funciones implican situaciones emocionalmente difíciles o contacto con personas que enfrentan pobreza, discapacidad, inestabilidad de vivienda, estrés familiar, enfermedad, desempleo, discriminación, efectos de desastres u otros desafíos graves.</w:t>
      </w:r>
    </w:p>
    <w:bookmarkEnd w:id="23"/>
    <w:bookmarkStart w:id="24" w:name="X666864e509bf1ba73b30353b8fe68bc518859d0"/>
    <w:p>
      <w:pPr>
        <w:pStyle w:val="Heading2"/>
      </w:pPr>
      <w:r>
        <w:t xml:space="preserve">Habilidades que pueden valorar los empleadores</w:t>
      </w:r>
    </w:p>
    <w:p>
      <w:pPr>
        <w:pStyle w:val="FirstParagraph"/>
      </w:pPr>
      <w:r>
        <w:t xml:space="preserve">Entre las habilidades comúnmente útiles se incluyen:</w:t>
      </w:r>
    </w:p>
    <w:p>
      <w:pPr>
        <w:numPr>
          <w:ilvl w:val="0"/>
          <w:numId w:val="1003"/>
        </w:numPr>
        <w:pStyle w:val="Compact"/>
      </w:pPr>
      <w:r>
        <w:t xml:space="preserve">organización y seguimiento hasta completar tareas;</w:t>
      </w:r>
    </w:p>
    <w:p>
      <w:pPr>
        <w:numPr>
          <w:ilvl w:val="0"/>
          <w:numId w:val="1003"/>
        </w:numPr>
        <w:pStyle w:val="Compact"/>
      </w:pPr>
      <w:r>
        <w:t xml:space="preserve">comunicación escrita y verbal clara;</w:t>
      </w:r>
    </w:p>
    <w:p>
      <w:pPr>
        <w:numPr>
          <w:ilvl w:val="0"/>
          <w:numId w:val="1003"/>
        </w:numPr>
        <w:pStyle w:val="Compact"/>
      </w:pPr>
      <w:r>
        <w:t xml:space="preserve">coordinación de calendarios, eventos y logística;</w:t>
      </w:r>
    </w:p>
    <w:p>
      <w:pPr>
        <w:numPr>
          <w:ilvl w:val="0"/>
          <w:numId w:val="1003"/>
        </w:numPr>
        <w:pStyle w:val="Compact"/>
      </w:pPr>
      <w:r>
        <w:t xml:space="preserve">mantenimiento preciso de registros;</w:t>
      </w:r>
    </w:p>
    <w:p>
      <w:pPr>
        <w:numPr>
          <w:ilvl w:val="0"/>
          <w:numId w:val="1003"/>
        </w:numPr>
        <w:pStyle w:val="Compact"/>
      </w:pPr>
      <w:r>
        <w:t xml:space="preserve">manejo de hojas de cálculo y documentos;</w:t>
      </w:r>
    </w:p>
    <w:p>
      <w:pPr>
        <w:numPr>
          <w:ilvl w:val="0"/>
          <w:numId w:val="1003"/>
        </w:numPr>
        <w:pStyle w:val="Compact"/>
      </w:pPr>
      <w:r>
        <w:t xml:space="preserve">presupuestación básica y seguimiento de gastos;</w:t>
      </w:r>
    </w:p>
    <w:p>
      <w:pPr>
        <w:numPr>
          <w:ilvl w:val="0"/>
          <w:numId w:val="1003"/>
        </w:numPr>
        <w:pStyle w:val="Compact"/>
      </w:pPr>
      <w:r>
        <w:t xml:space="preserve">seguimiento de proyectos y tareas;</w:t>
      </w:r>
    </w:p>
    <w:p>
      <w:pPr>
        <w:numPr>
          <w:ilvl w:val="0"/>
          <w:numId w:val="1003"/>
        </w:numPr>
        <w:pStyle w:val="Compact"/>
      </w:pPr>
      <w:r>
        <w:t xml:space="preserve">coordinación de voluntariado;</w:t>
      </w:r>
    </w:p>
    <w:p>
      <w:pPr>
        <w:numPr>
          <w:ilvl w:val="0"/>
          <w:numId w:val="1003"/>
        </w:numPr>
        <w:pStyle w:val="Compact"/>
      </w:pPr>
      <w:r>
        <w:t xml:space="preserve">comunicación pública y comunitaria;</w:t>
      </w:r>
    </w:p>
    <w:p>
      <w:pPr>
        <w:numPr>
          <w:ilvl w:val="0"/>
          <w:numId w:val="1003"/>
        </w:numPr>
        <w:pStyle w:val="Compact"/>
      </w:pPr>
      <w:r>
        <w:t xml:space="preserve">servicio respetuoso a poblaciones diversas;</w:t>
      </w:r>
    </w:p>
    <w:p>
      <w:pPr>
        <w:numPr>
          <w:ilvl w:val="0"/>
          <w:numId w:val="1003"/>
        </w:numPr>
        <w:pStyle w:val="Compact"/>
      </w:pPr>
      <w:r>
        <w:t xml:space="preserve">conciencia sobre accesibilidad;</w:t>
      </w:r>
    </w:p>
    <w:p>
      <w:pPr>
        <w:numPr>
          <w:ilvl w:val="0"/>
          <w:numId w:val="1003"/>
        </w:numPr>
        <w:pStyle w:val="Compact"/>
      </w:pPr>
      <w:r>
        <w:t xml:space="preserve">privacidad y confidencialidad;</w:t>
      </w:r>
    </w:p>
    <w:p>
      <w:pPr>
        <w:numPr>
          <w:ilvl w:val="0"/>
          <w:numId w:val="1003"/>
        </w:numPr>
        <w:pStyle w:val="Compact"/>
      </w:pPr>
      <w:r>
        <w:t xml:space="preserve">desescalamiento de conflictos y límites profesionales;</w:t>
      </w:r>
    </w:p>
    <w:p>
      <w:pPr>
        <w:numPr>
          <w:ilvl w:val="0"/>
          <w:numId w:val="1003"/>
        </w:numPr>
        <w:pStyle w:val="Compact"/>
      </w:pPr>
      <w:r>
        <w:t xml:space="preserve">calidad de datos y métricas rutinarias;</w:t>
      </w:r>
    </w:p>
    <w:p>
      <w:pPr>
        <w:numPr>
          <w:ilvl w:val="0"/>
          <w:numId w:val="1003"/>
        </w:numPr>
        <w:pStyle w:val="Compact"/>
      </w:pPr>
      <w:r>
        <w:t xml:space="preserve">coordinación con socios y partes interesadas;</w:t>
      </w:r>
    </w:p>
    <w:p>
      <w:pPr>
        <w:numPr>
          <w:ilvl w:val="0"/>
          <w:numId w:val="1003"/>
        </w:numPr>
        <w:pStyle w:val="Compact"/>
      </w:pPr>
      <w:r>
        <w:t xml:space="preserve">hábitos básicos de ciberseguridad; y</w:t>
      </w:r>
    </w:p>
    <w:p>
      <w:pPr>
        <w:numPr>
          <w:ilvl w:val="0"/>
          <w:numId w:val="1003"/>
        </w:numPr>
        <w:pStyle w:val="Compact"/>
      </w:pPr>
      <w:r>
        <w:t xml:space="preserve">criterio para saber cuándo escalar una situación en vez de improvisar.</w:t>
      </w:r>
    </w:p>
    <w:p>
      <w:pPr>
        <w:pStyle w:val="FirstParagraph"/>
      </w:pPr>
      <w:r>
        <w:t xml:space="preserve">La capacidad bilingüe o multilingüe puede ser valiosa en algunas comunidades, pero no afirme credenciales profesionales de interpretación o traducción que no posea.</w:t>
      </w:r>
    </w:p>
    <w:bookmarkEnd w:id="24"/>
    <w:bookmarkStart w:id="29" w:name="educación-y-vías-de-entrada"/>
    <w:p>
      <w:pPr>
        <w:pStyle w:val="Heading2"/>
      </w:pPr>
      <w:r>
        <w:t xml:space="preserve">Educación y vías de entrada</w:t>
      </w:r>
    </w:p>
    <w:bookmarkStart w:id="25" w:name="estados-unidos"/>
    <w:p>
      <w:pPr>
        <w:pStyle w:val="Heading3"/>
      </w:pPr>
      <w:r>
        <w:t xml:space="preserve">Estados Unidos</w:t>
      </w:r>
    </w:p>
    <w:p>
      <w:pPr>
        <w:pStyle w:val="FirstParagraph"/>
      </w:pPr>
      <w:r>
        <w:t xml:space="preserve">Para la ocupación más amplia de</w:t>
      </w:r>
      <w:r>
        <w:t xml:space="preserve"> </w:t>
      </w:r>
      <w:r>
        <w:rPr>
          <w:bCs/>
          <w:b/>
        </w:rPr>
        <w:t xml:space="preserve">Social and Community Service Managers</w:t>
      </w:r>
      <w:r>
        <w:t xml:space="preserve">, O*NET ubica la función en</w:t>
      </w:r>
      <w:r>
        <w:t xml:space="preserve"> </w:t>
      </w:r>
      <w:r>
        <w:rPr>
          <w:bCs/>
          <w:b/>
        </w:rPr>
        <w:t xml:space="preserve">Job Zone Four — Considerable Preparation Needed</w:t>
      </w:r>
      <w:r>
        <w:t xml:space="preserve"> </w:t>
      </w:r>
      <w:r>
        <w:t xml:space="preserve">e indica que muchas ocupaciones de esta zona requieren una licenciatura universitaria de cuatro años, aunque algunas no. También suele esperarse experiencia relacionada considerable.</w:t>
      </w:r>
    </w:p>
    <w:p>
      <w:pPr>
        <w:pStyle w:val="BodyText"/>
      </w:pPr>
      <w:r>
        <w:t xml:space="preserve">Los puestos de coordinación pueden exigir menos que el punto de referencia gerencial. Algunos empleadores pueden aceptar un título de asociado, experiencia comunitaria relevante, experiencia administrativa, liderazgo voluntario, experiencia de apoyo a programas o una combinación de educación y experiencia. Otros pueden exigir una licenciatura en administración pública, ciencias sociales, gestión de organizaciones sin fines de lucro, desarrollo comunitario, educación, salud pública, comunicaciones, negocios o un campo relacionado.</w:t>
      </w:r>
    </w:p>
    <w:p>
      <w:pPr>
        <w:pStyle w:val="BodyText"/>
      </w:pPr>
      <w:r>
        <w:t xml:space="preserve">Una secuencia práctica de entrada es:</w:t>
      </w:r>
    </w:p>
    <w:p>
      <w:pPr>
        <w:numPr>
          <w:ilvl w:val="0"/>
          <w:numId w:val="1004"/>
        </w:numPr>
        <w:pStyle w:val="Compact"/>
      </w:pPr>
      <w:r>
        <w:t xml:space="preserve">Revise entre 15 y 20 vacantes actuales de coordinación en su zona objetivo.</w:t>
      </w:r>
    </w:p>
    <w:p>
      <w:pPr>
        <w:numPr>
          <w:ilvl w:val="0"/>
          <w:numId w:val="1004"/>
        </w:numPr>
        <w:pStyle w:val="Compact"/>
      </w:pPr>
      <w:r>
        <w:t xml:space="preserve">Registre los requisitos que se repiten sobre educación, conducción, verificaciones de antecedentes, horario, idiomas, software, informes, exposición a subvenciones, gestión de voluntarios y experiencia comunitaria.</w:t>
      </w:r>
    </w:p>
    <w:p>
      <w:pPr>
        <w:numPr>
          <w:ilvl w:val="0"/>
          <w:numId w:val="1004"/>
        </w:numPr>
        <w:pStyle w:val="Compact"/>
      </w:pPr>
      <w:r>
        <w:t xml:space="preserve">Separe los requisitos reales de las preferencias.</w:t>
      </w:r>
    </w:p>
    <w:p>
      <w:pPr>
        <w:numPr>
          <w:ilvl w:val="0"/>
          <w:numId w:val="1004"/>
        </w:numPr>
        <w:pStyle w:val="Compact"/>
      </w:pPr>
      <w:r>
        <w:t xml:space="preserve">Desarrolle experiencia transferible mediante asistencia a programas, apoyo administrativo, voluntariado, alcance, servicio al cliente, eventos, organizaciones comunitarias, escuelas, administración sanitaria, programas de empleo o servicio público.</w:t>
      </w:r>
    </w:p>
    <w:p>
      <w:pPr>
        <w:numPr>
          <w:ilvl w:val="0"/>
          <w:numId w:val="1004"/>
        </w:numPr>
        <w:pStyle w:val="Compact"/>
      </w:pPr>
      <w:r>
        <w:t xml:space="preserve">Use capacitación gratuita o de bajo costo para cerrar brechas específicas antes de pagar por un certificado privado amplio.</w:t>
      </w:r>
    </w:p>
    <w:p>
      <w:pPr>
        <w:numPr>
          <w:ilvl w:val="0"/>
          <w:numId w:val="1004"/>
        </w:numPr>
        <w:pStyle w:val="Compact"/>
      </w:pPr>
      <w:r>
        <w:t xml:space="preserve">Solicite puestos cuya autoridad y requisitos reales coincidan con la evidencia de su experiencia.</w:t>
      </w:r>
    </w:p>
    <w:bookmarkEnd w:id="25"/>
    <w:bookmarkStart w:id="26" w:name="canadá"/>
    <w:p>
      <w:pPr>
        <w:pStyle w:val="Heading3"/>
      </w:pPr>
      <w:r>
        <w:t xml:space="preserve">Canadá</w:t>
      </w:r>
    </w:p>
    <w:p>
      <w:pPr>
        <w:pStyle w:val="FirstParagraph"/>
      </w:pPr>
      <w:r>
        <w:t xml:space="preserve">Government of Canada Job Bank clasifica</w:t>
      </w:r>
      <w:r>
        <w:t xml:space="preserve"> </w:t>
      </w:r>
      <w:r>
        <w:rPr>
          <w:bCs/>
          <w:b/>
        </w:rPr>
        <w:t xml:space="preserve">Managers in social, community and correctional services como NOC 40030</w:t>
      </w:r>
      <w:r>
        <w:t xml:space="preserve">. Esta es una comparación de nivel gerencial, no una clasificación universal para puestos de coordinación.</w:t>
      </w:r>
    </w:p>
    <w:p>
      <w:pPr>
        <w:pStyle w:val="BodyText"/>
      </w:pPr>
      <w:r>
        <w:t xml:space="preserve">Job Bank indica que los gerentes NOC 40030 normalmente requieren una</w:t>
      </w:r>
      <w:r>
        <w:t xml:space="preserve"> </w:t>
      </w:r>
      <w:r>
        <w:rPr>
          <w:bCs/>
          <w:b/>
        </w:rPr>
        <w:t xml:space="preserve">maestría en una disciplina de ciencias sociales o administración</w:t>
      </w:r>
      <w:r>
        <w:t xml:space="preserve"> </w:t>
      </w:r>
      <w:r>
        <w:t xml:space="preserve">más varios años de experiencia relacionada, mientras que los gerentes de asociaciones y organizaciones de miembros pueden calificar mediante amplia experiencia relacionada.</w:t>
      </w:r>
    </w:p>
    <w:p>
      <w:pPr>
        <w:pStyle w:val="BodyText"/>
      </w:pPr>
      <w:r>
        <w:t xml:space="preserve">No suponga que se requiere una maestría para cada título de coordinador. Compare la vacante real y los requisitos provinciales. Una función de coordinación con tareas principalmente administrativas o de apoyo a programas puede estar por debajo del nivel gerencial NOC 40030.</w:t>
      </w:r>
    </w:p>
    <w:bookmarkEnd w:id="26"/>
    <w:bookmarkStart w:id="27" w:name="colombia"/>
    <w:p>
      <w:pPr>
        <w:pStyle w:val="Heading3"/>
      </w:pPr>
      <w:r>
        <w:t xml:space="preserve">Colombia</w:t>
      </w:r>
    </w:p>
    <w:p>
      <w:pPr>
        <w:pStyle w:val="FirstParagraph"/>
      </w:pPr>
      <w:r>
        <w:t xml:space="preserve">Las rutas actuales del SENA muestran opciones relevantes de formación pública y experiencia de trabajo comunitario.</w:t>
      </w:r>
    </w:p>
    <w:p>
      <w:pPr>
        <w:pStyle w:val="BodyText"/>
      </w:pPr>
      <w:r>
        <w:t xml:space="preserve">SENA Betowa actualmente publica</w:t>
      </w:r>
      <w:r>
        <w:t xml:space="preserve"> </w:t>
      </w:r>
      <w:r>
        <w:rPr>
          <w:bCs/>
          <w:b/>
        </w:rPr>
        <w:t xml:space="preserve">Gestión comunitaria del riesgo de desastres</w:t>
      </w:r>
      <w:r>
        <w:t xml:space="preserve">, un programa técnico de</w:t>
      </w:r>
      <w:r>
        <w:t xml:space="preserve"> </w:t>
      </w:r>
      <w:r>
        <w:rPr>
          <w:bCs/>
          <w:b/>
        </w:rPr>
        <w:t xml:space="preserve">1.920 horas</w:t>
      </w:r>
      <w:r>
        <w:t xml:space="preserve">, con competencias relacionadas con coordinar campañas, diagnosticar riesgos comunitarios, promover acciones de prevención, seguir protocolos y usar herramientas de información.</w:t>
      </w:r>
    </w:p>
    <w:p>
      <w:pPr>
        <w:pStyle w:val="BodyText"/>
      </w:pPr>
      <w:r>
        <w:t xml:space="preserve">SENA Betowa también publica</w:t>
      </w:r>
      <w:r>
        <w:t xml:space="preserve"> </w:t>
      </w:r>
      <w:r>
        <w:rPr>
          <w:bCs/>
          <w:b/>
        </w:rPr>
        <w:t xml:space="preserve">Organización comunitaria sostenible</w:t>
      </w:r>
      <w:r>
        <w:t xml:space="preserve">, enfocada en educación, participación, necesidades territoriales y procesos ambientales y comunitarios.</w:t>
      </w:r>
    </w:p>
    <w:p>
      <w:pPr>
        <w:pStyle w:val="BodyText"/>
      </w:pPr>
      <w:r>
        <w:t xml:space="preserve">La evidencia actual de la Agencia Pública de Empleo del SENA también muestra funciones reales de gestión comunitaria, como programar talleres y actividades de alcance, preparar informes, apoyar a autoridades locales y comunidades, y coordinar la participación entre productores, asociaciones y actores locales.</w:t>
      </w:r>
    </w:p>
    <w:p>
      <w:pPr>
        <w:pStyle w:val="BodyText"/>
      </w:pPr>
      <w:r>
        <w:t xml:space="preserve">Estos ejemplos muestran posibles trayectorias y funciones. No constituyen un requisito legal universal para cada puesto de coordinación ni establecen un único punto de referencia salarial nacional.</w:t>
      </w:r>
    </w:p>
    <w:bookmarkEnd w:id="27"/>
    <w:bookmarkStart w:id="28" w:name="américa-latina-y-el-caribe"/>
    <w:p>
      <w:pPr>
        <w:pStyle w:val="Heading3"/>
      </w:pPr>
      <w:r>
        <w:t xml:space="preserve">América Latina y el Caribe</w:t>
      </w:r>
    </w:p>
    <w:p>
      <w:pPr>
        <w:pStyle w:val="FirstParagraph"/>
      </w:pPr>
      <w:r>
        <w:t xml:space="preserve">Los sistemas de capacitación, las estructuras de servicio público, los sectores sin fines de lucro, las reglas sobre títulos profesionales y las rutas de programas comunitarios varían por país.</w:t>
      </w:r>
      <w:r>
        <w:t xml:space="preserve"> </w:t>
      </w:r>
      <w:r>
        <w:rPr>
          <w:bCs/>
          <w:b/>
        </w:rPr>
        <w:t xml:space="preserve">OIT/Cinterfor</w:t>
      </w:r>
      <w:r>
        <w:t xml:space="preserve"> </w:t>
      </w:r>
      <w:r>
        <w:t xml:space="preserve">mantiene una red regional de formación profesional y un observatorio que puede ayudar a identificar la institución pública nacional de capacitación pertinente.</w:t>
      </w:r>
    </w:p>
    <w:p>
      <w:pPr>
        <w:pStyle w:val="BodyText"/>
      </w:pPr>
      <w:r>
        <w:t xml:space="preserve">Use la red regional como localizador y luego verifique el programa exacto, costo, reconocimiento, requisitos de ingreso y relevancia laboral directamente con la institución nacional y el mercado laboral local.</w:t>
      </w:r>
    </w:p>
    <w:bookmarkEnd w:id="28"/>
    <w:bookmarkEnd w:id="29"/>
    <w:bookmarkStart w:id="30" w:name="Xf7bc0fc732799b0b11e155518e8c0c78b38576c"/>
    <w:p>
      <w:pPr>
        <w:pStyle w:val="Heading2"/>
      </w:pPr>
      <w:r>
        <w:t xml:space="preserve">Estrategia de capacitación: primero gratuita y de bajo costo</w:t>
      </w:r>
    </w:p>
    <w:p>
      <w:pPr>
        <w:pStyle w:val="FirstParagraph"/>
      </w:pPr>
      <w:r>
        <w:t xml:space="preserve">Antes de pagar por capacitación:</w:t>
      </w:r>
    </w:p>
    <w:p>
      <w:pPr>
        <w:numPr>
          <w:ilvl w:val="0"/>
          <w:numId w:val="1005"/>
        </w:numPr>
        <w:pStyle w:val="Compact"/>
      </w:pPr>
      <w:r>
        <w:t xml:space="preserve">Revise vacantes locales reales.</w:t>
      </w:r>
    </w:p>
    <w:p>
      <w:pPr>
        <w:numPr>
          <w:ilvl w:val="0"/>
          <w:numId w:val="1005"/>
        </w:numPr>
        <w:pStyle w:val="Compact"/>
      </w:pPr>
      <w:r>
        <w:t xml:space="preserve">Identifique las habilidades y credenciales que más se repiten.</w:t>
      </w:r>
    </w:p>
    <w:p>
      <w:pPr>
        <w:numPr>
          <w:ilvl w:val="0"/>
          <w:numId w:val="1005"/>
        </w:numPr>
        <w:pStyle w:val="Compact"/>
      </w:pPr>
      <w:r>
        <w:t xml:space="preserve">Pregunte a los empleadores si ofrecen inducción pagada o capacitación específica del programa.</w:t>
      </w:r>
    </w:p>
    <w:p>
      <w:pPr>
        <w:numPr>
          <w:ilvl w:val="0"/>
          <w:numId w:val="1005"/>
        </w:numPr>
        <w:pStyle w:val="Compact"/>
      </w:pPr>
      <w:r>
        <w:t xml:space="preserve">Priorice, cuando corresponda, capacitación pública de empleo, colegios comunitarios, formación vocacional, bibliotecas, extensión universitaria, organizaciones sin fines de lucro y gobierno.</w:t>
      </w:r>
    </w:p>
    <w:p>
      <w:pPr>
        <w:numPr>
          <w:ilvl w:val="0"/>
          <w:numId w:val="1005"/>
        </w:numPr>
        <w:pStyle w:val="Compact"/>
      </w:pPr>
      <w:r>
        <w:t xml:space="preserve">Compare costo total, horario, transporte, materiales, exámenes y requisitos de prácticas no remuneradas.</w:t>
      </w:r>
    </w:p>
    <w:p>
      <w:pPr>
        <w:numPr>
          <w:ilvl w:val="0"/>
          <w:numId w:val="1005"/>
        </w:numPr>
        <w:pStyle w:val="Compact"/>
      </w:pPr>
      <w:r>
        <w:t xml:space="preserve">Verifique si los empleadores realmente reconocen la credencial.</w:t>
      </w:r>
    </w:p>
    <w:p>
      <w:pPr>
        <w:numPr>
          <w:ilvl w:val="0"/>
          <w:numId w:val="1005"/>
        </w:numPr>
        <w:pStyle w:val="Compact"/>
      </w:pPr>
      <w:r>
        <w:t xml:space="preserve">Obtenga por escrito las políticas de reembolso y las afirmaciones sobre colocación laboral.</w:t>
      </w:r>
    </w:p>
    <w:p>
      <w:pPr>
        <w:numPr>
          <w:ilvl w:val="0"/>
          <w:numId w:val="1005"/>
        </w:numPr>
        <w:pStyle w:val="Compact"/>
      </w:pPr>
      <w:r>
        <w:t xml:space="preserve">Evite endeudarse por credenciales que los empleadores objetivo no solicitan.</w:t>
      </w:r>
    </w:p>
    <w:p>
      <w:pPr>
        <w:pStyle w:val="FirstParagraph"/>
      </w:pPr>
      <w:r>
        <w:t xml:space="preserve">Entre las áreas útiles de capacitación de bajo costo pueden estar coordinación de proyectos, hojas de cálculo, informes, accesibilidad, gestión de registros, gestión de voluntariado, presupuestación básica, protección, fundamentos de compras, fundamentos de cumplimiento de subvenciones, hablar en público, privacidad digital y conciencia de ciberseguridad.</w:t>
      </w:r>
    </w:p>
    <w:bookmarkEnd w:id="30"/>
    <w:bookmarkStart w:id="35" w:name="Xb062e938f3cc719603b597cbdcc8728c9fbd6e7"/>
    <w:p>
      <w:pPr>
        <w:pStyle w:val="Heading2"/>
      </w:pPr>
      <w:r>
        <w:t xml:space="preserve">Localizadores de financiamiento y capacitación pública</w:t>
      </w:r>
    </w:p>
    <w:bookmarkStart w:id="31" w:name="estados-unidos-1"/>
    <w:p>
      <w:pPr>
        <w:pStyle w:val="Heading3"/>
      </w:pPr>
      <w:r>
        <w:t xml:space="preserve">Estados Unidos</w:t>
      </w:r>
    </w:p>
    <w:p>
      <w:pPr>
        <w:pStyle w:val="FirstParagraph"/>
      </w:pPr>
      <w:r>
        <w:t xml:space="preserve">El</w:t>
      </w:r>
      <w:r>
        <w:t xml:space="preserve"> </w:t>
      </w:r>
      <w:r>
        <w:rPr>
          <w:bCs/>
          <w:b/>
        </w:rPr>
        <w:t xml:space="preserve">WIOA-Eligible Training Program Finder</w:t>
      </w:r>
      <w:r>
        <w:t xml:space="preserve"> </w:t>
      </w:r>
      <w:r>
        <w:t xml:space="preserve">de CareerOneStop proporciona directorios estatales de programas aprobados para consideración bajo WIOA. La elegibilidad, los programas aprobados, las prioridades locales y los fondos disponibles varían. La inclusión en un directorio</w:t>
      </w:r>
      <w:r>
        <w:t xml:space="preserve"> </w:t>
      </w:r>
      <w:r>
        <w:rPr>
          <w:bCs/>
          <w:b/>
        </w:rPr>
        <w:t xml:space="preserve">no</w:t>
      </w:r>
      <w:r>
        <w:t xml:space="preserve"> </w:t>
      </w:r>
      <w:r>
        <w:t xml:space="preserve">garantiza financiamiento.</w:t>
      </w:r>
    </w:p>
    <w:p>
      <w:pPr>
        <w:pStyle w:val="BodyText"/>
      </w:pPr>
      <w:r>
        <w:t xml:space="preserve">El</w:t>
      </w:r>
      <w:r>
        <w:t xml:space="preserve"> </w:t>
      </w:r>
      <w:r>
        <w:rPr>
          <w:bCs/>
          <w:b/>
        </w:rPr>
        <w:t xml:space="preserve">American Job Center Finder</w:t>
      </w:r>
      <w:r>
        <w:t xml:space="preserve"> </w:t>
      </w:r>
      <w:r>
        <w:t xml:space="preserve">de CareerOneStop puede ayudar a localizar centros de empleo que podrían proporcionar apoyo en búsqueda de empleo, referencias de capacitación, orientación profesional, adaptaciones de accesibilidad e información sobre servicios de apoyo.</w:t>
      </w:r>
    </w:p>
    <w:bookmarkEnd w:id="31"/>
    <w:bookmarkStart w:id="32" w:name="X38380834c0a8d8963a8d98c6d42cc3a5b1c9064"/>
    <w:p>
      <w:pPr>
        <w:pStyle w:val="Heading3"/>
      </w:pPr>
      <w:r>
        <w:t xml:space="preserve">Aprendizajes y formación basada en el trabajo</w:t>
      </w:r>
    </w:p>
    <w:p>
      <w:pPr>
        <w:pStyle w:val="FirstParagraph"/>
      </w:pPr>
      <w:r>
        <w:t xml:space="preserve">No existe un requisito universal de Registered Apprenticeship para Coordinadores de Programas de Servicio Comunitario. Busque en</w:t>
      </w:r>
      <w:r>
        <w:t xml:space="preserve"> </w:t>
      </w:r>
      <w:r>
        <w:rPr>
          <w:bCs/>
          <w:b/>
        </w:rPr>
        <w:t xml:space="preserve">Apprenticeship.gov</w:t>
      </w:r>
      <w:r>
        <w:t xml:space="preserve"> </w:t>
      </w:r>
      <w:r>
        <w:t xml:space="preserve">por palabras clave relacionadas y ubicación para identificar oportunidades registradas o patrocinadas por empleadores que estén vigentes, en vez de asumir que existe una en su zona.</w:t>
      </w:r>
    </w:p>
    <w:bookmarkEnd w:id="32"/>
    <w:bookmarkStart w:id="33" w:name="canadá-1"/>
    <w:p>
      <w:pPr>
        <w:pStyle w:val="Heading3"/>
      </w:pPr>
      <w:r>
        <w:t xml:space="preserve">Canadá</w:t>
      </w:r>
    </w:p>
    <w:p>
      <w:pPr>
        <w:pStyle w:val="FirstParagraph"/>
      </w:pPr>
      <w:r>
        <w:t xml:space="preserve">Las opciones públicas de capacitación y financiamiento varían por provincia, institución, programa de empleo y elegibilidad individual. Verifique las opciones actuales de ayuda estudiantil provincial, servicios de empleo, colegios, universidades y apoyo del empleador antes de inscribirse.</w:t>
      </w:r>
    </w:p>
    <w:bookmarkEnd w:id="33"/>
    <w:bookmarkStart w:id="34" w:name="colombia-y-américa-latina"/>
    <w:p>
      <w:pPr>
        <w:pStyle w:val="Heading3"/>
      </w:pPr>
      <w:r>
        <w:t xml:space="preserve">Colombia y América Latina</w:t>
      </w:r>
    </w:p>
    <w:p>
      <w:pPr>
        <w:pStyle w:val="FirstParagraph"/>
      </w:pPr>
      <w:r>
        <w:t xml:space="preserve">En Colombia, comience con el SENA y sus servicios públicos de empleo. En otros países de América Latina, use OIT/Cinterfor para localizar la institución nacional de formación profesional correspondiente y luego verifique directamente la oferta vigente.</w:t>
      </w:r>
    </w:p>
    <w:bookmarkEnd w:id="34"/>
    <w:bookmarkEnd w:id="35"/>
    <w:bookmarkStart w:id="36" w:name="desarrollo-apoyado-por-el-empleador"/>
    <w:p>
      <w:pPr>
        <w:pStyle w:val="Heading2"/>
      </w:pPr>
      <w:r>
        <w:t xml:space="preserve">Desarrollo apoyado por el empleador</w:t>
      </w:r>
    </w:p>
    <w:p>
      <w:pPr>
        <w:pStyle w:val="FirstParagraph"/>
      </w:pPr>
      <w:r>
        <w:t xml:space="preserve">Pregunte a los empleadores sobre:</w:t>
      </w:r>
    </w:p>
    <w:p>
      <w:pPr>
        <w:numPr>
          <w:ilvl w:val="0"/>
          <w:numId w:val="1006"/>
        </w:numPr>
        <w:pStyle w:val="Compact"/>
      </w:pPr>
      <w:r>
        <w:t xml:space="preserve">inducción pagada;</w:t>
      </w:r>
    </w:p>
    <w:p>
      <w:pPr>
        <w:numPr>
          <w:ilvl w:val="0"/>
          <w:numId w:val="1006"/>
        </w:numPr>
        <w:pStyle w:val="Compact"/>
      </w:pPr>
      <w:r>
        <w:t xml:space="preserve">procedimientos específicos del programa;</w:t>
      </w:r>
    </w:p>
    <w:p>
      <w:pPr>
        <w:numPr>
          <w:ilvl w:val="0"/>
          <w:numId w:val="1006"/>
        </w:numPr>
        <w:pStyle w:val="Compact"/>
      </w:pPr>
      <w:r>
        <w:t xml:space="preserve">capacitación en protección y reporte obligatorio cuando corresponda;</w:t>
      </w:r>
    </w:p>
    <w:p>
      <w:pPr>
        <w:numPr>
          <w:ilvl w:val="0"/>
          <w:numId w:val="1006"/>
        </w:numPr>
        <w:pStyle w:val="Compact"/>
      </w:pPr>
      <w:r>
        <w:t xml:space="preserve">capacitación en cumplimiento e informes de subvenciones;</w:t>
      </w:r>
    </w:p>
    <w:p>
      <w:pPr>
        <w:numPr>
          <w:ilvl w:val="0"/>
          <w:numId w:val="1006"/>
        </w:numPr>
        <w:pStyle w:val="Compact"/>
      </w:pPr>
      <w:r>
        <w:t xml:space="preserve">procedimientos de presupuestación, compras y control de gastos;</w:t>
      </w:r>
    </w:p>
    <w:p>
      <w:pPr>
        <w:numPr>
          <w:ilvl w:val="0"/>
          <w:numId w:val="1006"/>
        </w:numPr>
        <w:pStyle w:val="Compact"/>
      </w:pPr>
      <w:r>
        <w:t xml:space="preserve">capacitación en gestión de voluntariado;</w:t>
      </w:r>
    </w:p>
    <w:p>
      <w:pPr>
        <w:numPr>
          <w:ilvl w:val="0"/>
          <w:numId w:val="1006"/>
        </w:numPr>
        <w:pStyle w:val="Compact"/>
      </w:pPr>
      <w:r>
        <w:t xml:space="preserve">capacitación en accesibilidad e inclusión de personas con discapacidad;</w:t>
      </w:r>
    </w:p>
    <w:p>
      <w:pPr>
        <w:numPr>
          <w:ilvl w:val="0"/>
          <w:numId w:val="1006"/>
        </w:numPr>
        <w:pStyle w:val="Compact"/>
      </w:pPr>
      <w:r>
        <w:t xml:space="preserve">capacitación en privacidad y conservación de registros;</w:t>
      </w:r>
    </w:p>
    <w:p>
      <w:pPr>
        <w:numPr>
          <w:ilvl w:val="0"/>
          <w:numId w:val="1006"/>
        </w:numPr>
        <w:pStyle w:val="Compact"/>
      </w:pPr>
      <w:r>
        <w:t xml:space="preserve">capacitación en ciberseguridad y concientización sobre phishing;</w:t>
      </w:r>
    </w:p>
    <w:p>
      <w:pPr>
        <w:numPr>
          <w:ilvl w:val="0"/>
          <w:numId w:val="1006"/>
        </w:numPr>
        <w:pStyle w:val="Compact"/>
      </w:pPr>
      <w:r>
        <w:t xml:space="preserve">herramientas de gestión de proyectos;</w:t>
      </w:r>
    </w:p>
    <w:p>
      <w:pPr>
        <w:numPr>
          <w:ilvl w:val="0"/>
          <w:numId w:val="1006"/>
        </w:numPr>
        <w:pStyle w:val="Compact"/>
      </w:pPr>
      <w:r>
        <w:t xml:space="preserve">ayuda para matrícula o reembolso de cursos; y</w:t>
      </w:r>
    </w:p>
    <w:p>
      <w:pPr>
        <w:numPr>
          <w:ilvl w:val="0"/>
          <w:numId w:val="1006"/>
        </w:numPr>
        <w:pStyle w:val="Compact"/>
      </w:pPr>
      <w:r>
        <w:t xml:space="preserve">rutas internas desde asistente o coordinador hasta coordinador sénior o gerente de programa.</w:t>
      </w:r>
    </w:p>
    <w:p>
      <w:pPr>
        <w:pStyle w:val="FirstParagraph"/>
      </w:pPr>
      <w:r>
        <w:t xml:space="preserve">Obtenga por escrito cualquier obligación de reembolso asociada con educación financiada por el empleador.</w:t>
      </w:r>
    </w:p>
    <w:bookmarkEnd w:id="36"/>
    <w:bookmarkStart w:id="41" w:name="compensación-y-perspectivas-de-empleo"/>
    <w:p>
      <w:pPr>
        <w:pStyle w:val="Heading2"/>
      </w:pPr>
      <w:r>
        <w:t xml:space="preserve">Compensación y perspectivas de empleo</w:t>
      </w:r>
    </w:p>
    <w:bookmarkStart w:id="37" w:name="X1ad4cda15b2fbd2e2d0ada93d06897bcac18da3"/>
    <w:p>
      <w:pPr>
        <w:pStyle w:val="Heading3"/>
      </w:pPr>
      <w:r>
        <w:t xml:space="preserve">Estados Unidos — punto de referencia oficial de gestión</w:t>
      </w:r>
    </w:p>
    <w:p>
      <w:pPr>
        <w:pStyle w:val="FirstParagraph"/>
      </w:pPr>
      <w:r>
        <w:t xml:space="preserve">O*NET reporta datos de Bureau of Labor Statistics para</w:t>
      </w:r>
      <w:r>
        <w:t xml:space="preserve"> </w:t>
      </w:r>
      <w:r>
        <w:rPr>
          <w:bCs/>
          <w:b/>
        </w:rPr>
        <w:t xml:space="preserve">Social and Community Service Managers, 11-9151.00</w:t>
      </w:r>
      <w:r>
        <w:t xml:space="preserve">:</w:t>
      </w:r>
    </w:p>
    <w:p>
      <w:pPr>
        <w:numPr>
          <w:ilvl w:val="0"/>
          <w:numId w:val="1007"/>
        </w:numPr>
        <w:pStyle w:val="Compact"/>
      </w:pPr>
      <w:r>
        <w:rPr>
          <w:bCs/>
          <w:b/>
        </w:rPr>
        <w:t xml:space="preserve">Salario mediano por hora en 2025: USD $38,65</w:t>
      </w:r>
    </w:p>
    <w:p>
      <w:pPr>
        <w:numPr>
          <w:ilvl w:val="0"/>
          <w:numId w:val="1007"/>
        </w:numPr>
        <w:pStyle w:val="Compact"/>
      </w:pPr>
      <w:r>
        <w:rPr>
          <w:bCs/>
          <w:b/>
        </w:rPr>
        <w:t xml:space="preserve">Salario mediano anual en 2025: USD $80.390</w:t>
      </w:r>
    </w:p>
    <w:p>
      <w:pPr>
        <w:numPr>
          <w:ilvl w:val="0"/>
          <w:numId w:val="1007"/>
        </w:numPr>
        <w:pStyle w:val="Compact"/>
      </w:pPr>
      <w:r>
        <w:rPr>
          <w:bCs/>
          <w:b/>
        </w:rPr>
        <w:t xml:space="preserve">Empleo en 2024: aproximadamente 219.800 trabajadores</w:t>
      </w:r>
    </w:p>
    <w:p>
      <w:pPr>
        <w:numPr>
          <w:ilvl w:val="0"/>
          <w:numId w:val="1007"/>
        </w:numPr>
        <w:pStyle w:val="Compact"/>
      </w:pPr>
      <w:r>
        <w:rPr>
          <w:bCs/>
          <w:b/>
        </w:rPr>
        <w:t xml:space="preserve">Crecimiento proyectado, 2024–2034: 5% a 6%</w:t>
      </w:r>
    </w:p>
    <w:p>
      <w:pPr>
        <w:numPr>
          <w:ilvl w:val="0"/>
          <w:numId w:val="1007"/>
        </w:numPr>
        <w:pStyle w:val="Compact"/>
      </w:pPr>
      <w:r>
        <w:rPr>
          <w:bCs/>
          <w:b/>
        </w:rPr>
        <w:t xml:space="preserve">Vacantes anuales proyectadas: aproximadamente 18.600</w:t>
      </w:r>
    </w:p>
    <w:p>
      <w:pPr>
        <w:pStyle w:val="FirstParagraph"/>
      </w:pPr>
      <w:r>
        <w:t xml:space="preserve">Estas cifras corresponden a la ocupación gerencial más amplia. Deben tratarse como referencia para puestos de coordinación solo cuando las funciones reales se acerquen a responsabilidades de nivel gerencial.</w:t>
      </w:r>
    </w:p>
    <w:bookmarkEnd w:id="37"/>
    <w:bookmarkStart w:id="38" w:name="X7926fa0b1b4a255d8d180e68607a5a0ce349c36"/>
    <w:p>
      <w:pPr>
        <w:pStyle w:val="Heading3"/>
      </w:pPr>
      <w:r>
        <w:t xml:space="preserve">Estados Unidos — estimaciones actuales no gubernamentales para coordinación</w:t>
      </w:r>
    </w:p>
    <w:p>
      <w:pPr>
        <w:pStyle w:val="FirstParagraph"/>
      </w:pPr>
      <w:r>
        <w:t xml:space="preserve">Salary.com reportó, al</w:t>
      </w:r>
      <w:r>
        <w:t xml:space="preserve"> </w:t>
      </w:r>
      <w:r>
        <w:rPr>
          <w:bCs/>
          <w:b/>
        </w:rPr>
        <w:t xml:space="preserve">1 de agosto de 2026</w:t>
      </w:r>
      <w:r>
        <w:t xml:space="preserve">, un salario promedio en Estados Unidos para</w:t>
      </w:r>
      <w:r>
        <w:t xml:space="preserve"> </w:t>
      </w:r>
      <w:r>
        <w:rPr>
          <w:bCs/>
          <w:b/>
        </w:rPr>
        <w:t xml:space="preserve">Community Program Coordinator</w:t>
      </w:r>
      <w:r>
        <w:t xml:space="preserve"> </w:t>
      </w:r>
      <w:r>
        <w:t xml:space="preserve">de aproximadamente:</w:t>
      </w:r>
    </w:p>
    <w:p>
      <w:pPr>
        <w:numPr>
          <w:ilvl w:val="0"/>
          <w:numId w:val="1008"/>
        </w:numPr>
        <w:pStyle w:val="Compact"/>
      </w:pPr>
      <w:r>
        <w:rPr>
          <w:bCs/>
          <w:b/>
        </w:rPr>
        <w:t xml:space="preserve">USD $66.947 por año</w:t>
      </w:r>
    </w:p>
    <w:p>
      <w:pPr>
        <w:numPr>
          <w:ilvl w:val="0"/>
          <w:numId w:val="1008"/>
        </w:numPr>
        <w:pStyle w:val="Compact"/>
      </w:pPr>
      <w:r>
        <w:t xml:space="preserve">aproximadamente</w:t>
      </w:r>
      <w:r>
        <w:t xml:space="preserve"> </w:t>
      </w:r>
      <w:r>
        <w:rPr>
          <w:bCs/>
          <w:b/>
        </w:rPr>
        <w:t xml:space="preserve">USD $32 por hora</w:t>
      </w:r>
    </w:p>
    <w:p>
      <w:pPr>
        <w:numPr>
          <w:ilvl w:val="0"/>
          <w:numId w:val="1008"/>
        </w:numPr>
        <w:pStyle w:val="Compact"/>
      </w:pPr>
      <w:r>
        <w:t xml:space="preserve">rango reportado de percentil 25 a 75 de aproximadamente</w:t>
      </w:r>
      <w:r>
        <w:t xml:space="preserve"> </w:t>
      </w:r>
      <w:r>
        <w:rPr>
          <w:bCs/>
          <w:b/>
        </w:rPr>
        <w:t xml:space="preserve">$59.855–$75.965</w:t>
      </w:r>
    </w:p>
    <w:p>
      <w:pPr>
        <w:pStyle w:val="FirstParagraph"/>
      </w:pPr>
      <w:r>
        <w:t xml:space="preserve">ZipRecruiter reportó, al</w:t>
      </w:r>
      <w:r>
        <w:t xml:space="preserve"> </w:t>
      </w:r>
      <w:r>
        <w:rPr>
          <w:bCs/>
          <w:b/>
        </w:rPr>
        <w:t xml:space="preserve">20 de julio de 2026</w:t>
      </w:r>
      <w:r>
        <w:t xml:space="preserve">, una estimación promedio en Estados Unidos para</w:t>
      </w:r>
      <w:r>
        <w:t xml:space="preserve"> </w:t>
      </w:r>
      <w:r>
        <w:rPr>
          <w:bCs/>
          <w:b/>
        </w:rPr>
        <w:t xml:space="preserve">Community Program Coordinator</w:t>
      </w:r>
      <w:r>
        <w:t xml:space="preserve"> </w:t>
      </w:r>
      <w:r>
        <w:t xml:space="preserve">de aproximadamente:</w:t>
      </w:r>
    </w:p>
    <w:p>
      <w:pPr>
        <w:numPr>
          <w:ilvl w:val="0"/>
          <w:numId w:val="1009"/>
        </w:numPr>
        <w:pStyle w:val="Compact"/>
      </w:pPr>
      <w:r>
        <w:rPr>
          <w:bCs/>
          <w:b/>
        </w:rPr>
        <w:t xml:space="preserve">USD $54.966 por año</w:t>
      </w:r>
    </w:p>
    <w:p>
      <w:pPr>
        <w:numPr>
          <w:ilvl w:val="0"/>
          <w:numId w:val="1009"/>
        </w:numPr>
        <w:pStyle w:val="Compact"/>
      </w:pPr>
      <w:r>
        <w:t xml:space="preserve">aproximadamente</w:t>
      </w:r>
      <w:r>
        <w:t xml:space="preserve"> </w:t>
      </w:r>
      <w:r>
        <w:rPr>
          <w:bCs/>
          <w:b/>
        </w:rPr>
        <w:t xml:space="preserve">USD $26,43 por hora</w:t>
      </w:r>
    </w:p>
    <w:p>
      <w:pPr>
        <w:pStyle w:val="FirstParagraph"/>
      </w:pPr>
      <w:r>
        <w:t xml:space="preserve">Estas son</w:t>
      </w:r>
      <w:r>
        <w:t xml:space="preserve"> </w:t>
      </w:r>
      <w:r>
        <w:rPr>
          <w:bCs/>
          <w:b/>
        </w:rPr>
        <w:t xml:space="preserve">estimaciones no gubernamentales</w:t>
      </w:r>
      <w:r>
        <w:t xml:space="preserve">. Sus metodologías y correspondencia de títulos difieren de las estadísticas de BLS/O*NET. No las combine en una sola cifra ni las trate como pago garantizado.</w:t>
      </w:r>
    </w:p>
    <w:bookmarkEnd w:id="38"/>
    <w:bookmarkStart w:id="39" w:name="Xd2aced5e981bdd4345aaceaa8fb737ae94750eb"/>
    <w:p>
      <w:pPr>
        <w:pStyle w:val="Heading3"/>
      </w:pPr>
      <w:r>
        <w:t xml:space="preserve">Canadá — punto de referencia oficial de gestión</w:t>
      </w:r>
    </w:p>
    <w:p>
      <w:pPr>
        <w:pStyle w:val="FirstParagraph"/>
      </w:pPr>
      <w:r>
        <w:t xml:space="preserve">Government of Canada Job Bank reporta salarios nacionales para</w:t>
      </w:r>
      <w:r>
        <w:t xml:space="preserve"> </w:t>
      </w:r>
      <w:r>
        <w:rPr>
          <w:bCs/>
          <w:b/>
        </w:rPr>
        <w:t xml:space="preserve">NOC 40030 — Managers in social, community and correctional services</w:t>
      </w:r>
      <w:r>
        <w:t xml:space="preserve">, actualizados el</w:t>
      </w:r>
      <w:r>
        <w:t xml:space="preserve"> </w:t>
      </w:r>
      <w:r>
        <w:rPr>
          <w:bCs/>
          <w:b/>
        </w:rPr>
        <w:t xml:space="preserve">19 de noviembre de 2025</w:t>
      </w:r>
      <w:r>
        <w:t xml:space="preserve"> </w:t>
      </w:r>
      <w:r>
        <w:t xml:space="preserve">con un período de referencia 2023–2024 de Labour Force Survey:</w:t>
      </w:r>
    </w:p>
    <w:p>
      <w:pPr>
        <w:numPr>
          <w:ilvl w:val="0"/>
          <w:numId w:val="1010"/>
        </w:numPr>
        <w:pStyle w:val="Compact"/>
      </w:pPr>
      <w:r>
        <w:rPr>
          <w:bCs/>
          <w:b/>
        </w:rPr>
        <w:t xml:space="preserve">CAD $27,00/hora, nivel bajo</w:t>
      </w:r>
    </w:p>
    <w:p>
      <w:pPr>
        <w:numPr>
          <w:ilvl w:val="0"/>
          <w:numId w:val="1010"/>
        </w:numPr>
        <w:pStyle w:val="Compact"/>
      </w:pPr>
      <w:r>
        <w:rPr>
          <w:bCs/>
          <w:b/>
        </w:rPr>
        <w:t xml:space="preserve">CAD $43,96/hora, mediana</w:t>
      </w:r>
    </w:p>
    <w:p>
      <w:pPr>
        <w:numPr>
          <w:ilvl w:val="0"/>
          <w:numId w:val="1010"/>
        </w:numPr>
        <w:pStyle w:val="Compact"/>
      </w:pPr>
      <w:r>
        <w:rPr>
          <w:bCs/>
          <w:b/>
        </w:rPr>
        <w:t xml:space="preserve">CAD $71,43/hora, nivel alto</w:t>
      </w:r>
    </w:p>
    <w:p>
      <w:pPr>
        <w:pStyle w:val="FirstParagraph"/>
      </w:pPr>
      <w:r>
        <w:t xml:space="preserve">Estos son salarios de nivel gerencial y no constituyen pago garantizado para puestos de coordinación.</w:t>
      </w:r>
    </w:p>
    <w:bookmarkEnd w:id="39"/>
    <w:bookmarkStart w:id="40" w:name="colombia-1"/>
    <w:p>
      <w:pPr>
        <w:pStyle w:val="Heading3"/>
      </w:pPr>
      <w:r>
        <w:t xml:space="preserve">Colombia</w:t>
      </w:r>
    </w:p>
    <w:p>
      <w:pPr>
        <w:pStyle w:val="FirstParagraph"/>
      </w:pPr>
      <w:r>
        <w:t xml:space="preserve">No se identificó una serie salarial oficial nacional actual directamente comparable que corresponda de forma clara con un título genérico de Coordinador/a de Programas de Servicio Comunitario. No invente una cifra salarial nacional.</w:t>
      </w:r>
    </w:p>
    <w:p>
      <w:pPr>
        <w:pStyle w:val="BodyText"/>
      </w:pPr>
      <w:r>
        <w:t xml:space="preserve">Use vacantes actuales de la Agencia Pública de Empleo del SENA, municipios, organizaciones sin fines de lucro, fundaciones, universidades, entidades de salud y sector público para comparar remuneración, tipo de contrato, horario, viajes, educación y autoridad en la ciudad o departamento donde planea trabajar.</w:t>
      </w:r>
    </w:p>
    <w:bookmarkEnd w:id="40"/>
    <w:bookmarkEnd w:id="41"/>
    <w:bookmarkStart w:id="42" w:name="X313114b202f64ebd727630ddac1263f4a896622"/>
    <w:p>
      <w:pPr>
        <w:pStyle w:val="Heading2"/>
      </w:pPr>
      <w:r>
        <w:t xml:space="preserve">Gobernanza de programas y trabajo financiado por subvenciones</w:t>
      </w:r>
    </w:p>
    <w:p>
      <w:pPr>
        <w:pStyle w:val="FirstParagraph"/>
      </w:pPr>
      <w:r>
        <w:t xml:space="preserve">Algunos puestos de coordinación apoyan programas financiados por subvenciones. Las buenas prácticas incluyen:</w:t>
      </w:r>
    </w:p>
    <w:p>
      <w:pPr>
        <w:numPr>
          <w:ilvl w:val="0"/>
          <w:numId w:val="1011"/>
        </w:numPr>
        <w:pStyle w:val="Compact"/>
      </w:pPr>
      <w:r>
        <w:t xml:space="preserve">usar el plan de trabajo y presupuesto aprobados;</w:t>
      </w:r>
    </w:p>
    <w:p>
      <w:pPr>
        <w:numPr>
          <w:ilvl w:val="0"/>
          <w:numId w:val="1011"/>
        </w:numPr>
        <w:pStyle w:val="Compact"/>
      </w:pPr>
      <w:r>
        <w:t xml:space="preserve">registrar con precisión asistencia, resultados, compras y entregables;</w:t>
      </w:r>
    </w:p>
    <w:p>
      <w:pPr>
        <w:numPr>
          <w:ilvl w:val="0"/>
          <w:numId w:val="1011"/>
        </w:numPr>
        <w:pStyle w:val="Compact"/>
      </w:pPr>
      <w:r>
        <w:t xml:space="preserve">conservar recibos y documentación de respaldo exigidos;</w:t>
      </w:r>
    </w:p>
    <w:p>
      <w:pPr>
        <w:numPr>
          <w:ilvl w:val="0"/>
          <w:numId w:val="1011"/>
        </w:numPr>
        <w:pStyle w:val="Compact"/>
      </w:pPr>
      <w:r>
        <w:t xml:space="preserve">seguir los umbrales de aprobación;</w:t>
      </w:r>
    </w:p>
    <w:p>
      <w:pPr>
        <w:numPr>
          <w:ilvl w:val="0"/>
          <w:numId w:val="1011"/>
        </w:numPr>
        <w:pStyle w:val="Compact"/>
      </w:pPr>
      <w:r>
        <w:t xml:space="preserve">separar fondos restringidos y no restringidos cuando corresponda;</w:t>
      </w:r>
    </w:p>
    <w:p>
      <w:pPr>
        <w:numPr>
          <w:ilvl w:val="0"/>
          <w:numId w:val="1011"/>
        </w:numPr>
        <w:pStyle w:val="Compact"/>
      </w:pPr>
      <w:r>
        <w:t xml:space="preserve">evitar cambios presupuestarios no aprobados;</w:t>
      </w:r>
    </w:p>
    <w:p>
      <w:pPr>
        <w:numPr>
          <w:ilvl w:val="0"/>
          <w:numId w:val="1011"/>
        </w:numPr>
        <w:pStyle w:val="Compact"/>
      </w:pPr>
      <w:r>
        <w:t xml:space="preserve">documentar contribuciones en especie únicamente conforme a las reglas del financiador;</w:t>
      </w:r>
    </w:p>
    <w:p>
      <w:pPr>
        <w:numPr>
          <w:ilvl w:val="0"/>
          <w:numId w:val="1011"/>
        </w:numPr>
        <w:pStyle w:val="Compact"/>
      </w:pPr>
      <w:r>
        <w:t xml:space="preserve">divulgar conflictos de interés;</w:t>
      </w:r>
    </w:p>
    <w:p>
      <w:pPr>
        <w:numPr>
          <w:ilvl w:val="0"/>
          <w:numId w:val="1011"/>
        </w:numPr>
        <w:pStyle w:val="Compact"/>
      </w:pPr>
      <w:r>
        <w:t xml:space="preserve">seguir procedimientos de compras y selección de proveedores; y</w:t>
      </w:r>
    </w:p>
    <w:p>
      <w:pPr>
        <w:numPr>
          <w:ilvl w:val="0"/>
          <w:numId w:val="1011"/>
        </w:numPr>
        <w:pStyle w:val="Compact"/>
      </w:pPr>
      <w:r>
        <w:t xml:space="preserve">escalar sospechas de uso indebido, facturación duplicada, registros falsificados o gastos sin respaldo.</w:t>
      </w:r>
    </w:p>
    <w:p>
      <w:pPr>
        <w:pStyle w:val="FirstParagraph"/>
      </w:pPr>
      <w:r>
        <w:t xml:space="preserve">No apruebe gastos, mueva fondos restringidos, modifique presupuestos de subvenciones ni asuma compromisos de subvención salvo que su autoridad formal lo permita.</w:t>
      </w:r>
    </w:p>
    <w:bookmarkEnd w:id="42"/>
    <w:bookmarkStart w:id="43" w:name="privacidad-registros-y-confidencialidad"/>
    <w:p>
      <w:pPr>
        <w:pStyle w:val="Heading2"/>
      </w:pPr>
      <w:r>
        <w:t xml:space="preserve">Privacidad, registros y confidencialidad</w:t>
      </w:r>
    </w:p>
    <w:p>
      <w:pPr>
        <w:pStyle w:val="FirstParagraph"/>
      </w:pPr>
      <w:r>
        <w:t xml:space="preserve">Los programas comunitarios pueden manejar nombres, direcciones, información de contacto, detalles familiares, información sobre discapacidad, salud, inmigración, beneficios, donantes, registros de voluntarios, información laboral, informes de protección y otros datos sensibles.</w:t>
      </w:r>
    </w:p>
    <w:p>
      <w:pPr>
        <w:pStyle w:val="BodyText"/>
      </w:pPr>
      <w:r>
        <w:t xml:space="preserve">Siga las reglas del empleador para:</w:t>
      </w:r>
    </w:p>
    <w:p>
      <w:pPr>
        <w:numPr>
          <w:ilvl w:val="0"/>
          <w:numId w:val="1012"/>
        </w:numPr>
        <w:pStyle w:val="Compact"/>
      </w:pPr>
      <w:r>
        <w:t xml:space="preserve">recopilar únicamente lo necesario;</w:t>
      </w:r>
    </w:p>
    <w:p>
      <w:pPr>
        <w:numPr>
          <w:ilvl w:val="0"/>
          <w:numId w:val="1012"/>
        </w:numPr>
        <w:pStyle w:val="Compact"/>
      </w:pPr>
      <w:r>
        <w:t xml:space="preserve">acceso basado en funciones;</w:t>
      </w:r>
    </w:p>
    <w:p>
      <w:pPr>
        <w:numPr>
          <w:ilvl w:val="0"/>
          <w:numId w:val="1012"/>
        </w:numPr>
        <w:pStyle w:val="Compact"/>
      </w:pPr>
      <w:r>
        <w:t xml:space="preserve">autenticación multifactor;</w:t>
      </w:r>
    </w:p>
    <w:p>
      <w:pPr>
        <w:numPr>
          <w:ilvl w:val="0"/>
          <w:numId w:val="1012"/>
        </w:numPr>
        <w:pStyle w:val="Compact"/>
      </w:pPr>
      <w:r>
        <w:t xml:space="preserve">bases de datos y servicios en la nube aprobados;</w:t>
      </w:r>
    </w:p>
    <w:p>
      <w:pPr>
        <w:numPr>
          <w:ilvl w:val="0"/>
          <w:numId w:val="1012"/>
        </w:numPr>
        <w:pStyle w:val="Compact"/>
      </w:pPr>
      <w:r>
        <w:t xml:space="preserve">intercambio seguro;</w:t>
      </w:r>
    </w:p>
    <w:p>
      <w:pPr>
        <w:numPr>
          <w:ilvl w:val="0"/>
          <w:numId w:val="1012"/>
        </w:numPr>
        <w:pStyle w:val="Compact"/>
      </w:pPr>
      <w:r>
        <w:t xml:space="preserve">notas objetivas y proporcionales;</w:t>
      </w:r>
    </w:p>
    <w:p>
      <w:pPr>
        <w:numPr>
          <w:ilvl w:val="0"/>
          <w:numId w:val="1012"/>
        </w:numPr>
        <w:pStyle w:val="Compact"/>
      </w:pPr>
      <w:r>
        <w:t xml:space="preserve">conservación y eliminación segura;</w:t>
      </w:r>
    </w:p>
    <w:p>
      <w:pPr>
        <w:numPr>
          <w:ilvl w:val="0"/>
          <w:numId w:val="1012"/>
        </w:numPr>
        <w:pStyle w:val="Compact"/>
      </w:pPr>
      <w:r>
        <w:t xml:space="preserve">reporte de incidentes;</w:t>
      </w:r>
    </w:p>
    <w:p>
      <w:pPr>
        <w:numPr>
          <w:ilvl w:val="0"/>
          <w:numId w:val="1012"/>
        </w:numPr>
        <w:pStyle w:val="Compact"/>
      </w:pPr>
      <w:r>
        <w:t xml:space="preserve">conversaciones privadas y prácticas de registro de ingreso a eventos; y</w:t>
      </w:r>
    </w:p>
    <w:p>
      <w:pPr>
        <w:numPr>
          <w:ilvl w:val="0"/>
          <w:numId w:val="1012"/>
        </w:numPr>
        <w:pStyle w:val="Compact"/>
      </w:pPr>
      <w:r>
        <w:t xml:space="preserve">uso de dispositivos personales, correo electrónico, aplicaciones de mensajería, hojas de cálculo y medios removibles.</w:t>
      </w:r>
    </w:p>
    <w:p>
      <w:pPr>
        <w:pStyle w:val="FirstParagraph"/>
      </w:pPr>
      <w:r>
        <w:t xml:space="preserve">No conserve copias no oficiales de datos sensibles del programa por conveniencia.</w:t>
      </w:r>
    </w:p>
    <w:bookmarkEnd w:id="43"/>
    <w:bookmarkStart w:id="44" w:name="fundamentos-de-ciberseguridad"/>
    <w:p>
      <w:pPr>
        <w:pStyle w:val="Heading2"/>
      </w:pPr>
      <w:r>
        <w:t xml:space="preserve">Fundamentos de ciberseguridad</w:t>
      </w:r>
    </w:p>
    <w:p>
      <w:pPr>
        <w:pStyle w:val="FirstParagraph"/>
      </w:pPr>
      <w:r>
        <w:t xml:space="preserve">Las organizaciones de servicio comunitario pueden ser objetivo de phishing, fraude de pagos, toma de cuentas, estafas dirigidas a donantes, ransomware, suplantación y robo de información personal.</w:t>
      </w:r>
    </w:p>
    <w:p>
      <w:pPr>
        <w:pStyle w:val="BodyText"/>
      </w:pPr>
      <w:r>
        <w:t xml:space="preserve">Use:</w:t>
      </w:r>
    </w:p>
    <w:p>
      <w:pPr>
        <w:numPr>
          <w:ilvl w:val="0"/>
          <w:numId w:val="1013"/>
        </w:numPr>
        <w:pStyle w:val="Compact"/>
      </w:pPr>
      <w:r>
        <w:t xml:space="preserve">contraseñas únicas y administradores de contraseñas aprobados;</w:t>
      </w:r>
    </w:p>
    <w:p>
      <w:pPr>
        <w:numPr>
          <w:ilvl w:val="0"/>
          <w:numId w:val="1013"/>
        </w:numPr>
        <w:pStyle w:val="Compact"/>
      </w:pPr>
      <w:r>
        <w:t xml:space="preserve">autenticación multifactor;</w:t>
      </w:r>
    </w:p>
    <w:p>
      <w:pPr>
        <w:numPr>
          <w:ilvl w:val="0"/>
          <w:numId w:val="1013"/>
        </w:numPr>
        <w:pStyle w:val="Compact"/>
      </w:pPr>
      <w:r>
        <w:t xml:space="preserve">dispositivos y software aprobados;</w:t>
      </w:r>
    </w:p>
    <w:p>
      <w:pPr>
        <w:numPr>
          <w:ilvl w:val="0"/>
          <w:numId w:val="1013"/>
        </w:numPr>
        <w:pStyle w:val="Compact"/>
      </w:pPr>
      <w:r>
        <w:t xml:space="preserve">procedimientos verificados para cambios de pago;</w:t>
      </w:r>
    </w:p>
    <w:p>
      <w:pPr>
        <w:numPr>
          <w:ilvl w:val="0"/>
          <w:numId w:val="1013"/>
        </w:numPr>
        <w:pStyle w:val="Compact"/>
      </w:pPr>
      <w:r>
        <w:t xml:space="preserve">confirmación independiente de solicitudes inusuales de proveedores o ejecutivos;</w:t>
      </w:r>
    </w:p>
    <w:p>
      <w:pPr>
        <w:numPr>
          <w:ilvl w:val="0"/>
          <w:numId w:val="1013"/>
        </w:numPr>
        <w:pStyle w:val="Compact"/>
      </w:pPr>
      <w:r>
        <w:t xml:space="preserve">acceso de mínimo privilegio;</w:t>
      </w:r>
    </w:p>
    <w:p>
      <w:pPr>
        <w:numPr>
          <w:ilvl w:val="0"/>
          <w:numId w:val="1013"/>
        </w:numPr>
        <w:pStyle w:val="Compact"/>
      </w:pPr>
      <w:r>
        <w:t xml:space="preserve">reporte inmediato de mensajes sospechosos o actividad inusual de cuentas; y</w:t>
      </w:r>
    </w:p>
    <w:p>
      <w:pPr>
        <w:numPr>
          <w:ilvl w:val="0"/>
          <w:numId w:val="1013"/>
        </w:numPr>
        <w:pStyle w:val="Compact"/>
      </w:pPr>
      <w:r>
        <w:t xml:space="preserve">manejo seguro de listas de participantes, registros de donantes, archivos de voluntarios e información de subvenciones.</w:t>
      </w:r>
    </w:p>
    <w:p>
      <w:pPr>
        <w:pStyle w:val="FirstParagraph"/>
      </w:pPr>
      <w:r>
        <w:t xml:space="preserve">Nunca omita controles de seguridad porque un plazo sea urgente.</w:t>
      </w:r>
    </w:p>
    <w:bookmarkEnd w:id="44"/>
    <w:bookmarkStart w:id="45" w:name="Xc2d8d6aa7611fe59df24afd1dffc2a2416c1cd8"/>
    <w:p>
      <w:pPr>
        <w:pStyle w:val="Heading2"/>
      </w:pPr>
      <w:r>
        <w:t xml:space="preserve">Accesibilidad e inclusión de personas con discapacidad</w:t>
      </w:r>
    </w:p>
    <w:p>
      <w:pPr>
        <w:pStyle w:val="FirstParagraph"/>
      </w:pPr>
      <w:r>
        <w:t xml:space="preserve">Los programas comunitarios deben planificarse para que las personas con discapacidad puedan participar de manera significativa.</w:t>
      </w:r>
    </w:p>
    <w:p>
      <w:pPr>
        <w:pStyle w:val="BodyText"/>
      </w:pPr>
      <w:r>
        <w:t xml:space="preserve">Según el programa, esto puede incluir:</w:t>
      </w:r>
    </w:p>
    <w:p>
      <w:pPr>
        <w:numPr>
          <w:ilvl w:val="0"/>
          <w:numId w:val="1014"/>
        </w:numPr>
        <w:pStyle w:val="Compact"/>
      </w:pPr>
      <w:r>
        <w:t xml:space="preserve">lugares y rutas accesibles;</w:t>
      </w:r>
    </w:p>
    <w:p>
      <w:pPr>
        <w:numPr>
          <w:ilvl w:val="0"/>
          <w:numId w:val="1014"/>
        </w:numPr>
        <w:pStyle w:val="Compact"/>
      </w:pPr>
      <w:r>
        <w:t xml:space="preserve">subtitulado o interpretación;</w:t>
      </w:r>
    </w:p>
    <w:p>
      <w:pPr>
        <w:numPr>
          <w:ilvl w:val="0"/>
          <w:numId w:val="1014"/>
        </w:numPr>
        <w:pStyle w:val="Compact"/>
      </w:pPr>
      <w:r>
        <w:t xml:space="preserve">documentos y formularios digitales accesibles;</w:t>
      </w:r>
    </w:p>
    <w:p>
      <w:pPr>
        <w:numPr>
          <w:ilvl w:val="0"/>
          <w:numId w:val="1014"/>
        </w:numPr>
        <w:pStyle w:val="Compact"/>
      </w:pPr>
      <w:r>
        <w:t xml:space="preserve">opciones legibles de contraste y tipografía;</w:t>
      </w:r>
    </w:p>
    <w:p>
      <w:pPr>
        <w:numPr>
          <w:ilvl w:val="0"/>
          <w:numId w:val="1014"/>
        </w:numPr>
        <w:pStyle w:val="Compact"/>
      </w:pPr>
      <w:r>
        <w:t xml:space="preserve">información en lenguaje claro;</w:t>
      </w:r>
    </w:p>
    <w:p>
      <w:pPr>
        <w:numPr>
          <w:ilvl w:val="0"/>
          <w:numId w:val="1014"/>
        </w:numPr>
        <w:pStyle w:val="Compact"/>
      </w:pPr>
      <w:r>
        <w:t xml:space="preserve">múltiples métodos de contacto;</w:t>
      </w:r>
    </w:p>
    <w:p>
      <w:pPr>
        <w:numPr>
          <w:ilvl w:val="0"/>
          <w:numId w:val="1014"/>
        </w:numPr>
        <w:pStyle w:val="Compact"/>
      </w:pPr>
      <w:r>
        <w:t xml:space="preserve">procesos anticipados para solicitar adaptaciones;</w:t>
      </w:r>
    </w:p>
    <w:p>
      <w:pPr>
        <w:numPr>
          <w:ilvl w:val="0"/>
          <w:numId w:val="1014"/>
        </w:numPr>
        <w:pStyle w:val="Compact"/>
      </w:pPr>
      <w:r>
        <w:t xml:space="preserve">métodos flexibles de participación cuando sea posible; y</w:t>
      </w:r>
    </w:p>
    <w:p>
      <w:pPr>
        <w:numPr>
          <w:ilvl w:val="0"/>
          <w:numId w:val="1014"/>
        </w:numPr>
        <w:pStyle w:val="Compact"/>
      </w:pPr>
      <w:r>
        <w:t xml:space="preserve">comunicación respetuosa que evite suposiciones sobre la capacidad de una persona.</w:t>
      </w:r>
    </w:p>
    <w:p>
      <w:pPr>
        <w:pStyle w:val="FirstParagraph"/>
      </w:pPr>
      <w:r>
        <w:t xml:space="preserve">Las obligaciones de accesibilidad varían según la jurisdicción y la organización. Siga la ley aplicable y la política del empleador.</w:t>
      </w:r>
    </w:p>
    <w:bookmarkEnd w:id="45"/>
    <w:bookmarkStart w:id="46" w:name="límites-de-protección-y-manejo-de-crisis"/>
    <w:p>
      <w:pPr>
        <w:pStyle w:val="Heading2"/>
      </w:pPr>
      <w:r>
        <w:t xml:space="preserve">Límites de protección y manejo de crisis</w:t>
      </w:r>
    </w:p>
    <w:p>
      <w:pPr>
        <w:pStyle w:val="FirstParagraph"/>
      </w:pPr>
      <w:r>
        <w:t xml:space="preserve">Los programas que atienden a niños, personas mayores, personas con discapacidad, personas sin vivienda, sobrevivientes de violencia u otras poblaciones vulnerables pueden tener requisitos de protección o reporte obligatorio.</w:t>
      </w:r>
    </w:p>
    <w:p>
      <w:pPr>
        <w:pStyle w:val="BodyText"/>
      </w:pPr>
      <w:r>
        <w:t xml:space="preserve">Su función es seguir el protocolo aprobado, no inventar uno. Esto puede incluir:</w:t>
      </w:r>
    </w:p>
    <w:p>
      <w:pPr>
        <w:numPr>
          <w:ilvl w:val="0"/>
          <w:numId w:val="1015"/>
        </w:numPr>
        <w:pStyle w:val="Compact"/>
      </w:pPr>
      <w:r>
        <w:t xml:space="preserve">contactar a un supervisor o responsable designado de protección;</w:t>
      </w:r>
    </w:p>
    <w:p>
      <w:pPr>
        <w:numPr>
          <w:ilvl w:val="0"/>
          <w:numId w:val="1015"/>
        </w:numPr>
        <w:pStyle w:val="Compact"/>
      </w:pPr>
      <w:r>
        <w:t xml:space="preserve">realizar un reporte exigido por el canal correcto;</w:t>
      </w:r>
    </w:p>
    <w:p>
      <w:pPr>
        <w:numPr>
          <w:ilvl w:val="0"/>
          <w:numId w:val="1015"/>
        </w:numPr>
        <w:pStyle w:val="Compact"/>
      </w:pPr>
      <w:r>
        <w:t xml:space="preserve">documentar los hechos con precisión;</w:t>
      </w:r>
    </w:p>
    <w:p>
      <w:pPr>
        <w:numPr>
          <w:ilvl w:val="0"/>
          <w:numId w:val="1015"/>
        </w:numPr>
        <w:pStyle w:val="Compact"/>
      </w:pPr>
      <w:r>
        <w:t xml:space="preserve">contactar servicios de emergencia cuando la política y las circunstancias lo requieran; y</w:t>
      </w:r>
    </w:p>
    <w:p>
      <w:pPr>
        <w:numPr>
          <w:ilvl w:val="0"/>
          <w:numId w:val="1015"/>
        </w:numPr>
        <w:pStyle w:val="Compact"/>
      </w:pPr>
      <w:r>
        <w:t xml:space="preserve">evitar promesas de confidencialidad que entren en conflicto con obligaciones legales o de seguridad.</w:t>
      </w:r>
    </w:p>
    <w:p>
      <w:pPr>
        <w:pStyle w:val="FirstParagraph"/>
      </w:pPr>
      <w:r>
        <w:t xml:space="preserve">Los materiales de capacitación y las herramientas de IA no sustituyen la ley local vigente, los procedimientos de la organización ni el criterio profesional calificado.</w:t>
      </w:r>
    </w:p>
    <w:bookmarkEnd w:id="46"/>
    <w:bookmarkStart w:id="47" w:name="uso-responsable-de-la-ia"/>
    <w:p>
      <w:pPr>
        <w:pStyle w:val="Heading2"/>
      </w:pPr>
      <w:r>
        <w:t xml:space="preserve">Uso responsable de la IA</w:t>
      </w:r>
    </w:p>
    <w:p>
      <w:pPr>
        <w:pStyle w:val="FirstParagraph"/>
      </w:pPr>
      <w:r>
        <w:t xml:space="preserve">La IA puede ayudar con tareas de bajo riesgo como:</w:t>
      </w:r>
    </w:p>
    <w:p>
      <w:pPr>
        <w:numPr>
          <w:ilvl w:val="0"/>
          <w:numId w:val="1016"/>
        </w:numPr>
        <w:pStyle w:val="Compact"/>
      </w:pPr>
      <w:r>
        <w:t xml:space="preserve">generar ideas para temas genéricos de eventos;</w:t>
      </w:r>
    </w:p>
    <w:p>
      <w:pPr>
        <w:numPr>
          <w:ilvl w:val="0"/>
          <w:numId w:val="1016"/>
        </w:numPr>
        <w:pStyle w:val="Compact"/>
      </w:pPr>
      <w:r>
        <w:t xml:space="preserve">redactar agendas no sensibles;</w:t>
      </w:r>
    </w:p>
    <w:p>
      <w:pPr>
        <w:numPr>
          <w:ilvl w:val="0"/>
          <w:numId w:val="1016"/>
        </w:numPr>
        <w:pStyle w:val="Compact"/>
      </w:pPr>
      <w:r>
        <w:t xml:space="preserve">mejorar redacción en lenguaje claro;</w:t>
      </w:r>
    </w:p>
    <w:p>
      <w:pPr>
        <w:numPr>
          <w:ilvl w:val="0"/>
          <w:numId w:val="1016"/>
        </w:numPr>
        <w:pStyle w:val="Compact"/>
      </w:pPr>
      <w:r>
        <w:t xml:space="preserve">crear notas de estudio;</w:t>
      </w:r>
    </w:p>
    <w:p>
      <w:pPr>
        <w:numPr>
          <w:ilvl w:val="0"/>
          <w:numId w:val="1016"/>
        </w:numPr>
        <w:pStyle w:val="Compact"/>
      </w:pPr>
      <w:r>
        <w:t xml:space="preserve">generar listas de verificación genéricas;</w:t>
      </w:r>
    </w:p>
    <w:p>
      <w:pPr>
        <w:numPr>
          <w:ilvl w:val="0"/>
          <w:numId w:val="1016"/>
        </w:numPr>
        <w:pStyle w:val="Compact"/>
      </w:pPr>
      <w:r>
        <w:t xml:space="preserve">sugerir preguntas de encuesta para revisión humana; y</w:t>
      </w:r>
    </w:p>
    <w:p>
      <w:pPr>
        <w:numPr>
          <w:ilvl w:val="0"/>
          <w:numId w:val="1016"/>
        </w:numPr>
        <w:pStyle w:val="Compact"/>
      </w:pPr>
      <w:r>
        <w:t xml:space="preserve">practicar preguntas de entrevista.</w:t>
      </w:r>
    </w:p>
    <w:p>
      <w:pPr>
        <w:pStyle w:val="FirstParagraph"/>
      </w:pPr>
      <w:r>
        <w:rPr>
          <w:bCs/>
          <w:b/>
        </w:rPr>
        <w:t xml:space="preserve">No</w:t>
      </w:r>
      <w:r>
        <w:t xml:space="preserve"> </w:t>
      </w:r>
      <w:r>
        <w:t xml:space="preserve">copie información confidencial, personal, de salud, legal, de protección, donantes, solicitantes, voluntarios, pagos, subvenciones restringidas o información organizacional no publicada en una herramienta pública de IA, salvo que la organización haya aprobado específicamente ese uso y el sistema esté autorizado para esos datos.</w:t>
      </w:r>
    </w:p>
    <w:p>
      <w:pPr>
        <w:pStyle w:val="BodyText"/>
      </w:pPr>
      <w:r>
        <w:t xml:space="preserve">Los borradores asistidos por IA requieren revisión humana. Verifique hechos, fechas, nombres, cifras, declaraciones de elegibilidad, lenguaje legal, traducciones y compromisos antes de usarlos.</w:t>
      </w:r>
    </w:p>
    <w:p>
      <w:pPr>
        <w:pStyle w:val="BodyText"/>
      </w:pPr>
      <w:r>
        <w:t xml:space="preserve">La IA no debe usarse como sustituto del criterio de profesionales licenciados, decisiones de protección, autorización de subvenciones, aprobación de compras, adjudicación de beneficios o autoridad gerencial.</w:t>
      </w:r>
    </w:p>
    <w:bookmarkEnd w:id="47"/>
    <w:bookmarkStart w:id="48" w:name="plan-práctico-de-inicio-de-12-semanas"/>
    <w:p>
      <w:pPr>
        <w:pStyle w:val="Heading2"/>
      </w:pPr>
      <w:r>
        <w:t xml:space="preserve">Plan práctico de inicio de 12 semanas</w:t>
      </w:r>
    </w:p>
    <w:p>
      <w:pPr>
        <w:pStyle w:val="FirstParagraph"/>
      </w:pPr>
      <w:r>
        <w:rPr>
          <w:bCs/>
          <w:b/>
        </w:rPr>
        <w:t xml:space="preserve">Semanas 1–2:</w:t>
      </w:r>
      <w:r>
        <w:t xml:space="preserve"> </w:t>
      </w:r>
      <w:r>
        <w:t xml:space="preserve">Revise entre 15 y 20 vacantes locales de coordinación. Registre funciones repetidas, educación, software, idiomas, horario, viajes, verificaciones de antecedentes, exposición a subvenciones, presupuestación y supervisión.</w:t>
      </w:r>
    </w:p>
    <w:p>
      <w:pPr>
        <w:pStyle w:val="BodyText"/>
      </w:pPr>
      <w:r>
        <w:rPr>
          <w:bCs/>
          <w:b/>
        </w:rPr>
        <w:t xml:space="preserve">Semanas 3–4:</w:t>
      </w:r>
      <w:r>
        <w:t xml:space="preserve"> </w:t>
      </w:r>
      <w:r>
        <w:t xml:space="preserve">Desarrolle habilidades administrativas esenciales: hojas de cálculo, calendarios, notas de reuniones, seguimiento de tareas, organización de archivos e informes básicos.</w:t>
      </w:r>
    </w:p>
    <w:p>
      <w:pPr>
        <w:pStyle w:val="BodyText"/>
      </w:pPr>
      <w:r>
        <w:rPr>
          <w:bCs/>
          <w:b/>
        </w:rPr>
        <w:t xml:space="preserve">Semanas 5–6:</w:t>
      </w:r>
      <w:r>
        <w:t xml:space="preserve"> </w:t>
      </w:r>
      <w:r>
        <w:t xml:space="preserve">Conozca el ecosistema local de recursos comunitarios y practique alcance respetuoso, información de referencias, comunicación con socios y planificación de eventos accesibles.</w:t>
      </w:r>
    </w:p>
    <w:p>
      <w:pPr>
        <w:pStyle w:val="BodyText"/>
      </w:pPr>
      <w:r>
        <w:rPr>
          <w:bCs/>
          <w:b/>
        </w:rPr>
        <w:t xml:space="preserve">Semanas 7–8:</w:t>
      </w:r>
      <w:r>
        <w:t xml:space="preserve"> </w:t>
      </w:r>
      <w:r>
        <w:t xml:space="preserve">Complete capacitación pública adecuada o reconocida por empleadores en privacidad, ciberseguridad, protección, accesibilidad, gestión de voluntariado, coordinación de proyectos o presupuestación básica.</w:t>
      </w:r>
    </w:p>
    <w:p>
      <w:pPr>
        <w:pStyle w:val="BodyText"/>
      </w:pPr>
      <w:r>
        <w:rPr>
          <w:bCs/>
          <w:b/>
        </w:rPr>
        <w:t xml:space="preserve">Semanas 9–10:</w:t>
      </w:r>
      <w:r>
        <w:t xml:space="preserve"> </w:t>
      </w:r>
      <w:r>
        <w:t xml:space="preserve">Desarrolle experiencia supervisada mediante voluntariado, asistencia a programas, eventos públicos, administración de organizaciones sin fines de lucro, trabajo escolar o comunitario, administración sanitaria u organizaciones cívicas.</w:t>
      </w:r>
    </w:p>
    <w:p>
      <w:pPr>
        <w:pStyle w:val="BodyText"/>
      </w:pPr>
      <w:r>
        <w:rPr>
          <w:bCs/>
          <w:b/>
        </w:rPr>
        <w:t xml:space="preserve">Semanas 11–12:</w:t>
      </w:r>
      <w:r>
        <w:t xml:space="preserve"> </w:t>
      </w:r>
      <w:r>
        <w:t xml:space="preserve">Solicite puestos que coincidan con su educación y experiencia reales. Prepare ejemplos que demuestren organización, seguimiento, informes, coordinación de partes interesadas, solución de problemas, cuidado financiero, privacidad y escalamiento apropiado.</w:t>
      </w:r>
    </w:p>
    <w:bookmarkEnd w:id="48"/>
    <w:bookmarkStart w:id="49" w:name="Xc6d3f6b074954b2041b3a71890c9f8a68aa3c13"/>
    <w:p>
      <w:pPr>
        <w:pStyle w:val="Heading2"/>
      </w:pPr>
      <w:r>
        <w:t xml:space="preserve">Cómo desarrollar experiencia sin tener todavía el título</w:t>
      </w:r>
    </w:p>
    <w:p>
      <w:pPr>
        <w:pStyle w:val="FirstParagraph"/>
      </w:pPr>
      <w:r>
        <w:t xml:space="preserve">La experiencia transferible puede provenir de:</w:t>
      </w:r>
    </w:p>
    <w:p>
      <w:pPr>
        <w:numPr>
          <w:ilvl w:val="0"/>
          <w:numId w:val="1017"/>
        </w:numPr>
        <w:pStyle w:val="Compact"/>
      </w:pPr>
      <w:r>
        <w:t xml:space="preserve">asistencia a programas;</w:t>
      </w:r>
    </w:p>
    <w:p>
      <w:pPr>
        <w:numPr>
          <w:ilvl w:val="0"/>
          <w:numId w:val="1017"/>
        </w:numPr>
        <w:pStyle w:val="Compact"/>
      </w:pPr>
      <w:r>
        <w:t xml:space="preserve">voluntariado;</w:t>
      </w:r>
    </w:p>
    <w:p>
      <w:pPr>
        <w:numPr>
          <w:ilvl w:val="0"/>
          <w:numId w:val="1017"/>
        </w:numPr>
        <w:pStyle w:val="Compact"/>
      </w:pPr>
      <w:r>
        <w:t xml:space="preserve">servicio al cliente;</w:t>
      </w:r>
    </w:p>
    <w:p>
      <w:pPr>
        <w:numPr>
          <w:ilvl w:val="0"/>
          <w:numId w:val="1017"/>
        </w:numPr>
        <w:pStyle w:val="Compact"/>
      </w:pPr>
      <w:r>
        <w:t xml:space="preserve">administración de oficina;</w:t>
      </w:r>
    </w:p>
    <w:p>
      <w:pPr>
        <w:numPr>
          <w:ilvl w:val="0"/>
          <w:numId w:val="1017"/>
        </w:numPr>
        <w:pStyle w:val="Compact"/>
      </w:pPr>
      <w:r>
        <w:t xml:space="preserve">coordinación de eventos;</w:t>
      </w:r>
    </w:p>
    <w:p>
      <w:pPr>
        <w:numPr>
          <w:ilvl w:val="0"/>
          <w:numId w:val="1017"/>
        </w:numPr>
        <w:pStyle w:val="Compact"/>
      </w:pPr>
      <w:r>
        <w:t xml:space="preserve">programas escolares o universitarios;</w:t>
      </w:r>
    </w:p>
    <w:p>
      <w:pPr>
        <w:numPr>
          <w:ilvl w:val="0"/>
          <w:numId w:val="1017"/>
        </w:numPr>
        <w:pStyle w:val="Compact"/>
      </w:pPr>
      <w:r>
        <w:t xml:space="preserve">administración sanitaria;</w:t>
      </w:r>
    </w:p>
    <w:p>
      <w:pPr>
        <w:numPr>
          <w:ilvl w:val="0"/>
          <w:numId w:val="1017"/>
        </w:numPr>
        <w:pStyle w:val="Compact"/>
      </w:pPr>
      <w:r>
        <w:t xml:space="preserve">programas para jóvenes o personas mayores;</w:t>
      </w:r>
    </w:p>
    <w:p>
      <w:pPr>
        <w:numPr>
          <w:ilvl w:val="0"/>
          <w:numId w:val="1017"/>
        </w:numPr>
        <w:pStyle w:val="Compact"/>
      </w:pPr>
      <w:r>
        <w:t xml:space="preserve">organizaciones de servicios para personas con discapacidad;</w:t>
      </w:r>
    </w:p>
    <w:p>
      <w:pPr>
        <w:numPr>
          <w:ilvl w:val="0"/>
          <w:numId w:val="1017"/>
        </w:numPr>
        <w:pStyle w:val="Compact"/>
      </w:pPr>
      <w:r>
        <w:t xml:space="preserve">bibliotecas y organizaciones culturales;</w:t>
      </w:r>
    </w:p>
    <w:p>
      <w:pPr>
        <w:numPr>
          <w:ilvl w:val="0"/>
          <w:numId w:val="1017"/>
        </w:numPr>
        <w:pStyle w:val="Compact"/>
      </w:pPr>
      <w:r>
        <w:t xml:space="preserve">programas de empleo y fuerza laboral;</w:t>
      </w:r>
    </w:p>
    <w:p>
      <w:pPr>
        <w:numPr>
          <w:ilvl w:val="0"/>
          <w:numId w:val="1017"/>
        </w:numPr>
        <w:pStyle w:val="Compact"/>
      </w:pPr>
      <w:r>
        <w:t xml:space="preserve">asociaciones comunitarias;</w:t>
      </w:r>
    </w:p>
    <w:p>
      <w:pPr>
        <w:numPr>
          <w:ilvl w:val="0"/>
          <w:numId w:val="1017"/>
        </w:numPr>
        <w:pStyle w:val="Compact"/>
      </w:pPr>
      <w:r>
        <w:t xml:space="preserve">organismos públicos; o</w:t>
      </w:r>
    </w:p>
    <w:p>
      <w:pPr>
        <w:numPr>
          <w:ilvl w:val="0"/>
          <w:numId w:val="1017"/>
        </w:numPr>
        <w:pStyle w:val="Compact"/>
      </w:pPr>
      <w:r>
        <w:t xml:space="preserve">organizaciones religiosas o sin fines de lucro.</w:t>
      </w:r>
    </w:p>
    <w:p>
      <w:pPr>
        <w:pStyle w:val="FirstParagraph"/>
      </w:pPr>
      <w:r>
        <w:t xml:space="preserve">Describa su experiencia con precisión. La evidencia sólida puede incluir ejecución confiable de eventos, registros exactos, coordinación de socios, programación de voluntarios, seguimiento presupuestario, comunicación con participantes, materiales accesibles, reducción de errores, mejores tiempos de respuesta o cumplimiento de plazos de subvenciones e informes.</w:t>
      </w:r>
    </w:p>
    <w:p>
      <w:pPr>
        <w:pStyle w:val="BodyText"/>
      </w:pPr>
      <w:r>
        <w:t xml:space="preserve">No afirme autoridad gerencial, autoridad para otorgar subvenciones, práctica clínica, experiencia jurídica, autoridad fiduciaria ni autoridad de gestión de casos que no haya tenido.</w:t>
      </w:r>
    </w:p>
    <w:bookmarkEnd w:id="49"/>
    <w:bookmarkStart w:id="50" w:name="progresión-profesional"/>
    <w:p>
      <w:pPr>
        <w:pStyle w:val="Heading2"/>
      </w:pPr>
      <w:r>
        <w:t xml:space="preserve">Progresión profesional</w:t>
      </w:r>
    </w:p>
    <w:p>
      <w:pPr>
        <w:pStyle w:val="FirstParagraph"/>
      </w:pPr>
      <w:r>
        <w:t xml:space="preserve">Entre los posibles pasos siguientes pueden estar coordinador sénior de programas, coordinador de participación comunitaria, coordinador de voluntariado, coordinador de alcance, especialista de programas, administrador de subvenciones o programas, gerente de programa, gerente de servicios comunitarios, gerente de operaciones de organizaciones sin fines de lucro o administrador de programas públicos.</w:t>
      </w:r>
    </w:p>
    <w:p>
      <w:pPr>
        <w:pStyle w:val="BodyText"/>
      </w:pPr>
      <w:r>
        <w:t xml:space="preserve">La progresión depende del sector, educación, experiencia, responsabilidad presupuestaria y de personal, límites de profesiones reguladas y requisitos del empleador local. No suponga que el tiempo en una función de coordinación le califica automáticamente para un título profesional protegido o una ocupación gerencial.</w:t>
      </w:r>
    </w:p>
    <w:bookmarkEnd w:id="50"/>
    <w:bookmarkStart w:id="51" w:name="X459e4f9a42bfa168dcba25e4fe9562d0484b11a"/>
    <w:p>
      <w:pPr>
        <w:pStyle w:val="Heading2"/>
      </w:pPr>
      <w:r>
        <w:t xml:space="preserve">Verifique antes de inscribirse o aceptar un trabajo</w:t>
      </w:r>
    </w:p>
    <w:p>
      <w:pPr>
        <w:pStyle w:val="FirstParagraph"/>
      </w:pPr>
      <w:r>
        <w:t xml:space="preserve">Antes de pagar por capacitación o aceptar un puesto, verifique:</w:t>
      </w:r>
    </w:p>
    <w:p>
      <w:pPr>
        <w:numPr>
          <w:ilvl w:val="0"/>
          <w:numId w:val="1018"/>
        </w:numPr>
        <w:pStyle w:val="Compact"/>
      </w:pPr>
      <w:r>
        <w:t xml:space="preserve">las funciones reales;</w:t>
      </w:r>
    </w:p>
    <w:p>
      <w:pPr>
        <w:numPr>
          <w:ilvl w:val="0"/>
          <w:numId w:val="1018"/>
        </w:numPr>
        <w:pStyle w:val="Compact"/>
      </w:pPr>
      <w:r>
        <w:t xml:space="preserve">la línea de reporte;</w:t>
      </w:r>
    </w:p>
    <w:p>
      <w:pPr>
        <w:numPr>
          <w:ilvl w:val="0"/>
          <w:numId w:val="1018"/>
        </w:numPr>
        <w:pStyle w:val="Compact"/>
      </w:pPr>
      <w:r>
        <w:t xml:space="preserve">la supervisión de personal o voluntarios;</w:t>
      </w:r>
    </w:p>
    <w:p>
      <w:pPr>
        <w:numPr>
          <w:ilvl w:val="0"/>
          <w:numId w:val="1018"/>
        </w:numPr>
        <w:pStyle w:val="Compact"/>
      </w:pPr>
      <w:r>
        <w:t xml:space="preserve">la autoridad presupuestaria y de compras;</w:t>
      </w:r>
    </w:p>
    <w:p>
      <w:pPr>
        <w:numPr>
          <w:ilvl w:val="0"/>
          <w:numId w:val="1018"/>
        </w:numPr>
        <w:pStyle w:val="Compact"/>
      </w:pPr>
      <w:r>
        <w:t xml:space="preserve">las responsabilidades relacionadas con subvenciones;</w:t>
      </w:r>
    </w:p>
    <w:p>
      <w:pPr>
        <w:numPr>
          <w:ilvl w:val="0"/>
          <w:numId w:val="1018"/>
        </w:numPr>
        <w:pStyle w:val="Compact"/>
      </w:pPr>
      <w:r>
        <w:t xml:space="preserve">las obligaciones de protección;</w:t>
      </w:r>
    </w:p>
    <w:p>
      <w:pPr>
        <w:numPr>
          <w:ilvl w:val="0"/>
          <w:numId w:val="1018"/>
        </w:numPr>
        <w:pStyle w:val="Compact"/>
      </w:pPr>
      <w:r>
        <w:t xml:space="preserve">los requisitos de privacidad;</w:t>
      </w:r>
    </w:p>
    <w:p>
      <w:pPr>
        <w:numPr>
          <w:ilvl w:val="0"/>
          <w:numId w:val="1018"/>
        </w:numPr>
        <w:pStyle w:val="Compact"/>
      </w:pPr>
      <w:r>
        <w:t xml:space="preserve">la educación y credenciales requeridas;</w:t>
      </w:r>
    </w:p>
    <w:p>
      <w:pPr>
        <w:numPr>
          <w:ilvl w:val="0"/>
          <w:numId w:val="1018"/>
        </w:numPr>
        <w:pStyle w:val="Compact"/>
      </w:pPr>
      <w:r>
        <w:t xml:space="preserve">los viajes y el horario;</w:t>
      </w:r>
    </w:p>
    <w:p>
      <w:pPr>
        <w:numPr>
          <w:ilvl w:val="0"/>
          <w:numId w:val="1018"/>
        </w:numPr>
        <w:pStyle w:val="Compact"/>
      </w:pPr>
      <w:r>
        <w:t xml:space="preserve">las verificaciones de antecedentes;</w:t>
      </w:r>
    </w:p>
    <w:p>
      <w:pPr>
        <w:numPr>
          <w:ilvl w:val="0"/>
          <w:numId w:val="1018"/>
        </w:numPr>
        <w:pStyle w:val="Compact"/>
      </w:pPr>
      <w:r>
        <w:t xml:space="preserve">la compensación y el tipo de contrato;</w:t>
      </w:r>
    </w:p>
    <w:p>
      <w:pPr>
        <w:numPr>
          <w:ilvl w:val="0"/>
          <w:numId w:val="1018"/>
        </w:numPr>
        <w:pStyle w:val="Compact"/>
      </w:pPr>
      <w:r>
        <w:t xml:space="preserve">si el puesto es temporal o financiado por una subvención; y</w:t>
      </w:r>
    </w:p>
    <w:p>
      <w:pPr>
        <w:numPr>
          <w:ilvl w:val="0"/>
          <w:numId w:val="1018"/>
        </w:numPr>
        <w:pStyle w:val="Compact"/>
      </w:pPr>
      <w:r>
        <w:t xml:space="preserve">qué capacitación proporciona el empleador.</w:t>
      </w:r>
    </w:p>
    <w:p>
      <w:pPr>
        <w:pStyle w:val="FirstParagraph"/>
      </w:pPr>
      <w:r>
        <w:t xml:space="preserve">Obtenga por escrito las promesas importantes.</w:t>
      </w:r>
    </w:p>
    <w:bookmarkEnd w:id="51"/>
    <w:bookmarkStart w:id="68" w:name="lista-controlada-de-fuentes"/>
    <w:p>
      <w:pPr>
        <w:pStyle w:val="Heading2"/>
      </w:pPr>
      <w:r>
        <w:t xml:space="preserve">Lista controlada de fuentes</w:t>
      </w:r>
    </w:p>
    <w:p>
      <w:pPr>
        <w:numPr>
          <w:ilvl w:val="0"/>
          <w:numId w:val="1019"/>
        </w:numPr>
        <w:pStyle w:val="Compact"/>
      </w:pPr>
      <w:r>
        <w:t xml:space="preserve">O*NET OnLine — Social and Community Service Managers, 11-9151.00</w:t>
      </w:r>
      <w:r>
        <w:br/>
      </w:r>
      <w:hyperlink r:id="rId52">
        <w:hyperlink r:id="rId52">
          <w:r>
            <w:rPr>
              <w:rStyle w:val="Hyperlink"/>
            </w:rPr>
            <w:t xml:space="preserve">Source link</w:t>
          </w:r>
        </w:hyperlink>
      </w:hyperlink>
    </w:p>
    <w:p>
      <w:pPr>
        <w:numPr>
          <w:ilvl w:val="0"/>
          <w:numId w:val="1019"/>
        </w:numPr>
        <w:pStyle w:val="Compact"/>
      </w:pPr>
      <w:r>
        <w:t xml:space="preserve">O*NET OnLine — resumen 11-9151.00, datos salariales y proyecciones de BLS</w:t>
      </w:r>
      <w:r>
        <w:br/>
      </w:r>
      <w:hyperlink r:id="rId53">
        <w:hyperlink r:id="rId53">
          <w:r>
            <w:rPr>
              <w:rStyle w:val="Hyperlink"/>
            </w:rPr>
            <w:t xml:space="preserve">Source link</w:t>
          </w:r>
        </w:hyperlink>
      </w:hyperlink>
    </w:p>
    <w:p>
      <w:pPr>
        <w:numPr>
          <w:ilvl w:val="0"/>
          <w:numId w:val="1019"/>
        </w:numPr>
        <w:pStyle w:val="Compact"/>
      </w:pPr>
      <w:r>
        <w:t xml:space="preserve">Salary.com — Community Program Coordinator Salary, actualizado el 1 de agosto de 2026</w:t>
      </w:r>
      <w:r>
        <w:br/>
      </w:r>
      <w:hyperlink r:id="rId54">
        <w:hyperlink r:id="rId54">
          <w:r>
            <w:rPr>
              <w:rStyle w:val="Hyperlink"/>
            </w:rPr>
            <w:t xml:space="preserve">Source link</w:t>
          </w:r>
        </w:hyperlink>
      </w:hyperlink>
    </w:p>
    <w:p>
      <w:pPr>
        <w:numPr>
          <w:ilvl w:val="0"/>
          <w:numId w:val="1019"/>
        </w:numPr>
        <w:pStyle w:val="Compact"/>
      </w:pPr>
      <w:r>
        <w:t xml:space="preserve">ZipRecruiter — Community Program Coordinator Salary, julio de 2026</w:t>
      </w:r>
      <w:r>
        <w:br/>
      </w:r>
      <w:hyperlink r:id="rId55">
        <w:hyperlink r:id="rId55">
          <w:r>
            <w:rPr>
              <w:rStyle w:val="Hyperlink"/>
            </w:rPr>
            <w:t xml:space="preserve">Source link</w:t>
          </w:r>
        </w:hyperlink>
      </w:hyperlink>
    </w:p>
    <w:p>
      <w:pPr>
        <w:numPr>
          <w:ilvl w:val="0"/>
          <w:numId w:val="1019"/>
        </w:numPr>
        <w:pStyle w:val="Compact"/>
      </w:pPr>
      <w:r>
        <w:t xml:space="preserve">Indeed — vacantes actuales de Community Programs Coordinator</w:t>
      </w:r>
      <w:r>
        <w:br/>
      </w:r>
      <w:hyperlink r:id="rId56">
        <w:hyperlink r:id="rId56">
          <w:r>
            <w:rPr>
              <w:rStyle w:val="Hyperlink"/>
            </w:rPr>
            <w:t xml:space="preserve">Source link</w:t>
          </w:r>
        </w:hyperlink>
      </w:hyperlink>
    </w:p>
    <w:p>
      <w:pPr>
        <w:numPr>
          <w:ilvl w:val="0"/>
          <w:numId w:val="1019"/>
        </w:numPr>
        <w:pStyle w:val="Compact"/>
      </w:pPr>
      <w:r>
        <w:t xml:space="preserve">Government of Canada Job Bank — resumen NOC 40030</w:t>
      </w:r>
      <w:r>
        <w:br/>
      </w:r>
      <w:hyperlink r:id="rId57">
        <w:hyperlink r:id="rId57">
          <w:r>
            <w:rPr>
              <w:rStyle w:val="Hyperlink"/>
            </w:rPr>
            <w:t xml:space="preserve">Source link</w:t>
          </w:r>
        </w:hyperlink>
      </w:hyperlink>
    </w:p>
    <w:p>
      <w:pPr>
        <w:numPr>
          <w:ilvl w:val="0"/>
          <w:numId w:val="1019"/>
        </w:numPr>
        <w:pStyle w:val="Compact"/>
      </w:pPr>
      <w:r>
        <w:t xml:space="preserve">Government of Canada Job Bank — requisitos NOC 40030</w:t>
      </w:r>
      <w:r>
        <w:br/>
      </w:r>
      <w:hyperlink r:id="rId58">
        <w:hyperlink r:id="rId58">
          <w:r>
            <w:rPr>
              <w:rStyle w:val="Hyperlink"/>
            </w:rPr>
            <w:t xml:space="preserve">Source link</w:t>
          </w:r>
        </w:hyperlink>
      </w:hyperlink>
    </w:p>
    <w:p>
      <w:pPr>
        <w:numPr>
          <w:ilvl w:val="0"/>
          <w:numId w:val="1019"/>
        </w:numPr>
        <w:pStyle w:val="Compact"/>
      </w:pPr>
      <w:r>
        <w:t xml:space="preserve">Government of Canada Job Bank — salarios NOC 40030</w:t>
      </w:r>
      <w:r>
        <w:br/>
      </w:r>
      <w:hyperlink r:id="rId59">
        <w:hyperlink r:id="rId59">
          <w:r>
            <w:rPr>
              <w:rStyle w:val="Hyperlink"/>
            </w:rPr>
            <w:t xml:space="preserve">Source link</w:t>
          </w:r>
        </w:hyperlink>
      </w:hyperlink>
    </w:p>
    <w:p>
      <w:pPr>
        <w:numPr>
          <w:ilvl w:val="0"/>
          <w:numId w:val="1019"/>
        </w:numPr>
        <w:pStyle w:val="Compact"/>
      </w:pPr>
      <w:r>
        <w:t xml:space="preserve">SENA Betowa — Gestión comunitaria del riesgo de desastres</w:t>
      </w:r>
      <w:r>
        <w:br/>
      </w:r>
      <w:hyperlink r:id="rId60">
        <w:hyperlink r:id="rId60">
          <w:r>
            <w:rPr>
              <w:rStyle w:val="Hyperlink"/>
            </w:rPr>
            <w:t xml:space="preserve">Source link</w:t>
          </w:r>
        </w:hyperlink>
      </w:hyperlink>
    </w:p>
    <w:p>
      <w:pPr>
        <w:numPr>
          <w:ilvl w:val="0"/>
          <w:numId w:val="1019"/>
        </w:numPr>
        <w:pStyle w:val="Compact"/>
      </w:pPr>
      <w:r>
        <w:t xml:space="preserve">SENA Betowa — Organización comunitaria sostenible</w:t>
      </w:r>
      <w:r>
        <w:br/>
      </w:r>
      <w:hyperlink r:id="rId61">
        <w:hyperlink r:id="rId61">
          <w:r>
            <w:rPr>
              <w:rStyle w:val="Hyperlink"/>
            </w:rPr>
            <w:t xml:space="preserve">Source link</w:t>
          </w:r>
        </w:hyperlink>
      </w:hyperlink>
    </w:p>
    <w:p>
      <w:pPr>
        <w:numPr>
          <w:ilvl w:val="0"/>
          <w:numId w:val="1019"/>
        </w:numPr>
        <w:pStyle w:val="Compact"/>
      </w:pPr>
      <w:r>
        <w:t xml:space="preserve">SENA Agencia Pública de Empleo — evidencia de vacante de gestión comunitaria</w:t>
      </w:r>
      <w:r>
        <w:br/>
      </w:r>
      <w:hyperlink r:id="rId62">
        <w:hyperlink r:id="rId62">
          <w:r>
            <w:rPr>
              <w:rStyle w:val="Hyperlink"/>
            </w:rPr>
            <w:t xml:space="preserve">Source link</w:t>
          </w:r>
        </w:hyperlink>
      </w:hyperlink>
    </w:p>
    <w:p>
      <w:pPr>
        <w:numPr>
          <w:ilvl w:val="0"/>
          <w:numId w:val="1019"/>
        </w:numPr>
        <w:pStyle w:val="Compact"/>
      </w:pPr>
      <w:r>
        <w:t xml:space="preserve">SENA Circular 287 de 2025 — orientación sobre contratación de trabajo comunitario</w:t>
      </w:r>
      <w:r>
        <w:br/>
      </w:r>
      <w:hyperlink r:id="rId63">
        <w:hyperlink r:id="rId63">
          <w:r>
            <w:rPr>
              <w:rStyle w:val="Hyperlink"/>
            </w:rPr>
            <w:t xml:space="preserve">Source link</w:t>
          </w:r>
        </w:hyperlink>
      </w:hyperlink>
    </w:p>
    <w:p>
      <w:pPr>
        <w:numPr>
          <w:ilvl w:val="0"/>
          <w:numId w:val="1019"/>
        </w:numPr>
        <w:pStyle w:val="Compact"/>
      </w:pPr>
      <w:r>
        <w:t xml:space="preserve">OIT/Cinterfor — observatorio de formación profesional</w:t>
      </w:r>
      <w:r>
        <w:br/>
      </w:r>
      <w:hyperlink r:id="rId64">
        <w:r>
          <w:rPr>
            <w:rStyle w:val="Hyperlink"/>
          </w:rPr>
          <w:t xml:space="preserve">https://www.cinterfor.org/statsfp</w:t>
        </w:r>
      </w:hyperlink>
    </w:p>
    <w:p>
      <w:pPr>
        <w:numPr>
          <w:ilvl w:val="0"/>
          <w:numId w:val="1019"/>
        </w:numPr>
        <w:pStyle w:val="Compact"/>
      </w:pPr>
      <w:r>
        <w:t xml:space="preserve">CareerOneStop — WIOA-Eligible Training Program Finder</w:t>
      </w:r>
      <w:r>
        <w:br/>
      </w:r>
      <w:hyperlink r:id="rId65">
        <w:hyperlink r:id="rId65">
          <w:r>
            <w:rPr>
              <w:rStyle w:val="Hyperlink"/>
            </w:rPr>
            <w:t xml:space="preserve">Source link</w:t>
          </w:r>
        </w:hyperlink>
      </w:hyperlink>
    </w:p>
    <w:p>
      <w:pPr>
        <w:numPr>
          <w:ilvl w:val="0"/>
          <w:numId w:val="1019"/>
        </w:numPr>
        <w:pStyle w:val="Compact"/>
      </w:pPr>
      <w:r>
        <w:t xml:space="preserve">CareerOneStop — American Job Center Finder</w:t>
      </w:r>
      <w:r>
        <w:br/>
      </w:r>
      <w:hyperlink r:id="rId66">
        <w:hyperlink r:id="rId66">
          <w:r>
            <w:rPr>
              <w:rStyle w:val="Hyperlink"/>
            </w:rPr>
            <w:t xml:space="preserve">Source link</w:t>
          </w:r>
        </w:hyperlink>
      </w:hyperlink>
    </w:p>
    <w:p>
      <w:pPr>
        <w:numPr>
          <w:ilvl w:val="0"/>
          <w:numId w:val="1019"/>
        </w:numPr>
        <w:pStyle w:val="Compact"/>
      </w:pPr>
      <w:r>
        <w:t xml:space="preserve">Apprenticeship.gov — Apprenticeship Finder</w:t>
      </w:r>
      <w:r>
        <w:br/>
      </w:r>
      <w:hyperlink r:id="rId67">
        <w:hyperlink r:id="rId67">
          <w:r>
            <w:rPr>
              <w:rStyle w:val="Hyperlink"/>
            </w:rPr>
            <w:t xml:space="preserve">Source link</w:t>
          </w:r>
        </w:hyperlink>
      </w:hyperlink>
    </w:p>
    <w:bookmarkEnd w:id="68"/>
    <w:bookmarkStart w:id="69" w:name="límite-de-garantía"/>
    <w:p>
      <w:pPr>
        <w:pStyle w:val="Heading2"/>
      </w:pPr>
      <w:r>
        <w:t xml:space="preserve">Límite de garantía</w:t>
      </w:r>
    </w:p>
    <w:p>
      <w:pPr>
        <w:pStyle w:val="FirstParagraph"/>
      </w:pPr>
      <w:r>
        <w:t xml:space="preserve">Esta guía es educativa. No proporciona asesoría legal, clínica, financiera, sobre subvenciones, compras, protección ni práctica profesional. No garantiza empleo, salarios, financiamiento de capacitación, certificación, licencia, subvenciones, contratos ni ascensos. Tampoco afirma contar con certificación humana independiente, certificación profesional de traducción, acreditación, certificación de accesibilidad ni revisión legal.</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genciapublicadeempleo.sena.edu.co/spe-web/spe/demanda/solicitud-sintesis/4052296" TargetMode="External" /><Relationship Type="http://schemas.openxmlformats.org/officeDocument/2006/relationships/hyperlink" Id="rId60" Target="https://betowa.sena.edu.co/oferta/gestion-comunitaria-del-riesgo-de-desastres?level=2&amp;modality=P&amp;offertype=company&amp;programId=177814" TargetMode="External" /><Relationship Type="http://schemas.openxmlformats.org/officeDocument/2006/relationships/hyperlink" Id="rId61" Target="https://betowa.sena.edu.co/oferta/organizacion-comunitaria-sostenible?offertype=company&amp;programId=98528" TargetMode="External" /><Relationship Type="http://schemas.openxmlformats.org/officeDocument/2006/relationships/hyperlink" Id="rId63" Target="https://normograma.sena.edu.co/compilacion/docs/circular_sena_0287_2025.htm" TargetMode="External" /><Relationship Type="http://schemas.openxmlformats.org/officeDocument/2006/relationships/hyperlink" Id="rId67" Target="https://www.apprenticeship.gov/finder/listings" TargetMode="External" /><Relationship Type="http://schemas.openxmlformats.org/officeDocument/2006/relationships/hyperlink" Id="rId66" Target="https://www.careeronestop.org/LocalHelp/AmericanJobCenters/american-job-centers.aspx" TargetMode="External" /><Relationship Type="http://schemas.openxmlformats.org/officeDocument/2006/relationships/hyperlink" Id="rId65" Target="https://www.careeronestop.org/LocalHelp/EmploymentAndTraining/find-WIOA-training-programs.aspx" TargetMode="External" /><Relationship Type="http://schemas.openxmlformats.org/officeDocument/2006/relationships/hyperlink" Id="rId64" Target="https://www.cinterfor.org/statsfp" TargetMode="External" /><Relationship Type="http://schemas.openxmlformats.org/officeDocument/2006/relationships/hyperlink" Id="rId56" Target="https://www.indeed.com/q-community-programs-coordinator-jobs.html" TargetMode="External" /><Relationship Type="http://schemas.openxmlformats.org/officeDocument/2006/relationships/hyperlink" Id="rId58" Target="https://www.jobbank.gc.ca/marketreport/requirements/1797/ca" TargetMode="External" /><Relationship Type="http://schemas.openxmlformats.org/officeDocument/2006/relationships/hyperlink" Id="rId57" Target="https://www.jobbank.gc.ca/marketreport/summary-occupation/1813/ca" TargetMode="External" /><Relationship Type="http://schemas.openxmlformats.org/officeDocument/2006/relationships/hyperlink" Id="rId59" Target="https://www.on.jobbank.gc.ca/wagereport/occupation/1813" TargetMode="External" /><Relationship Type="http://schemas.openxmlformats.org/officeDocument/2006/relationships/hyperlink" Id="rId52" Target="https://www.onetonline.org/link/details/11-9151.00" TargetMode="External" /><Relationship Type="http://schemas.openxmlformats.org/officeDocument/2006/relationships/hyperlink" Id="rId53" Target="https://www.onetonline.org/link/summary/11-9151.00" TargetMode="External" /><Relationship Type="http://schemas.openxmlformats.org/officeDocument/2006/relationships/hyperlink" Id="rId54" Target="https://www.salary.com/research/salary/recruiting/community-program-coordinator-salary" TargetMode="External" /><Relationship Type="http://schemas.openxmlformats.org/officeDocument/2006/relationships/hyperlink" Id="rId55" Target="https://www.ziprecruiter.com/Salaries/Community-Program-Coordinator-Salary" TargetMode="External" /></Relationships>
</file>

<file path=word/_rels/footnotes.xml.rels><?xml version="1.0" encoding="UTF-8"?><Relationships xmlns="http://schemas.openxmlformats.org/package/2006/relationships"><Relationship Type="http://schemas.openxmlformats.org/officeDocument/2006/relationships/hyperlink" Id="rId62" Target="https://agenciapublicadeempleo.sena.edu.co/spe-web/spe/demanda/solicitud-sintesis/4052296" TargetMode="External" /><Relationship Type="http://schemas.openxmlformats.org/officeDocument/2006/relationships/hyperlink" Id="rId60" Target="https://betowa.sena.edu.co/oferta/gestion-comunitaria-del-riesgo-de-desastres?level=2&amp;modality=P&amp;offertype=company&amp;programId=177814" TargetMode="External" /><Relationship Type="http://schemas.openxmlformats.org/officeDocument/2006/relationships/hyperlink" Id="rId61" Target="https://betowa.sena.edu.co/oferta/organizacion-comunitaria-sostenible?offertype=company&amp;programId=98528" TargetMode="External" /><Relationship Type="http://schemas.openxmlformats.org/officeDocument/2006/relationships/hyperlink" Id="rId63" Target="https://normograma.sena.edu.co/compilacion/docs/circular_sena_0287_2025.htm" TargetMode="External" /><Relationship Type="http://schemas.openxmlformats.org/officeDocument/2006/relationships/hyperlink" Id="rId67" Target="https://www.apprenticeship.gov/finder/listings" TargetMode="External" /><Relationship Type="http://schemas.openxmlformats.org/officeDocument/2006/relationships/hyperlink" Id="rId66" Target="https://www.careeronestop.org/LocalHelp/AmericanJobCenters/american-job-centers.aspx" TargetMode="External" /><Relationship Type="http://schemas.openxmlformats.org/officeDocument/2006/relationships/hyperlink" Id="rId65" Target="https://www.careeronestop.org/LocalHelp/EmploymentAndTraining/find-WIOA-training-programs.aspx" TargetMode="External" /><Relationship Type="http://schemas.openxmlformats.org/officeDocument/2006/relationships/hyperlink" Id="rId64" Target="https://www.cinterfor.org/statsfp" TargetMode="External" /><Relationship Type="http://schemas.openxmlformats.org/officeDocument/2006/relationships/hyperlink" Id="rId56" Target="https://www.indeed.com/q-community-programs-coordinator-jobs.html" TargetMode="External" /><Relationship Type="http://schemas.openxmlformats.org/officeDocument/2006/relationships/hyperlink" Id="rId58" Target="https://www.jobbank.gc.ca/marketreport/requirements/1797/ca" TargetMode="External" /><Relationship Type="http://schemas.openxmlformats.org/officeDocument/2006/relationships/hyperlink" Id="rId57" Target="https://www.jobbank.gc.ca/marketreport/summary-occupation/1813/ca" TargetMode="External" /><Relationship Type="http://schemas.openxmlformats.org/officeDocument/2006/relationships/hyperlink" Id="rId59" Target="https://www.on.jobbank.gc.ca/wagereport/occupation/1813" TargetMode="External" /><Relationship Type="http://schemas.openxmlformats.org/officeDocument/2006/relationships/hyperlink" Id="rId52" Target="https://www.onetonline.org/link/details/11-9151.00" TargetMode="External" /><Relationship Type="http://schemas.openxmlformats.org/officeDocument/2006/relationships/hyperlink" Id="rId53" Target="https://www.onetonline.org/link/summary/11-9151.00" TargetMode="External" /><Relationship Type="http://schemas.openxmlformats.org/officeDocument/2006/relationships/hyperlink" Id="rId54" Target="https://www.salary.com/research/salary/recruiting/community-program-coordinator-salary" TargetMode="External" /><Relationship Type="http://schemas.openxmlformats.org/officeDocument/2006/relationships/hyperlink" Id="rId55" Target="https://www.ziprecruiter.com/Salaries/Community-Program-Coordinat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2026-08-20T21:58:17Z</dcterms:created>
  <dcterms:modified xsi:type="dcterms:W3CDTF">2026-08-20T21:58:17Z</dcterms:modified>
</cp:coreProperties>
</file>

<file path=docProps/custom.xml><?xml version="1.0" encoding="utf-8"?>
<Properties xmlns="http://schemas.openxmlformats.org/officeDocument/2006/custom-properties" xmlns:vt="http://schemas.openxmlformats.org/officeDocument/2006/docPropsVTypes"/>
</file>