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6e2e11f3b18c2de6e96bf109e6efceed1d9319"/>
    <w:p>
      <w:pPr>
        <w:pStyle w:val="Heading1"/>
      </w:pPr>
      <w:r>
        <w:t xml:space="preserve">Lifelong Opportunity Guide 66 — Food Service Manager Trainee and Restaurant Supervisor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Occupation benchmark:</w:t>
      </w:r>
      <w:r>
        <w:t xml:space="preserve"> </w:t>
      </w:r>
      <w:r>
        <w:t xml:space="preserve">O*NET-SOC 11-9051.00 — Food Service Managers</w:t>
      </w:r>
      <w:r>
        <w:br/>
      </w:r>
      <w:r>
        <w:rPr>
          <w:bCs/>
          <w:b/>
        </w:rPr>
        <w:t xml:space="preserve">Canada comparison:</w:t>
      </w:r>
      <w:r>
        <w:t xml:space="preserve"> </w:t>
      </w:r>
      <w:r>
        <w:t xml:space="preserve">NOC 60030 — Restaurant and food service managers</w:t>
      </w:r>
      <w:r>
        <w:br/>
      </w:r>
      <w:r>
        <w:rPr>
          <w:bCs/>
          <w:b/>
        </w:rPr>
        <w:t xml:space="preserve">Review date:</w:t>
      </w:r>
      <w:r>
        <w:t xml:space="preserve"> </w:t>
      </w:r>
      <w:r>
        <w:t xml:space="preserve">2026-08-20</w:t>
      </w:r>
    </w:p>
    <w:bookmarkStart w:id="20" w:name="what-this-career-is"/>
    <w:p>
      <w:pPr>
        <w:pStyle w:val="Heading2"/>
      </w:pPr>
      <w:r>
        <w:t xml:space="preserve">What this career is</w:t>
      </w:r>
    </w:p>
    <w:p>
      <w:pPr>
        <w:pStyle w:val="FirstParagraph"/>
      </w:pPr>
      <w:r>
        <w:t xml:space="preserve">A food service manager trainee or restaurant supervisor helps keep a restaurant, café, cafeteria, hotel food outlet, catering operation, or similar food-and-beverage business running safely and consistently. Depending on the employer, the role may coordinate a shift, assign duties, coach staff, monitor service quality, support inventory and ordering, resolve routine customer issues, verify sanitation tasks, assist with schedules, and report operational problems to a manager.</w:t>
      </w:r>
    </w:p>
    <w:p>
      <w:pPr>
        <w:pStyle w:val="BodyText"/>
      </w:pPr>
      <w:r>
        <w:t xml:space="preserve">The title is not standardized. A</w:t>
      </w:r>
      <w:r>
        <w:t xml:space="preserve"> </w:t>
      </w:r>
      <w:r>
        <w:rPr>
          <w:bCs/>
          <w:b/>
        </w:rPr>
        <w:t xml:space="preserve">restaurant supervisor</w:t>
      </w:r>
      <w:r>
        <w:t xml:space="preserve"> </w:t>
      </w:r>
      <w:r>
        <w:t xml:space="preserve">may lead a shift without full authority over hiring, payroll, purchasing, pricing, contracts, or discipline. A</w:t>
      </w:r>
      <w:r>
        <w:t xml:space="preserve"> </w:t>
      </w:r>
      <w:r>
        <w:rPr>
          <w:bCs/>
          <w:b/>
        </w:rPr>
        <w:t xml:space="preserve">management trainee</w:t>
      </w:r>
      <w:r>
        <w:t xml:space="preserve"> </w:t>
      </w:r>
      <w:r>
        <w:t xml:space="preserve">may rotate through kitchen, service, inventory, scheduling, customer-service, and administrative functions while learning how the business operates. A fully accountable</w:t>
      </w:r>
      <w:r>
        <w:t xml:space="preserve"> </w:t>
      </w:r>
      <w:r>
        <w:rPr>
          <w:bCs/>
          <w:b/>
        </w:rPr>
        <w:t xml:space="preserve">Food Service Manager</w:t>
      </w:r>
      <w:r>
        <w:t xml:space="preserve"> </w:t>
      </w:r>
      <w:r>
        <w:t xml:space="preserve">usually carries broader responsibility for staffing, budgets, compliance, safety, financial records, and overall performance.</w:t>
      </w:r>
    </w:p>
    <w:p>
      <w:pPr>
        <w:pStyle w:val="BodyText"/>
      </w:pPr>
      <w:r>
        <w:t xml:space="preserve">This guide therefore uses</w:t>
      </w:r>
      <w:r>
        <w:t xml:space="preserve"> </w:t>
      </w:r>
      <w:r>
        <w:rPr>
          <w:bCs/>
          <w:b/>
        </w:rPr>
        <w:t xml:space="preserve">O*NET-SOC 11-9051.00 — Food Service Managers</w:t>
      </w:r>
      <w:r>
        <w:t xml:space="preserve"> </w:t>
      </w:r>
      <w:r>
        <w:t xml:space="preserve">as the primary U.S. occupational benchmark while keeping trainee and supervisor roles clearly distinguished from full management authority.</w:t>
      </w:r>
    </w:p>
    <w:bookmarkEnd w:id="20"/>
    <w:bookmarkStart w:id="21" w:name="why-this-role-can-be-an-opportunity"/>
    <w:p>
      <w:pPr>
        <w:pStyle w:val="Heading2"/>
      </w:pPr>
      <w:r>
        <w:t xml:space="preserve">Why this role can be an opportunity</w:t>
      </w:r>
    </w:p>
    <w:p>
      <w:pPr>
        <w:pStyle w:val="FirstParagraph"/>
      </w:pPr>
      <w:r>
        <w:t xml:space="preserve">Food service is one of the few industries where people can still progress from frontline work into supervision and management through a combination of reliability, customer service, food-safety discipline, leadership, and practical business skills. Many managers begin in jobs such as server, cook, cashier, host, food-preparation worker, or shift leader and move upward after demonstrating competence.</w:t>
      </w:r>
    </w:p>
    <w:p>
      <w:pPr>
        <w:pStyle w:val="BodyText"/>
      </w:pPr>
      <w:r>
        <w:t xml:space="preserve">The field can suit people who prefer active work, frequent interaction, visible results, problem solving, and leading a team in real time. It can also provide portable experience in scheduling, inventory, quality control, training, customer service, cost awareness, workplace safety, and operational leadership.</w:t>
      </w:r>
    </w:p>
    <w:p>
      <w:pPr>
        <w:pStyle w:val="BodyText"/>
      </w:pPr>
      <w:r>
        <w:t xml:space="preserve">It is not an easy occupation. Restaurant work can involve long periods of standing and walking, hot or crowded work areas, slips and cuts, dissatisfied customers, time pressure, early mornings, nights, weekends, holidays, and short-notice schedule changes.</w:t>
      </w:r>
    </w:p>
    <w:bookmarkEnd w:id="21"/>
    <w:bookmarkStart w:id="22" w:name="typical-responsibilities"/>
    <w:p>
      <w:pPr>
        <w:pStyle w:val="Heading2"/>
      </w:pPr>
      <w:r>
        <w:t xml:space="preserve">Typical responsibilities</w:t>
      </w:r>
    </w:p>
    <w:p>
      <w:pPr>
        <w:pStyle w:val="FirstParagraph"/>
      </w:pPr>
      <w:r>
        <w:t xml:space="preserve">A trainee or supervisor may be asked to:</w:t>
      </w:r>
    </w:p>
    <w:p>
      <w:pPr>
        <w:numPr>
          <w:ilvl w:val="0"/>
          <w:numId w:val="1001"/>
        </w:numPr>
        <w:pStyle w:val="Compact"/>
      </w:pPr>
      <w:r>
        <w:t xml:space="preserve">open or close a shift according to employer procedures;</w:t>
      </w:r>
    </w:p>
    <w:p>
      <w:pPr>
        <w:numPr>
          <w:ilvl w:val="0"/>
          <w:numId w:val="1001"/>
        </w:numPr>
        <w:pStyle w:val="Compact"/>
      </w:pPr>
      <w:r>
        <w:t xml:space="preserve">confirm staffing and assign stations or duties;</w:t>
      </w:r>
    </w:p>
    <w:p>
      <w:pPr>
        <w:numPr>
          <w:ilvl w:val="0"/>
          <w:numId w:val="1001"/>
        </w:numPr>
        <w:pStyle w:val="Compact"/>
      </w:pPr>
      <w:r>
        <w:t xml:space="preserve">monitor service pace and customer experience;</w:t>
      </w:r>
    </w:p>
    <w:p>
      <w:pPr>
        <w:numPr>
          <w:ilvl w:val="0"/>
          <w:numId w:val="1001"/>
        </w:numPr>
        <w:pStyle w:val="Compact"/>
      </w:pPr>
      <w:r>
        <w:t xml:space="preserve">support new-employee orientation and task coaching;</w:t>
      </w:r>
    </w:p>
    <w:p>
      <w:pPr>
        <w:numPr>
          <w:ilvl w:val="0"/>
          <w:numId w:val="1001"/>
        </w:numPr>
        <w:pStyle w:val="Compact"/>
      </w:pPr>
      <w:r>
        <w:t xml:space="preserve">verify cleaning, sanitation, temperature, and food-handling routines;</w:t>
      </w:r>
    </w:p>
    <w:p>
      <w:pPr>
        <w:numPr>
          <w:ilvl w:val="0"/>
          <w:numId w:val="1001"/>
        </w:numPr>
        <w:pStyle w:val="Compact"/>
      </w:pPr>
      <w:r>
        <w:t xml:space="preserve">check inventory levels and report shortages;</w:t>
      </w:r>
    </w:p>
    <w:p>
      <w:pPr>
        <w:numPr>
          <w:ilvl w:val="0"/>
          <w:numId w:val="1001"/>
        </w:numPr>
        <w:pStyle w:val="Compact"/>
      </w:pPr>
      <w:r>
        <w:t xml:space="preserve">receive deliveries within delegated authority and verify quantity or condition;</w:t>
      </w:r>
    </w:p>
    <w:p>
      <w:pPr>
        <w:numPr>
          <w:ilvl w:val="0"/>
          <w:numId w:val="1001"/>
        </w:numPr>
        <w:pStyle w:val="Compact"/>
      </w:pPr>
      <w:r>
        <w:t xml:space="preserve">coordinate communication between kitchen and front-of-house staff;</w:t>
      </w:r>
    </w:p>
    <w:p>
      <w:pPr>
        <w:numPr>
          <w:ilvl w:val="0"/>
          <w:numId w:val="1001"/>
        </w:numPr>
        <w:pStyle w:val="Compact"/>
      </w:pPr>
      <w:r>
        <w:t xml:space="preserve">handle routine customer concerns and escalate higher-risk complaints;</w:t>
      </w:r>
    </w:p>
    <w:p>
      <w:pPr>
        <w:numPr>
          <w:ilvl w:val="0"/>
          <w:numId w:val="1001"/>
        </w:numPr>
        <w:pStyle w:val="Compact"/>
      </w:pPr>
      <w:r>
        <w:t xml:space="preserve">support cash-control and point-of-sale procedures where authorized;</w:t>
      </w:r>
    </w:p>
    <w:p>
      <w:pPr>
        <w:numPr>
          <w:ilvl w:val="0"/>
          <w:numId w:val="1001"/>
        </w:numPr>
        <w:pStyle w:val="Compact"/>
      </w:pPr>
      <w:r>
        <w:t xml:space="preserve">document incidents, shortages, maintenance concerns, or service problems;</w:t>
      </w:r>
    </w:p>
    <w:p>
      <w:pPr>
        <w:numPr>
          <w:ilvl w:val="0"/>
          <w:numId w:val="1001"/>
        </w:numPr>
        <w:pStyle w:val="Compact"/>
      </w:pPr>
      <w:r>
        <w:t xml:space="preserve">support schedule changes and attendance tracking;</w:t>
      </w:r>
    </w:p>
    <w:p>
      <w:pPr>
        <w:numPr>
          <w:ilvl w:val="0"/>
          <w:numId w:val="1001"/>
        </w:numPr>
        <w:pStyle w:val="Compact"/>
      </w:pPr>
      <w:r>
        <w:t xml:space="preserve">monitor compliance with employer policies for alcohol service where applicable;</w:t>
      </w:r>
    </w:p>
    <w:p>
      <w:pPr>
        <w:numPr>
          <w:ilvl w:val="0"/>
          <w:numId w:val="1001"/>
        </w:numPr>
        <w:pStyle w:val="Compact"/>
      </w:pPr>
      <w:r>
        <w:t xml:space="preserve">help maintain a safe, accessible, respectful workplace.</w:t>
      </w:r>
    </w:p>
    <w:p>
      <w:pPr>
        <w:pStyle w:val="FirstParagraph"/>
      </w:pPr>
      <w:r>
        <w:t xml:space="preserve">A fully accountable food service manager may additionally manage staffing, recruiting, performance, budgets, payroll records, purchasing, vendor relationships, regulatory records, facility services, pricing, and broader financial decisions.</w:t>
      </w:r>
    </w:p>
    <w:bookmarkEnd w:id="22"/>
    <w:bookmarkStart w:id="23" w:name="authority-boundaries"/>
    <w:p>
      <w:pPr>
        <w:pStyle w:val="Heading2"/>
      </w:pPr>
      <w:r>
        <w:t xml:space="preserve">Authority boundaries</w:t>
      </w:r>
    </w:p>
    <w:p>
      <w:pPr>
        <w:pStyle w:val="FirstParagraph"/>
      </w:pPr>
      <w:r>
        <w:t xml:space="preserve">Do not assume that a trainee or supervisor title gives authority to:</w:t>
      </w:r>
    </w:p>
    <w:p>
      <w:pPr>
        <w:numPr>
          <w:ilvl w:val="0"/>
          <w:numId w:val="1002"/>
        </w:numPr>
        <w:pStyle w:val="Compact"/>
      </w:pPr>
      <w:r>
        <w:t xml:space="preserve">hire, fire, suspend, or formally discipline employees;</w:t>
      </w:r>
    </w:p>
    <w:p>
      <w:pPr>
        <w:numPr>
          <w:ilvl w:val="0"/>
          <w:numId w:val="1002"/>
        </w:numPr>
        <w:pStyle w:val="Compact"/>
      </w:pPr>
      <w:r>
        <w:t xml:space="preserve">change wages, payroll records, or time records outside approved procedures;</w:t>
      </w:r>
    </w:p>
    <w:p>
      <w:pPr>
        <w:numPr>
          <w:ilvl w:val="0"/>
          <w:numId w:val="1002"/>
        </w:numPr>
        <w:pStyle w:val="Compact"/>
      </w:pPr>
      <w:r>
        <w:t xml:space="preserve">sign supplier, lease, catering, or service contracts;</w:t>
      </w:r>
    </w:p>
    <w:p>
      <w:pPr>
        <w:numPr>
          <w:ilvl w:val="0"/>
          <w:numId w:val="1002"/>
        </w:numPr>
        <w:pStyle w:val="Compact"/>
      </w:pPr>
      <w:r>
        <w:t xml:space="preserve">approve major purchases or capital spending;</w:t>
      </w:r>
    </w:p>
    <w:p>
      <w:pPr>
        <w:numPr>
          <w:ilvl w:val="0"/>
          <w:numId w:val="1002"/>
        </w:numPr>
        <w:pStyle w:val="Compact"/>
      </w:pPr>
      <w:r>
        <w:t xml:space="preserve">change menu prices, taxes, discounts, or refund rules;</w:t>
      </w:r>
    </w:p>
    <w:p>
      <w:pPr>
        <w:numPr>
          <w:ilvl w:val="0"/>
          <w:numId w:val="1002"/>
        </w:numPr>
        <w:pStyle w:val="Compact"/>
      </w:pPr>
      <w:r>
        <w:t xml:space="preserve">override food-safety requirements to speed service;</w:t>
      </w:r>
    </w:p>
    <w:p>
      <w:pPr>
        <w:numPr>
          <w:ilvl w:val="0"/>
          <w:numId w:val="1002"/>
        </w:numPr>
        <w:pStyle w:val="Compact"/>
      </w:pPr>
      <w:r>
        <w:t xml:space="preserve">authorize alcohol service contrary to law or company policy;</w:t>
      </w:r>
    </w:p>
    <w:p>
      <w:pPr>
        <w:numPr>
          <w:ilvl w:val="0"/>
          <w:numId w:val="1002"/>
        </w:numPr>
        <w:pStyle w:val="Compact"/>
      </w:pPr>
      <w:r>
        <w:t xml:space="preserve">access unrestricted HR, payroll, payment-card, or customer information;</w:t>
      </w:r>
    </w:p>
    <w:p>
      <w:pPr>
        <w:numPr>
          <w:ilvl w:val="0"/>
          <w:numId w:val="1002"/>
        </w:numPr>
        <w:pStyle w:val="Compact"/>
      </w:pPr>
      <w:r>
        <w:t xml:space="preserve">speak for the company to regulators unless formally designated;</w:t>
      </w:r>
    </w:p>
    <w:p>
      <w:pPr>
        <w:numPr>
          <w:ilvl w:val="0"/>
          <w:numId w:val="1002"/>
        </w:numPr>
        <w:pStyle w:val="Compact"/>
      </w:pPr>
      <w:r>
        <w:t xml:space="preserve">conceal injuries, food-safety incidents, harassment reports, theft, or other reportable events.</w:t>
      </w:r>
    </w:p>
    <w:p>
      <w:pPr>
        <w:pStyle w:val="FirstParagraph"/>
      </w:pPr>
      <w:r>
        <w:t xml:space="preserve">When authority is unclear, escalate to the designated manager.</w:t>
      </w:r>
    </w:p>
    <w:bookmarkEnd w:id="23"/>
    <w:bookmarkStart w:id="24" w:name="work-environment"/>
    <w:p>
      <w:pPr>
        <w:pStyle w:val="Heading2"/>
      </w:pPr>
      <w:r>
        <w:t xml:space="preserve">Work environment</w:t>
      </w:r>
    </w:p>
    <w:p>
      <w:pPr>
        <w:pStyle w:val="FirstParagraph"/>
      </w:pPr>
      <w:r>
        <w:t xml:space="preserve">Food service managers and supervisors work in restaurants, hotels, cafeterias, schools, institutional kitchens, catering businesses, and other establishments that prepare or serve food and beverages. Schedules often include evenings, weekends, and holidays. Some full managers work more than 40 hours per week.</w:t>
      </w:r>
    </w:p>
    <w:p>
      <w:pPr>
        <w:pStyle w:val="BodyText"/>
      </w:pPr>
      <w:r>
        <w:t xml:space="preserve">Common hazards include hot surfaces, sharp tools, slippery floors, lifting, repetitive motion, crowded work areas, rushing, and conflict with customers or coworkers. Nonslip footwear, appropriate protective equipment, safe lifting, spill response, knife safety, burn prevention, and adherence to emergency procedures are practical parts of the job.</w:t>
      </w:r>
    </w:p>
    <w:bookmarkEnd w:id="24"/>
    <w:bookmarkStart w:id="29" w:name="skills-employers-value"/>
    <w:p>
      <w:pPr>
        <w:pStyle w:val="Heading2"/>
      </w:pPr>
      <w:r>
        <w:t xml:space="preserve">Skills employers value</w:t>
      </w:r>
    </w:p>
    <w:bookmarkStart w:id="25" w:name="people-and-service-skills"/>
    <w:p>
      <w:pPr>
        <w:pStyle w:val="Heading3"/>
      </w:pPr>
      <w:r>
        <w:t xml:space="preserve">People and service skills</w:t>
      </w:r>
    </w:p>
    <w:p>
      <w:pPr>
        <w:numPr>
          <w:ilvl w:val="0"/>
          <w:numId w:val="1003"/>
        </w:numPr>
        <w:pStyle w:val="Compact"/>
      </w:pPr>
      <w:r>
        <w:t xml:space="preserve">clear verbal communication;</w:t>
      </w:r>
    </w:p>
    <w:p>
      <w:pPr>
        <w:numPr>
          <w:ilvl w:val="0"/>
          <w:numId w:val="1003"/>
        </w:numPr>
        <w:pStyle w:val="Compact"/>
      </w:pPr>
      <w:r>
        <w:t xml:space="preserve">customer-service judgment;</w:t>
      </w:r>
    </w:p>
    <w:p>
      <w:pPr>
        <w:numPr>
          <w:ilvl w:val="0"/>
          <w:numId w:val="1003"/>
        </w:numPr>
        <w:pStyle w:val="Compact"/>
      </w:pPr>
      <w:r>
        <w:t xml:space="preserve">conflict de-escalation;</w:t>
      </w:r>
    </w:p>
    <w:p>
      <w:pPr>
        <w:numPr>
          <w:ilvl w:val="0"/>
          <w:numId w:val="1003"/>
        </w:numPr>
        <w:pStyle w:val="Compact"/>
      </w:pPr>
      <w:r>
        <w:t xml:space="preserve">coaching and instruction;</w:t>
      </w:r>
    </w:p>
    <w:p>
      <w:pPr>
        <w:numPr>
          <w:ilvl w:val="0"/>
          <w:numId w:val="1003"/>
        </w:numPr>
        <w:pStyle w:val="Compact"/>
      </w:pPr>
      <w:r>
        <w:t xml:space="preserve">teamwork and shift coordination;</w:t>
      </w:r>
    </w:p>
    <w:p>
      <w:pPr>
        <w:numPr>
          <w:ilvl w:val="0"/>
          <w:numId w:val="1003"/>
        </w:numPr>
        <w:pStyle w:val="Compact"/>
      </w:pPr>
      <w:r>
        <w:t xml:space="preserve">respectful feedback;</w:t>
      </w:r>
    </w:p>
    <w:p>
      <w:pPr>
        <w:numPr>
          <w:ilvl w:val="0"/>
          <w:numId w:val="1003"/>
        </w:numPr>
        <w:pStyle w:val="Compact"/>
      </w:pPr>
      <w:r>
        <w:t xml:space="preserve">culturally aware communication.</w:t>
      </w:r>
    </w:p>
    <w:bookmarkEnd w:id="25"/>
    <w:bookmarkStart w:id="26" w:name="operational-skills"/>
    <w:p>
      <w:pPr>
        <w:pStyle w:val="Heading3"/>
      </w:pPr>
      <w:r>
        <w:t xml:space="preserve">Operational skills</w:t>
      </w:r>
    </w:p>
    <w:p>
      <w:pPr>
        <w:numPr>
          <w:ilvl w:val="0"/>
          <w:numId w:val="1004"/>
        </w:numPr>
        <w:pStyle w:val="Compact"/>
      </w:pPr>
      <w:r>
        <w:t xml:space="preserve">scheduling and staffing awareness;</w:t>
      </w:r>
    </w:p>
    <w:p>
      <w:pPr>
        <w:numPr>
          <w:ilvl w:val="0"/>
          <w:numId w:val="1004"/>
        </w:numPr>
        <w:pStyle w:val="Compact"/>
      </w:pPr>
      <w:r>
        <w:t xml:space="preserve">inventory control;</w:t>
      </w:r>
    </w:p>
    <w:p>
      <w:pPr>
        <w:numPr>
          <w:ilvl w:val="0"/>
          <w:numId w:val="1004"/>
        </w:numPr>
        <w:pStyle w:val="Compact"/>
      </w:pPr>
      <w:r>
        <w:t xml:space="preserve">receiving and stock rotation;</w:t>
      </w:r>
    </w:p>
    <w:p>
      <w:pPr>
        <w:numPr>
          <w:ilvl w:val="0"/>
          <w:numId w:val="1004"/>
        </w:numPr>
        <w:pStyle w:val="Compact"/>
      </w:pPr>
      <w:r>
        <w:t xml:space="preserve">point-of-sale procedures;</w:t>
      </w:r>
    </w:p>
    <w:p>
      <w:pPr>
        <w:numPr>
          <w:ilvl w:val="0"/>
          <w:numId w:val="1004"/>
        </w:numPr>
        <w:pStyle w:val="Compact"/>
      </w:pPr>
      <w:r>
        <w:t xml:space="preserve">cash-control discipline;</w:t>
      </w:r>
    </w:p>
    <w:p>
      <w:pPr>
        <w:numPr>
          <w:ilvl w:val="0"/>
          <w:numId w:val="1004"/>
        </w:numPr>
        <w:pStyle w:val="Compact"/>
      </w:pPr>
      <w:r>
        <w:t xml:space="preserve">sanitation verification;</w:t>
      </w:r>
    </w:p>
    <w:p>
      <w:pPr>
        <w:numPr>
          <w:ilvl w:val="0"/>
          <w:numId w:val="1004"/>
        </w:numPr>
        <w:pStyle w:val="Compact"/>
      </w:pPr>
      <w:r>
        <w:t xml:space="preserve">food-quality observation;</w:t>
      </w:r>
    </w:p>
    <w:p>
      <w:pPr>
        <w:numPr>
          <w:ilvl w:val="0"/>
          <w:numId w:val="1004"/>
        </w:numPr>
        <w:pStyle w:val="Compact"/>
      </w:pPr>
      <w:r>
        <w:t xml:space="preserve">complaint handling;</w:t>
      </w:r>
    </w:p>
    <w:p>
      <w:pPr>
        <w:numPr>
          <w:ilvl w:val="0"/>
          <w:numId w:val="1004"/>
        </w:numPr>
        <w:pStyle w:val="Compact"/>
      </w:pPr>
      <w:r>
        <w:t xml:space="preserve">maintenance escalation;</w:t>
      </w:r>
    </w:p>
    <w:p>
      <w:pPr>
        <w:numPr>
          <w:ilvl w:val="0"/>
          <w:numId w:val="1004"/>
        </w:numPr>
        <w:pStyle w:val="Compact"/>
      </w:pPr>
      <w:r>
        <w:t xml:space="preserve">opening and closing checklists.</w:t>
      </w:r>
    </w:p>
    <w:bookmarkEnd w:id="26"/>
    <w:bookmarkStart w:id="27" w:name="business-skills"/>
    <w:p>
      <w:pPr>
        <w:pStyle w:val="Heading3"/>
      </w:pPr>
      <w:r>
        <w:t xml:space="preserve">Business skills</w:t>
      </w:r>
    </w:p>
    <w:p>
      <w:pPr>
        <w:numPr>
          <w:ilvl w:val="0"/>
          <w:numId w:val="1005"/>
        </w:numPr>
        <w:pStyle w:val="Compact"/>
      </w:pPr>
      <w:r>
        <w:t xml:space="preserve">basic budgeting and cost awareness;</w:t>
      </w:r>
    </w:p>
    <w:p>
      <w:pPr>
        <w:numPr>
          <w:ilvl w:val="0"/>
          <w:numId w:val="1005"/>
        </w:numPr>
        <w:pStyle w:val="Compact"/>
      </w:pPr>
      <w:r>
        <w:t xml:space="preserve">labor-cost awareness;</w:t>
      </w:r>
    </w:p>
    <w:p>
      <w:pPr>
        <w:numPr>
          <w:ilvl w:val="0"/>
          <w:numId w:val="1005"/>
        </w:numPr>
        <w:pStyle w:val="Compact"/>
      </w:pPr>
      <w:r>
        <w:t xml:space="preserve">sales and productivity tracking;</w:t>
      </w:r>
    </w:p>
    <w:p>
      <w:pPr>
        <w:numPr>
          <w:ilvl w:val="0"/>
          <w:numId w:val="1005"/>
        </w:numPr>
        <w:pStyle w:val="Compact"/>
      </w:pPr>
      <w:r>
        <w:t xml:space="preserve">recordkeeping;</w:t>
      </w:r>
    </w:p>
    <w:p>
      <w:pPr>
        <w:numPr>
          <w:ilvl w:val="0"/>
          <w:numId w:val="1005"/>
        </w:numPr>
        <w:pStyle w:val="Compact"/>
      </w:pPr>
      <w:r>
        <w:t xml:space="preserve">spreadsheet basics;</w:t>
      </w:r>
    </w:p>
    <w:p>
      <w:pPr>
        <w:numPr>
          <w:ilvl w:val="0"/>
          <w:numId w:val="1005"/>
        </w:numPr>
        <w:pStyle w:val="Compact"/>
      </w:pPr>
      <w:r>
        <w:t xml:space="preserve">purchasing and vendor-process awareness;</w:t>
      </w:r>
    </w:p>
    <w:p>
      <w:pPr>
        <w:numPr>
          <w:ilvl w:val="0"/>
          <w:numId w:val="1005"/>
        </w:numPr>
        <w:pStyle w:val="Compact"/>
      </w:pPr>
      <w:r>
        <w:t xml:space="preserve">simple performance metrics.</w:t>
      </w:r>
    </w:p>
    <w:bookmarkEnd w:id="27"/>
    <w:bookmarkStart w:id="28" w:name="leadership-habits"/>
    <w:p>
      <w:pPr>
        <w:pStyle w:val="Heading3"/>
      </w:pPr>
      <w:r>
        <w:t xml:space="preserve">Leadership habits</w:t>
      </w:r>
    </w:p>
    <w:p>
      <w:pPr>
        <w:pStyle w:val="FirstParagraph"/>
      </w:pPr>
      <w:r>
        <w:t xml:space="preserve">Strong supervisors are reliable, calm under pressure, fair, consistent, safety-conscious, willing to help during busy periods, and able to separate urgent problems from problems that can wait.</w:t>
      </w:r>
    </w:p>
    <w:bookmarkEnd w:id="28"/>
    <w:bookmarkEnd w:id="29"/>
    <w:bookmarkStart w:id="30" w:name="X2ab2b846627d466a0bfe53fbe676e36527ed6a2"/>
    <w:p>
      <w:pPr>
        <w:pStyle w:val="Heading2"/>
      </w:pPr>
      <w:r>
        <w:t xml:space="preserve">Education and entry pathways — United States</w:t>
      </w:r>
    </w:p>
    <w:p>
      <w:pPr>
        <w:pStyle w:val="FirstParagraph"/>
      </w:pPr>
      <w:r>
        <w:t xml:space="preserve">The U.S. Bureau of Labor Statistics says food service managers typically need a</w:t>
      </w:r>
      <w:r>
        <w:t xml:space="preserve"> </w:t>
      </w:r>
      <w:r>
        <w:rPr>
          <w:bCs/>
          <w:b/>
        </w:rPr>
        <w:t xml:space="preserve">high school diploma or equivalent</w:t>
      </w:r>
      <w:r>
        <w:t xml:space="preserve"> </w:t>
      </w:r>
      <w:r>
        <w:t xml:space="preserve">and several years of related food-service experience. Many start in frontline jobs and progress into supervision. Some employers prefer postsecondary hospitality, culinary, restaurant-management, or business education, particularly for upscale restaurants, hotels, institutional operations, or structured management-trainee programs.</w:t>
      </w:r>
    </w:p>
    <w:p>
      <w:pPr>
        <w:pStyle w:val="BodyText"/>
      </w:pPr>
      <w:r>
        <w:t xml:space="preserve">BLS notes that some food-service companies and hotel or restaurant chains recruit management trainees from hospitality or food-service management programs. These programs may combine classroom study with internships or industry experience.</w:t>
      </w:r>
    </w:p>
    <w:p>
      <w:pPr>
        <w:pStyle w:val="BodyText"/>
      </w:pPr>
      <w:r>
        <w:t xml:space="preserve">A practical low-cost progression can be:</w:t>
      </w:r>
    </w:p>
    <w:p>
      <w:pPr>
        <w:numPr>
          <w:ilvl w:val="0"/>
          <w:numId w:val="1006"/>
        </w:numPr>
        <w:pStyle w:val="Compact"/>
      </w:pPr>
      <w:r>
        <w:t xml:space="preserve">gain food-service experience;</w:t>
      </w:r>
    </w:p>
    <w:p>
      <w:pPr>
        <w:numPr>
          <w:ilvl w:val="0"/>
          <w:numId w:val="1006"/>
        </w:numPr>
        <w:pStyle w:val="Compact"/>
      </w:pPr>
      <w:r>
        <w:t xml:space="preserve">learn sanitation, service, cash-control, and opening/closing procedures;</w:t>
      </w:r>
    </w:p>
    <w:p>
      <w:pPr>
        <w:numPr>
          <w:ilvl w:val="0"/>
          <w:numId w:val="1006"/>
        </w:numPr>
        <w:pStyle w:val="Compact"/>
      </w:pPr>
      <w:r>
        <w:t xml:space="preserve">volunteer for training, inventory, or shift-coordination duties;</w:t>
      </w:r>
    </w:p>
    <w:p>
      <w:pPr>
        <w:numPr>
          <w:ilvl w:val="0"/>
          <w:numId w:val="1006"/>
        </w:numPr>
        <w:pStyle w:val="Compact"/>
      </w:pPr>
      <w:r>
        <w:t xml:space="preserve">complete employer-required food-safety training;</w:t>
      </w:r>
    </w:p>
    <w:p>
      <w:pPr>
        <w:numPr>
          <w:ilvl w:val="0"/>
          <w:numId w:val="1006"/>
        </w:numPr>
        <w:pStyle w:val="Compact"/>
      </w:pPr>
      <w:r>
        <w:t xml:space="preserve">build basic spreadsheet, scheduling, and cost-control skills;</w:t>
      </w:r>
    </w:p>
    <w:p>
      <w:pPr>
        <w:numPr>
          <w:ilvl w:val="0"/>
          <w:numId w:val="1006"/>
        </w:numPr>
        <w:pStyle w:val="Compact"/>
      </w:pPr>
      <w:r>
        <w:t xml:space="preserve">apply for shift leader, supervisor, assistant manager, or management-trainee roles;</w:t>
      </w:r>
    </w:p>
    <w:p>
      <w:pPr>
        <w:numPr>
          <w:ilvl w:val="0"/>
          <w:numId w:val="1006"/>
        </w:numPr>
        <w:pStyle w:val="Compact"/>
      </w:pPr>
      <w:r>
        <w:t xml:space="preserve">add formal education only when it improves access to a target employer or role.</w:t>
      </w:r>
    </w:p>
    <w:bookmarkEnd w:id="30"/>
    <w:bookmarkStart w:id="31" w:name="X59968ee48d8b95420f75a229a0526618a9ef4be"/>
    <w:p>
      <w:pPr>
        <w:pStyle w:val="Heading2"/>
      </w:pPr>
      <w:r>
        <w:t xml:space="preserve">Food-safety certification and jurisdiction checks</w:t>
      </w:r>
    </w:p>
    <w:p>
      <w:pPr>
        <w:pStyle w:val="FirstParagraph"/>
      </w:pPr>
      <w:r>
        <w:t xml:space="preserve">The FDA publishes the</w:t>
      </w:r>
      <w:r>
        <w:t xml:space="preserve"> </w:t>
      </w:r>
      <w:r>
        <w:rPr>
          <w:bCs/>
          <w:b/>
        </w:rPr>
        <w:t xml:space="preserve">2022 Food Code</w:t>
      </w:r>
      <w:r>
        <w:t xml:space="preserve">, with a 2024 supplement, as a model for retail and food-service safety. It is not a single nationwide restaurant law. State, local, tribal, territorial, and other authorities decide how provisions are adopted and enforced.</w:t>
      </w:r>
    </w:p>
    <w:p>
      <w:pPr>
        <w:pStyle w:val="BodyText"/>
      </w:pPr>
      <w:r>
        <w:t xml:space="preserve">The model Food Code includes certified food protection manager/person-in-charge concepts, but local adoption and exceptions vary. BLS likewise notes that some states and localities require food service managers to hold food-safety certification.</w:t>
      </w:r>
    </w:p>
    <w:p>
      <w:pPr>
        <w:pStyle w:val="BodyText"/>
      </w:pPr>
      <w:r>
        <w:t xml:space="preserve">Before paying for a course or exam, verify:</w:t>
      </w:r>
    </w:p>
    <w:p>
      <w:pPr>
        <w:numPr>
          <w:ilvl w:val="0"/>
          <w:numId w:val="1007"/>
        </w:numPr>
        <w:pStyle w:val="Compact"/>
      </w:pPr>
      <w:r>
        <w:t xml:space="preserve">the actual state, county, city, or other health-department requirement;</w:t>
      </w:r>
    </w:p>
    <w:p>
      <w:pPr>
        <w:numPr>
          <w:ilvl w:val="0"/>
          <w:numId w:val="1007"/>
        </w:numPr>
        <w:pStyle w:val="Compact"/>
      </w:pPr>
      <w:r>
        <w:t xml:space="preserve">which certifications the employer accepts;</w:t>
      </w:r>
    </w:p>
    <w:p>
      <w:pPr>
        <w:numPr>
          <w:ilvl w:val="0"/>
          <w:numId w:val="1007"/>
        </w:numPr>
        <w:pStyle w:val="Compact"/>
      </w:pPr>
      <w:r>
        <w:t xml:space="preserve">whether the employer pays for training or examination fees;</w:t>
      </w:r>
    </w:p>
    <w:p>
      <w:pPr>
        <w:numPr>
          <w:ilvl w:val="0"/>
          <w:numId w:val="1007"/>
        </w:numPr>
        <w:pStyle w:val="Compact"/>
      </w:pPr>
      <w:r>
        <w:t xml:space="preserve">renewal requirements;</w:t>
      </w:r>
    </w:p>
    <w:p>
      <w:pPr>
        <w:numPr>
          <w:ilvl w:val="0"/>
          <w:numId w:val="1007"/>
        </w:numPr>
        <w:pStyle w:val="Compact"/>
      </w:pPr>
      <w:r>
        <w:t xml:space="preserve">whether a trainee or shift supervisor must hold the credential personally or only work under a certified person in charge.</w:t>
      </w:r>
    </w:p>
    <w:bookmarkEnd w:id="31"/>
    <w:bookmarkStart w:id="32" w:name="alcohol-service-boundary"/>
    <w:p>
      <w:pPr>
        <w:pStyle w:val="Heading2"/>
      </w:pPr>
      <w:r>
        <w:t xml:space="preserve">Alcohol-service boundary</w:t>
      </w:r>
    </w:p>
    <w:p>
      <w:pPr>
        <w:pStyle w:val="FirstParagraph"/>
      </w:pPr>
      <w:r>
        <w:t xml:space="preserve">Restaurants that serve alcohol may have separate responsible-beverage-service training, age, licensing, or supervision requirements. These differ by jurisdiction. Never assume that a food-safety credential authorizes alcohol service.</w:t>
      </w:r>
    </w:p>
    <w:p>
      <w:pPr>
        <w:pStyle w:val="BodyText"/>
      </w:pPr>
      <w:r>
        <w:t xml:space="preserve">A supervisor should follow employer escalation procedures for intoxication, age verification, service refusal, disturbances, and safety incidents. Do not improvise beyond training and delegated authority.</w:t>
      </w:r>
    </w:p>
    <w:bookmarkEnd w:id="32"/>
    <w:bookmarkStart w:id="33" w:name="canada-pathway"/>
    <w:p>
      <w:pPr>
        <w:pStyle w:val="Heading2"/>
      </w:pPr>
      <w:r>
        <w:t xml:space="preserve">Canada pathway</w:t>
      </w:r>
    </w:p>
    <w:p>
      <w:pPr>
        <w:pStyle w:val="FirstParagraph"/>
      </w:pPr>
      <w:r>
        <w:t xml:space="preserve">The closest Canadian benchmark is</w:t>
      </w:r>
      <w:r>
        <w:t xml:space="preserve"> </w:t>
      </w:r>
      <w:r>
        <w:rPr>
          <w:bCs/>
          <w:b/>
        </w:rPr>
        <w:t xml:space="preserve">NOC 60030 — Restaurant and food service managers</w:t>
      </w:r>
      <w:r>
        <w:t xml:space="preserve">. Job Bank describes these workers as planning, organizing, directing, controlling, and evaluating restaurant, bar, cafeteria, and other food-and-beverage-service operations.</w:t>
      </w:r>
    </w:p>
    <w:p>
      <w:pPr>
        <w:pStyle w:val="BodyText"/>
      </w:pPr>
      <w:r>
        <w:t xml:space="preserve">Job Bank currently states that workers typically need a college or other program related to hospitality or food-and-beverage service management, several years of food-service experience including supervisory experience, and responsible beverage service certification when managing an establishment that serves alcohol. Job Bank states that the occupation itself is not regulated nationally.</w:t>
      </w:r>
    </w:p>
    <w:p>
      <w:pPr>
        <w:pStyle w:val="BodyText"/>
      </w:pPr>
      <w:r>
        <w:t xml:space="preserve">Because Canadian requirements vary by province, territory, employer, and establishment type, verify the exact local food-safety, alcohol-service, occupational-health-and-safety, and employment requirements before enrolling or accepting responsibility.</w:t>
      </w:r>
    </w:p>
    <w:bookmarkEnd w:id="33"/>
    <w:bookmarkStart w:id="36" w:name="colombia-pathway"/>
    <w:p>
      <w:pPr>
        <w:pStyle w:val="Heading2"/>
      </w:pPr>
      <w:r>
        <w:t xml:space="preserve">Colombia pathway</w:t>
      </w:r>
    </w:p>
    <w:p>
      <w:pPr>
        <w:pStyle w:val="FirstParagraph"/>
      </w:pPr>
      <w:r>
        <w:t xml:space="preserve">SENA provides public vocational pathways that can build restaurant-service skills before supervision or management progression.</w:t>
      </w:r>
    </w:p>
    <w:bookmarkStart w:id="34" w:name="servicio-de-restaurante-y-bar"/>
    <w:p>
      <w:pPr>
        <w:pStyle w:val="Heading3"/>
      </w:pPr>
      <w:r>
        <w:t xml:space="preserve">Servicio de restaurante y bar</w:t>
      </w:r>
    </w:p>
    <w:p>
      <w:pPr>
        <w:pStyle w:val="FirstParagraph"/>
      </w:pPr>
      <w:r>
        <w:t xml:space="preserve">Current SENA Betowa information identifies</w:t>
      </w:r>
      <w:r>
        <w:t xml:space="preserve"> </w:t>
      </w:r>
      <w:r>
        <w:rPr>
          <w:bCs/>
          <w:b/>
        </w:rPr>
        <w:t xml:space="preserve">Servicio de restaurante y bar</w:t>
      </w:r>
      <w:r>
        <w:t xml:space="preserve"> </w:t>
      </w:r>
      <w:r>
        <w:t xml:space="preserve">as a titled (</w:t>
      </w:r>
      <w:r>
        <w:rPr>
          <w:rStyle w:val="VerbatimChar"/>
        </w:rPr>
        <w:t xml:space="preserve">Titulada</w:t>
      </w:r>
      <w:r>
        <w:t xml:space="preserve">)</w:t>
      </w:r>
      <w:r>
        <w:t xml:space="preserve"> </w:t>
      </w:r>
      <w:r>
        <w:rPr>
          <w:bCs/>
          <w:b/>
        </w:rPr>
        <w:t xml:space="preserve">Técnico</w:t>
      </w:r>
      <w:r>
        <w:t xml:space="preserve"> </w:t>
      </w:r>
      <w:r>
        <w:t xml:space="preserve">program with a listed duration of</w:t>
      </w:r>
      <w:r>
        <w:t xml:space="preserve"> </w:t>
      </w:r>
      <w:r>
        <w:rPr>
          <w:bCs/>
          <w:b/>
        </w:rPr>
        <w:t xml:space="preserve">2,208 hours</w:t>
      </w:r>
      <w:r>
        <w:t xml:space="preserve">. Competencies include food handling under current regulations, serving food and beverages to technical standards, workplace safety and health, communication, entrepreneurship/business processes, English in social and work contexts, and a practical stage.</w:t>
      </w:r>
    </w:p>
    <w:p>
      <w:pPr>
        <w:pStyle w:val="BodyText"/>
      </w:pPr>
      <w:r>
        <w:t xml:space="preserve">The current program page also lists additional admission requirements for workshop participation. Always verify current intake, location, prerequisites, and availability directly in Betowa.</w:t>
      </w:r>
    </w:p>
    <w:bookmarkEnd w:id="34"/>
    <w:bookmarkStart w:id="35" w:name="X167b39daa760c9c90e9a831ad2953cd89784e67"/>
    <w:p>
      <w:pPr>
        <w:pStyle w:val="Heading3"/>
      </w:pPr>
      <w:r>
        <w:t xml:space="preserve">Emprendedor en técnicas de mesa y bar para el servicio de alimentos y bebidas</w:t>
      </w:r>
    </w:p>
    <w:p>
      <w:pPr>
        <w:pStyle w:val="FirstParagraph"/>
      </w:pPr>
      <w:r>
        <w:t xml:space="preserve">SENA Betowa also lists this complementary special course at</w:t>
      </w:r>
      <w:r>
        <w:t xml:space="preserve"> </w:t>
      </w:r>
      <w:r>
        <w:rPr>
          <w:bCs/>
          <w:b/>
        </w:rPr>
        <w:t xml:space="preserve">330 hours</w:t>
      </w:r>
      <w:r>
        <w:t xml:space="preserve">. It can be relevant for service technique and entrepreneurship development, but completion does not by itself make someone a restaurant manager or guarantee employment.</w:t>
      </w:r>
    </w:p>
    <w:p>
      <w:pPr>
        <w:pStyle w:val="BodyText"/>
      </w:pPr>
      <w:r>
        <w:t xml:space="preserve">No national Colombia salary benchmark is claimed in this guide.</w:t>
      </w:r>
    </w:p>
    <w:bookmarkEnd w:id="35"/>
    <w:bookmarkEnd w:id="36"/>
    <w:bookmarkStart w:id="37" w:name="latin-america-pathway"/>
    <w:p>
      <w:pPr>
        <w:pStyle w:val="Heading2"/>
      </w:pPr>
      <w:r>
        <w:t xml:space="preserve">Latin America pathway</w:t>
      </w:r>
    </w:p>
    <w:p>
      <w:pPr>
        <w:pStyle w:val="FirstParagraph"/>
      </w:pPr>
      <w:r>
        <w:t xml:space="preserve">Restaurant and hospitality education varies widely across Latin America. Useful starting points include national vocational-training institutions, ministries of education or labor, public tourism/hospitality institutes, employer academies, and ILO/Cinterfor-linked institutions.</w:t>
      </w:r>
    </w:p>
    <w:p>
      <w:pPr>
        <w:pStyle w:val="BodyText"/>
      </w:pPr>
      <w:r>
        <w:t xml:space="preserve">When comparing programs, verify:</w:t>
      </w:r>
    </w:p>
    <w:p>
      <w:pPr>
        <w:numPr>
          <w:ilvl w:val="0"/>
          <w:numId w:val="1008"/>
        </w:numPr>
        <w:pStyle w:val="Compact"/>
      </w:pPr>
      <w:r>
        <w:t xml:space="preserve">whether the provider is officially recognized where recognition matters;</w:t>
      </w:r>
    </w:p>
    <w:p>
      <w:pPr>
        <w:numPr>
          <w:ilvl w:val="0"/>
          <w:numId w:val="1008"/>
        </w:numPr>
        <w:pStyle w:val="Compact"/>
      </w:pPr>
      <w:r>
        <w:t xml:space="preserve">total cost, including uniforms, tools, exams, transportation, and materials;</w:t>
      </w:r>
    </w:p>
    <w:p>
      <w:pPr>
        <w:numPr>
          <w:ilvl w:val="0"/>
          <w:numId w:val="1008"/>
        </w:numPr>
        <w:pStyle w:val="Compact"/>
      </w:pPr>
      <w:r>
        <w:t xml:space="preserve">food-handling or health-document requirements;</w:t>
      </w:r>
    </w:p>
    <w:p>
      <w:pPr>
        <w:numPr>
          <w:ilvl w:val="0"/>
          <w:numId w:val="1008"/>
        </w:numPr>
        <w:pStyle w:val="Compact"/>
      </w:pPr>
      <w:r>
        <w:t xml:space="preserve">internship or practical-stage requirements;</w:t>
      </w:r>
    </w:p>
    <w:p>
      <w:pPr>
        <w:numPr>
          <w:ilvl w:val="0"/>
          <w:numId w:val="1008"/>
        </w:numPr>
        <w:pStyle w:val="Compact"/>
      </w:pPr>
      <w:r>
        <w:t xml:space="preserve">schedule compatibility with work;</w:t>
      </w:r>
    </w:p>
    <w:p>
      <w:pPr>
        <w:numPr>
          <w:ilvl w:val="0"/>
          <w:numId w:val="1008"/>
        </w:numPr>
        <w:pStyle w:val="Compact"/>
      </w:pPr>
      <w:r>
        <w:t xml:space="preserve">whether credentials are portable to another region or employer.</w:t>
      </w:r>
    </w:p>
    <w:bookmarkEnd w:id="37"/>
    <w:bookmarkStart w:id="40" w:name="free-first-training-strategy"/>
    <w:p>
      <w:pPr>
        <w:pStyle w:val="Heading2"/>
      </w:pPr>
      <w:r>
        <w:t xml:space="preserve">Free-first training strategy</w:t>
      </w:r>
    </w:p>
    <w:p>
      <w:pPr>
        <w:pStyle w:val="FirstParagraph"/>
      </w:pPr>
      <w:r>
        <w:t xml:space="preserve">Before paying for a private program, use free or employer-supported options where they meet the goal.</w:t>
      </w:r>
    </w:p>
    <w:bookmarkStart w:id="38" w:name="united-states"/>
    <w:p>
      <w:pPr>
        <w:pStyle w:val="Heading3"/>
      </w:pPr>
      <w:r>
        <w:t xml:space="preserve">United States</w:t>
      </w:r>
    </w:p>
    <w:p>
      <w:pPr>
        <w:pStyle w:val="FirstParagraph"/>
      </w:pPr>
      <w:r>
        <w:t xml:space="preserve">CareerOneStop's</w:t>
      </w:r>
      <w:r>
        <w:t xml:space="preserve"> </w:t>
      </w:r>
      <w:r>
        <w:rPr>
          <w:bCs/>
          <w:b/>
        </w:rPr>
        <w:t xml:space="preserve">WIOA-Eligible Training Program Finder</w:t>
      </w:r>
      <w:r>
        <w:t xml:space="preserve"> </w:t>
      </w:r>
      <w:r>
        <w:t xml:space="preserve">can help locate state-approved training that may qualify for Workforce Innovation and Opportunity Act support for eligible participants. Local American Job Centers can explain eligibility and available services.</w:t>
      </w:r>
    </w:p>
    <w:p>
      <w:pPr>
        <w:pStyle w:val="BodyText"/>
      </w:pPr>
      <w:r>
        <w:t xml:space="preserve">O*NET identifies</w:t>
      </w:r>
      <w:r>
        <w:t xml:space="preserve"> </w:t>
      </w:r>
      <w:r>
        <w:rPr>
          <w:bCs/>
          <w:b/>
        </w:rPr>
        <w:t xml:space="preserve">Manager, Food Service</w:t>
      </w:r>
      <w:r>
        <w:t xml:space="preserve"> </w:t>
      </w:r>
      <w:r>
        <w:t xml:space="preserve">and</w:t>
      </w:r>
      <w:r>
        <w:t xml:space="preserve"> </w:t>
      </w:r>
      <w:r>
        <w:rPr>
          <w:bCs/>
          <w:b/>
        </w:rPr>
        <w:t xml:space="preserve">Restaurant Manager</w:t>
      </w:r>
      <w:r>
        <w:t xml:space="preserve"> </w:t>
      </w:r>
      <w:r>
        <w:t xml:space="preserve">as example Registered Apprenticeship titles. Apprenticeship availability is not universal; search Apprenticeship.gov and local workforce partners for actual openings.</w:t>
      </w:r>
    </w:p>
    <w:bookmarkEnd w:id="38"/>
    <w:bookmarkStart w:id="39" w:name="employer-supported-development"/>
    <w:p>
      <w:pPr>
        <w:pStyle w:val="Heading3"/>
      </w:pPr>
      <w:r>
        <w:t xml:space="preserve">Employer-supported development</w:t>
      </w:r>
    </w:p>
    <w:p>
      <w:pPr>
        <w:pStyle w:val="FirstParagraph"/>
      </w:pPr>
      <w:r>
        <w:t xml:space="preserve">Ask whether the employer offers:</w:t>
      </w:r>
    </w:p>
    <w:p>
      <w:pPr>
        <w:numPr>
          <w:ilvl w:val="0"/>
          <w:numId w:val="1009"/>
        </w:numPr>
        <w:pStyle w:val="Compact"/>
      </w:pPr>
      <w:r>
        <w:t xml:space="preserve">paid food-safety certification;</w:t>
      </w:r>
    </w:p>
    <w:p>
      <w:pPr>
        <w:numPr>
          <w:ilvl w:val="0"/>
          <w:numId w:val="1009"/>
        </w:numPr>
        <w:pStyle w:val="Compact"/>
      </w:pPr>
      <w:r>
        <w:t xml:space="preserve">management-trainee programs;</w:t>
      </w:r>
    </w:p>
    <w:p>
      <w:pPr>
        <w:numPr>
          <w:ilvl w:val="0"/>
          <w:numId w:val="1009"/>
        </w:numPr>
        <w:pStyle w:val="Compact"/>
      </w:pPr>
      <w:r>
        <w:t xml:space="preserve">tuition reimbursement;</w:t>
      </w:r>
    </w:p>
    <w:p>
      <w:pPr>
        <w:numPr>
          <w:ilvl w:val="0"/>
          <w:numId w:val="1009"/>
        </w:numPr>
        <w:pStyle w:val="Compact"/>
      </w:pPr>
      <w:r>
        <w:t xml:space="preserve">cross-training between kitchen and front-of-house functions;</w:t>
      </w:r>
    </w:p>
    <w:p>
      <w:pPr>
        <w:numPr>
          <w:ilvl w:val="0"/>
          <w:numId w:val="1009"/>
        </w:numPr>
        <w:pStyle w:val="Compact"/>
      </w:pPr>
      <w:r>
        <w:t xml:space="preserve">leadership workshops;</w:t>
      </w:r>
    </w:p>
    <w:p>
      <w:pPr>
        <w:numPr>
          <w:ilvl w:val="0"/>
          <w:numId w:val="1009"/>
        </w:numPr>
        <w:pStyle w:val="Compact"/>
      </w:pPr>
      <w:r>
        <w:t xml:space="preserve">point-of-sale or inventory-system training;</w:t>
      </w:r>
    </w:p>
    <w:p>
      <w:pPr>
        <w:numPr>
          <w:ilvl w:val="0"/>
          <w:numId w:val="1009"/>
        </w:numPr>
        <w:pStyle w:val="Compact"/>
      </w:pPr>
      <w:r>
        <w:t xml:space="preserve">scheduling/payroll system training;</w:t>
      </w:r>
    </w:p>
    <w:p>
      <w:pPr>
        <w:numPr>
          <w:ilvl w:val="0"/>
          <w:numId w:val="1009"/>
        </w:numPr>
        <w:pStyle w:val="Compact"/>
      </w:pPr>
      <w:r>
        <w:t xml:space="preserve">responsible beverage service training;</w:t>
      </w:r>
    </w:p>
    <w:p>
      <w:pPr>
        <w:numPr>
          <w:ilvl w:val="0"/>
          <w:numId w:val="1009"/>
        </w:numPr>
        <w:pStyle w:val="Compact"/>
      </w:pPr>
      <w:r>
        <w:t xml:space="preserve">mentoring by a general manager or district manager.</w:t>
      </w:r>
    </w:p>
    <w:p>
      <w:pPr>
        <w:pStyle w:val="FirstParagraph"/>
      </w:pPr>
      <w:r>
        <w:t xml:space="preserve">Employer-provided training can be more valuable than an expensive generic course when it teaches the exact systems and standards used on the job.</w:t>
      </w:r>
    </w:p>
    <w:bookmarkEnd w:id="39"/>
    <w:bookmarkEnd w:id="40"/>
    <w:bookmarkStart w:id="43" w:name="compensation--united-states"/>
    <w:p>
      <w:pPr>
        <w:pStyle w:val="Heading2"/>
      </w:pPr>
      <w:r>
        <w:t xml:space="preserve">Compensation — United States</w:t>
      </w:r>
    </w:p>
    <w:bookmarkStart w:id="41" w:name="official-food-service-manager-benchmark"/>
    <w:p>
      <w:pPr>
        <w:pStyle w:val="Heading3"/>
      </w:pPr>
      <w:r>
        <w:t xml:space="preserve">Official Food Service Manager benchmark</w:t>
      </w:r>
    </w:p>
    <w:p>
      <w:pPr>
        <w:pStyle w:val="FirstParagraph"/>
      </w:pPr>
      <w:r>
        <w:t xml:space="preserve">O*NET currently reports BLS</w:t>
      </w:r>
      <w:r>
        <w:t xml:space="preserve"> </w:t>
      </w:r>
      <w:r>
        <w:rPr>
          <w:bCs/>
          <w:b/>
        </w:rPr>
        <w:t xml:space="preserve">2025 wage data</w:t>
      </w:r>
      <w:r>
        <w:t xml:space="preserve"> </w:t>
      </w:r>
      <w:r>
        <w:t xml:space="preserve">for Food Service Managers (</w:t>
      </w:r>
      <w:r>
        <w:rPr>
          <w:rStyle w:val="VerbatimChar"/>
        </w:rPr>
        <w:t xml:space="preserve">11-9051.00</w:t>
      </w:r>
      <w:r>
        <w:t xml:space="preserve">):</w:t>
      </w:r>
    </w:p>
    <w:p>
      <w:pPr>
        <w:numPr>
          <w:ilvl w:val="0"/>
          <w:numId w:val="1010"/>
        </w:numPr>
        <w:pStyle w:val="Compact"/>
      </w:pPr>
      <w:r>
        <w:t xml:space="preserve">median hourly:</w:t>
      </w:r>
      <w:r>
        <w:t xml:space="preserve"> </w:t>
      </w:r>
      <w:r>
        <w:rPr>
          <w:bCs/>
          <w:b/>
        </w:rPr>
        <w:t xml:space="preserve">USD $33.36</w:t>
      </w:r>
      <w:r>
        <w:t xml:space="preserve">;</w:t>
      </w:r>
    </w:p>
    <w:p>
      <w:pPr>
        <w:numPr>
          <w:ilvl w:val="0"/>
          <w:numId w:val="1010"/>
        </w:numPr>
        <w:pStyle w:val="Compact"/>
      </w:pPr>
      <w:r>
        <w:t xml:space="preserve">median annual:</w:t>
      </w:r>
      <w:r>
        <w:t xml:space="preserve"> </w:t>
      </w:r>
      <w:r>
        <w:rPr>
          <w:bCs/>
          <w:b/>
        </w:rPr>
        <w:t xml:space="preserve">USD $69,390</w:t>
      </w:r>
      <w:r>
        <w:t xml:space="preserve">;</w:t>
      </w:r>
    </w:p>
    <w:p>
      <w:pPr>
        <w:numPr>
          <w:ilvl w:val="0"/>
          <w:numId w:val="1010"/>
        </w:numPr>
        <w:pStyle w:val="Compact"/>
      </w:pPr>
      <w:r>
        <w:t xml:space="preserve">25th percentile annual:</w:t>
      </w:r>
      <w:r>
        <w:t xml:space="preserve"> </w:t>
      </w:r>
      <w:r>
        <w:rPr>
          <w:bCs/>
          <w:b/>
        </w:rPr>
        <w:t xml:space="preserve">USD $56,870</w:t>
      </w:r>
      <w:r>
        <w:t xml:space="preserve">;</w:t>
      </w:r>
    </w:p>
    <w:p>
      <w:pPr>
        <w:numPr>
          <w:ilvl w:val="0"/>
          <w:numId w:val="1010"/>
        </w:numPr>
        <w:pStyle w:val="Compact"/>
      </w:pPr>
      <w:r>
        <w:t xml:space="preserve">75th percentile annual:</w:t>
      </w:r>
      <w:r>
        <w:t xml:space="preserve"> </w:t>
      </w:r>
      <w:r>
        <w:rPr>
          <w:bCs/>
          <w:b/>
        </w:rPr>
        <w:t xml:space="preserve">USD $86,800</w:t>
      </w:r>
      <w:r>
        <w:t xml:space="preserve">.</w:t>
      </w:r>
    </w:p>
    <w:p>
      <w:pPr>
        <w:pStyle w:val="FirstParagraph"/>
      </w:pPr>
      <w:r>
        <w:t xml:space="preserve">O*NET/BLS projections show about</w:t>
      </w:r>
      <w:r>
        <w:t xml:space="preserve"> </w:t>
      </w:r>
      <w:r>
        <w:rPr>
          <w:bCs/>
          <w:b/>
        </w:rPr>
        <w:t xml:space="preserve">352,800</w:t>
      </w:r>
      <w:r>
        <w:t xml:space="preserve"> </w:t>
      </w:r>
      <w:r>
        <w:t xml:space="preserve">workers in 2024, projected employment of about</w:t>
      </w:r>
      <w:r>
        <w:t xml:space="preserve"> </w:t>
      </w:r>
      <w:r>
        <w:rPr>
          <w:bCs/>
          <w:b/>
        </w:rPr>
        <w:t xml:space="preserve">375,300</w:t>
      </w:r>
      <w:r>
        <w:t xml:space="preserve"> </w:t>
      </w:r>
      <w:r>
        <w:t xml:space="preserve">in 2034,</w:t>
      </w:r>
      <w:r>
        <w:t xml:space="preserve"> </w:t>
      </w:r>
      <w:r>
        <w:rPr>
          <w:bCs/>
          <w:b/>
        </w:rPr>
        <w:t xml:space="preserve">6%</w:t>
      </w:r>
      <w:r>
        <w:t xml:space="preserve"> </w:t>
      </w:r>
      <w:r>
        <w:t xml:space="preserve">growth from 2024–2034, and about</w:t>
      </w:r>
      <w:r>
        <w:t xml:space="preserve"> </w:t>
      </w:r>
      <w:r>
        <w:rPr>
          <w:bCs/>
          <w:b/>
        </w:rPr>
        <w:t xml:space="preserve">42,000 annual openings</w:t>
      </w:r>
      <w:r>
        <w:t xml:space="preserve">.</w:t>
      </w:r>
    </w:p>
    <w:p>
      <w:pPr>
        <w:pStyle w:val="BodyText"/>
      </w:pPr>
      <w:r>
        <w:t xml:space="preserve">The BLS Occupational Outlook Handbook separately reports a</w:t>
      </w:r>
      <w:r>
        <w:t xml:space="preserve"> </w:t>
      </w:r>
      <w:r>
        <w:rPr>
          <w:bCs/>
          <w:b/>
        </w:rPr>
        <w:t xml:space="preserve">May 2024 median of $65,310/year ($31.40/hour)</w:t>
      </w:r>
      <w:r>
        <w:t xml:space="preserve">. This difference reflects different wage reference periods; use the date attached to each source.</w:t>
      </w:r>
    </w:p>
    <w:bookmarkEnd w:id="41"/>
    <w:bookmarkStart w:id="42" w:name="X44da15a9168e53d8852fbb6fb8a6c638e5c238c"/>
    <w:p>
      <w:pPr>
        <w:pStyle w:val="Heading3"/>
      </w:pPr>
      <w:r>
        <w:t xml:space="preserve">Current non-government Restaurant Supervisor estimates</w:t>
      </w:r>
    </w:p>
    <w:p>
      <w:pPr>
        <w:pStyle w:val="FirstParagraph"/>
      </w:pPr>
      <w:r>
        <w:t xml:space="preserve">These describe the narrower</w:t>
      </w:r>
      <w:r>
        <w:t xml:space="preserve"> </w:t>
      </w:r>
      <w:r>
        <w:rPr>
          <w:bCs/>
          <w:b/>
        </w:rPr>
        <w:t xml:space="preserve">Restaurant Supervisor</w:t>
      </w:r>
      <w:r>
        <w:t xml:space="preserve"> </w:t>
      </w:r>
      <w:r>
        <w:t xml:space="preserve">title and should not be treated as government statistics:</w:t>
      </w:r>
    </w:p>
    <w:p>
      <w:pPr>
        <w:numPr>
          <w:ilvl w:val="0"/>
          <w:numId w:val="1011"/>
        </w:numPr>
        <w:pStyle w:val="Compact"/>
      </w:pPr>
      <w:r>
        <w:t xml:space="preserve">Salary.com, August 1, 2026: average</w:t>
      </w:r>
      <w:r>
        <w:t xml:space="preserve"> </w:t>
      </w:r>
      <w:r>
        <w:rPr>
          <w:bCs/>
          <w:b/>
        </w:rPr>
        <w:t xml:space="preserve">$42,306/year</w:t>
      </w:r>
      <w:r>
        <w:t xml:space="preserve">, about</w:t>
      </w:r>
      <w:r>
        <w:t xml:space="preserve"> </w:t>
      </w:r>
      <w:r>
        <w:rPr>
          <w:bCs/>
          <w:b/>
        </w:rPr>
        <w:t xml:space="preserve">$20/hour</w:t>
      </w:r>
      <w:r>
        <w:t xml:space="preserve">, with a reported 25th–75th percentile range of</w:t>
      </w:r>
      <w:r>
        <w:t xml:space="preserve"> </w:t>
      </w:r>
      <w:r>
        <w:rPr>
          <w:bCs/>
          <w:b/>
        </w:rPr>
        <w:t xml:space="preserve">$37,639–$49,149</w:t>
      </w:r>
      <w:r>
        <w:t xml:space="preserve">.</w:t>
      </w:r>
    </w:p>
    <w:p>
      <w:pPr>
        <w:numPr>
          <w:ilvl w:val="0"/>
          <w:numId w:val="1011"/>
        </w:numPr>
        <w:pStyle w:val="Compact"/>
      </w:pPr>
      <w:r>
        <w:t xml:space="preserve">ZipRecruiter, August 5, 2026: average</w:t>
      </w:r>
      <w:r>
        <w:t xml:space="preserve"> </w:t>
      </w:r>
      <w:r>
        <w:rPr>
          <w:bCs/>
          <w:b/>
        </w:rPr>
        <w:t xml:space="preserve">$54,962/year</w:t>
      </w:r>
      <w:r>
        <w:t xml:space="preserve">, about</w:t>
      </w:r>
      <w:r>
        <w:t xml:space="preserve"> </w:t>
      </w:r>
      <w:r>
        <w:rPr>
          <w:bCs/>
          <w:b/>
        </w:rPr>
        <w:t xml:space="preserve">$26.42/hour</w:t>
      </w:r>
      <w:r>
        <w:t xml:space="preserve">, with a reported majority range of</w:t>
      </w:r>
      <w:r>
        <w:t xml:space="preserve"> </w:t>
      </w:r>
      <w:r>
        <w:rPr>
          <w:bCs/>
          <w:b/>
        </w:rPr>
        <w:t xml:space="preserve">$45,000–$63,500</w:t>
      </w:r>
      <w:r>
        <w:t xml:space="preserve">.</w:t>
      </w:r>
    </w:p>
    <w:p>
      <w:pPr>
        <w:pStyle w:val="FirstParagraph"/>
      </w:pPr>
      <w:r>
        <w:t xml:space="preserve">Do not average these estimates. Pay varies by employer, city, hours, tips or bonuses where applicable, supervisory scope, restaurant type, and experience.</w:t>
      </w:r>
    </w:p>
    <w:bookmarkEnd w:id="42"/>
    <w:bookmarkEnd w:id="43"/>
    <w:bookmarkStart w:id="44" w:name="compensation--canada"/>
    <w:p>
      <w:pPr>
        <w:pStyle w:val="Heading2"/>
      </w:pPr>
      <w:r>
        <w:t xml:space="preserve">Compensation — Canada</w:t>
      </w:r>
    </w:p>
    <w:p>
      <w:pPr>
        <w:pStyle w:val="FirstParagraph"/>
      </w:pPr>
      <w:r>
        <w:t xml:space="preserve">Job Bank's current national wage data for</w:t>
      </w:r>
      <w:r>
        <w:t xml:space="preserve"> </w:t>
      </w:r>
      <w:r>
        <w:rPr>
          <w:bCs/>
          <w:b/>
        </w:rPr>
        <w:t xml:space="preserve">NOC 60030</w:t>
      </w:r>
      <w:r>
        <w:t xml:space="preserve">, updated November 19, 2025 using the 2023–2024 Labour Force Survey reference period, reports:</w:t>
      </w:r>
    </w:p>
    <w:p>
      <w:pPr>
        <w:numPr>
          <w:ilvl w:val="0"/>
          <w:numId w:val="1012"/>
        </w:numPr>
        <w:pStyle w:val="Compact"/>
      </w:pPr>
      <w:r>
        <w:t xml:space="preserve">low:</w:t>
      </w:r>
      <w:r>
        <w:t xml:space="preserve"> </w:t>
      </w:r>
      <w:r>
        <w:rPr>
          <w:bCs/>
          <w:b/>
        </w:rPr>
        <w:t xml:space="preserve">CAD $18.00/hour</w:t>
      </w:r>
      <w:r>
        <w:t xml:space="preserve">;</w:t>
      </w:r>
    </w:p>
    <w:p>
      <w:pPr>
        <w:numPr>
          <w:ilvl w:val="0"/>
          <w:numId w:val="1012"/>
        </w:numPr>
        <w:pStyle w:val="Compact"/>
      </w:pPr>
      <w:r>
        <w:t xml:space="preserve">median:</w:t>
      </w:r>
      <w:r>
        <w:t xml:space="preserve"> </w:t>
      </w:r>
      <w:r>
        <w:rPr>
          <w:bCs/>
          <w:b/>
        </w:rPr>
        <w:t xml:space="preserve">CAD $26.00/hour</w:t>
      </w:r>
      <w:r>
        <w:t xml:space="preserve">;</w:t>
      </w:r>
    </w:p>
    <w:p>
      <w:pPr>
        <w:numPr>
          <w:ilvl w:val="0"/>
          <w:numId w:val="1012"/>
        </w:numPr>
        <w:pStyle w:val="Compact"/>
      </w:pPr>
      <w:r>
        <w:t xml:space="preserve">high:</w:t>
      </w:r>
      <w:r>
        <w:t xml:space="preserve"> </w:t>
      </w:r>
      <w:r>
        <w:rPr>
          <w:bCs/>
          <w:b/>
        </w:rPr>
        <w:t xml:space="preserve">CAD $48.08/hour</w:t>
      </w:r>
      <w:r>
        <w:t xml:space="preserve">.</w:t>
      </w:r>
    </w:p>
    <w:p>
      <w:pPr>
        <w:pStyle w:val="FirstParagraph"/>
      </w:pPr>
      <w:r>
        <w:t xml:space="preserve">These are management-occupation wages and should not automatically be assigned to every shift supervisor or trainee.</w:t>
      </w:r>
    </w:p>
    <w:bookmarkEnd w:id="44"/>
    <w:bookmarkStart w:id="45" w:name="food-safety-and-allergen-awareness"/>
    <w:p>
      <w:pPr>
        <w:pStyle w:val="Heading2"/>
      </w:pPr>
      <w:r>
        <w:t xml:space="preserve">Food safety and allergen awareness</w:t>
      </w:r>
    </w:p>
    <w:p>
      <w:pPr>
        <w:pStyle w:val="FirstParagraph"/>
      </w:pPr>
      <w:r>
        <w:t xml:space="preserve">Managers and supervisors must treat food-safety procedures as operational controls, not optional suggestions. Follow the current rules adopted by the controlling authority and the employer's approved procedures for:</w:t>
      </w:r>
    </w:p>
    <w:p>
      <w:pPr>
        <w:numPr>
          <w:ilvl w:val="0"/>
          <w:numId w:val="1013"/>
        </w:numPr>
        <w:pStyle w:val="Compact"/>
      </w:pPr>
      <w:r>
        <w:t xml:space="preserve">handwashing and hygiene;</w:t>
      </w:r>
    </w:p>
    <w:p>
      <w:pPr>
        <w:numPr>
          <w:ilvl w:val="0"/>
          <w:numId w:val="1013"/>
        </w:numPr>
        <w:pStyle w:val="Compact"/>
      </w:pPr>
      <w:r>
        <w:t xml:space="preserve">employee illness reporting;</w:t>
      </w:r>
    </w:p>
    <w:p>
      <w:pPr>
        <w:numPr>
          <w:ilvl w:val="0"/>
          <w:numId w:val="1013"/>
        </w:numPr>
        <w:pStyle w:val="Compact"/>
      </w:pPr>
      <w:r>
        <w:t xml:space="preserve">time and temperature controls;</w:t>
      </w:r>
    </w:p>
    <w:p>
      <w:pPr>
        <w:numPr>
          <w:ilvl w:val="0"/>
          <w:numId w:val="1013"/>
        </w:numPr>
        <w:pStyle w:val="Compact"/>
      </w:pPr>
      <w:r>
        <w:t xml:space="preserve">cross-contamination prevention;</w:t>
      </w:r>
    </w:p>
    <w:p>
      <w:pPr>
        <w:numPr>
          <w:ilvl w:val="0"/>
          <w:numId w:val="1013"/>
        </w:numPr>
        <w:pStyle w:val="Compact"/>
      </w:pPr>
      <w:r>
        <w:t xml:space="preserve">cleaning and sanitizing;</w:t>
      </w:r>
    </w:p>
    <w:p>
      <w:pPr>
        <w:numPr>
          <w:ilvl w:val="0"/>
          <w:numId w:val="1013"/>
        </w:numPr>
        <w:pStyle w:val="Compact"/>
      </w:pPr>
      <w:r>
        <w:t xml:space="preserve">receiving and storage;</w:t>
      </w:r>
    </w:p>
    <w:p>
      <w:pPr>
        <w:numPr>
          <w:ilvl w:val="0"/>
          <w:numId w:val="1013"/>
        </w:numPr>
        <w:pStyle w:val="Compact"/>
      </w:pPr>
      <w:r>
        <w:t xml:space="preserve">allergen communication;</w:t>
      </w:r>
    </w:p>
    <w:p>
      <w:pPr>
        <w:numPr>
          <w:ilvl w:val="0"/>
          <w:numId w:val="1013"/>
        </w:numPr>
        <w:pStyle w:val="Compact"/>
      </w:pPr>
      <w:r>
        <w:t xml:space="preserve">pest control;</w:t>
      </w:r>
    </w:p>
    <w:p>
      <w:pPr>
        <w:numPr>
          <w:ilvl w:val="0"/>
          <w:numId w:val="1013"/>
        </w:numPr>
        <w:pStyle w:val="Compact"/>
      </w:pPr>
      <w:r>
        <w:t xml:space="preserve">waste handling;</w:t>
      </w:r>
    </w:p>
    <w:p>
      <w:pPr>
        <w:numPr>
          <w:ilvl w:val="0"/>
          <w:numId w:val="1013"/>
        </w:numPr>
        <w:pStyle w:val="Compact"/>
      </w:pPr>
      <w:r>
        <w:t xml:space="preserve">incident escalation.</w:t>
      </w:r>
    </w:p>
    <w:p>
      <w:pPr>
        <w:pStyle w:val="FirstParagraph"/>
      </w:pPr>
      <w:r>
        <w:t xml:space="preserve">Do not diagnose allergies or make medical claims. For allergen questions, use approved ingredient and preparation information and escalate uncertainty rather than guessing.</w:t>
      </w:r>
    </w:p>
    <w:bookmarkEnd w:id="45"/>
    <w:bookmarkStart w:id="46" w:name="worker-safety"/>
    <w:p>
      <w:pPr>
        <w:pStyle w:val="Heading2"/>
      </w:pPr>
      <w:r>
        <w:t xml:space="preserve">Worker safety</w:t>
      </w:r>
    </w:p>
    <w:p>
      <w:pPr>
        <w:pStyle w:val="FirstParagraph"/>
      </w:pPr>
      <w:r>
        <w:t xml:space="preserve">A supervisor helps create a safe shift by correcting or escalating hazards such as spills, damaged equipment, blocked exits, unsafe lifting, improper knife use, burns, electrical problems, harassment, violence, or impairment.</w:t>
      </w:r>
    </w:p>
    <w:p>
      <w:pPr>
        <w:pStyle w:val="BodyText"/>
      </w:pPr>
      <w:r>
        <w:t xml:space="preserve">Never pressure employees to hide injuries or work around a safety control to protect service speed or sales targets.</w:t>
      </w:r>
    </w:p>
    <w:bookmarkEnd w:id="46"/>
    <w:bookmarkStart w:id="47" w:name="privacy-and-payment-information"/>
    <w:p>
      <w:pPr>
        <w:pStyle w:val="Heading2"/>
      </w:pPr>
      <w:r>
        <w:t xml:space="preserve">Privacy and payment information</w:t>
      </w:r>
    </w:p>
    <w:p>
      <w:pPr>
        <w:pStyle w:val="FirstParagraph"/>
      </w:pPr>
      <w:r>
        <w:t xml:space="preserve">Restaurant systems can contain sensitive customer, employee, payment, reservation, loyalty, and delivery-platform information. Use only the access needed for your job.</w:t>
      </w:r>
    </w:p>
    <w:p>
      <w:pPr>
        <w:pStyle w:val="BodyText"/>
      </w:pPr>
      <w:r>
        <w:t xml:space="preserve">Good practices include:</w:t>
      </w:r>
    </w:p>
    <w:p>
      <w:pPr>
        <w:numPr>
          <w:ilvl w:val="0"/>
          <w:numId w:val="1014"/>
        </w:numPr>
        <w:pStyle w:val="Compact"/>
      </w:pPr>
      <w:r>
        <w:t xml:space="preserve">never sharing passwords or point-of-sale credentials;</w:t>
      </w:r>
    </w:p>
    <w:p>
      <w:pPr>
        <w:numPr>
          <w:ilvl w:val="0"/>
          <w:numId w:val="1014"/>
        </w:numPr>
        <w:pStyle w:val="Compact"/>
      </w:pPr>
      <w:r>
        <w:t xml:space="preserve">locking screens when leaving a terminal;</w:t>
      </w:r>
    </w:p>
    <w:p>
      <w:pPr>
        <w:numPr>
          <w:ilvl w:val="0"/>
          <w:numId w:val="1014"/>
        </w:numPr>
        <w:pStyle w:val="Compact"/>
      </w:pPr>
      <w:r>
        <w:t xml:space="preserve">following payment-card procedures;</w:t>
      </w:r>
    </w:p>
    <w:p>
      <w:pPr>
        <w:numPr>
          <w:ilvl w:val="0"/>
          <w:numId w:val="1014"/>
        </w:numPr>
        <w:pStyle w:val="Compact"/>
      </w:pPr>
      <w:r>
        <w:t xml:space="preserve">avoiding personal devices for restricted employee or customer data unless approved;</w:t>
      </w:r>
    </w:p>
    <w:p>
      <w:pPr>
        <w:numPr>
          <w:ilvl w:val="0"/>
          <w:numId w:val="1014"/>
        </w:numPr>
        <w:pStyle w:val="Compact"/>
      </w:pPr>
      <w:r>
        <w:t xml:space="preserve">using approved channels for schedules and HR information;</w:t>
      </w:r>
    </w:p>
    <w:p>
      <w:pPr>
        <w:numPr>
          <w:ilvl w:val="0"/>
          <w:numId w:val="1014"/>
        </w:numPr>
        <w:pStyle w:val="Compact"/>
      </w:pPr>
      <w:r>
        <w:t xml:space="preserve">limiting printed reports and disposing of them securely;</w:t>
      </w:r>
    </w:p>
    <w:p>
      <w:pPr>
        <w:numPr>
          <w:ilvl w:val="0"/>
          <w:numId w:val="1014"/>
        </w:numPr>
        <w:pStyle w:val="Compact"/>
      </w:pPr>
      <w:r>
        <w:t xml:space="preserve">escalating suspected fraud, phishing, or account compromise.</w:t>
      </w:r>
    </w:p>
    <w:bookmarkEnd w:id="47"/>
    <w:bookmarkStart w:id="48" w:name="cybersecurity"/>
    <w:p>
      <w:pPr>
        <w:pStyle w:val="Heading2"/>
      </w:pPr>
      <w:r>
        <w:t xml:space="preserve">Cybersecurity</w:t>
      </w:r>
    </w:p>
    <w:p>
      <w:pPr>
        <w:pStyle w:val="FirstParagraph"/>
      </w:pPr>
      <w:r>
        <w:t xml:space="preserve">Restaurants increasingly rely on cloud POS platforms, Wi-Fi, delivery services, online ordering, digital gift cards, loyalty programs, payroll systems, and inventory applications. Operational urgency is not a reason to bypass cybersecurity controls.</w:t>
      </w:r>
    </w:p>
    <w:p>
      <w:pPr>
        <w:pStyle w:val="BodyText"/>
      </w:pPr>
      <w:r>
        <w:t xml:space="preserve">Be cautious with unexpected password resets, vendor messages, payment requests, QR codes, attachments, and requests to change bank or payroll information. Verify unusual requests through an approved secondary channel.</w:t>
      </w:r>
    </w:p>
    <w:bookmarkEnd w:id="48"/>
    <w:bookmarkStart w:id="49" w:name="accessibility-and-inclusion"/>
    <w:p>
      <w:pPr>
        <w:pStyle w:val="Heading2"/>
      </w:pPr>
      <w:r>
        <w:t xml:space="preserve">Accessibility and inclusion</w:t>
      </w:r>
    </w:p>
    <w:p>
      <w:pPr>
        <w:pStyle w:val="FirstParagraph"/>
      </w:pPr>
      <w:r>
        <w:t xml:space="preserve">Supervisors should support accessible service and a respectful workplace. Follow employer procedures and applicable law for customer access, employee accommodations, communication needs, mobility access, service animals, and other disability-related situations.</w:t>
      </w:r>
    </w:p>
    <w:p>
      <w:pPr>
        <w:pStyle w:val="BodyText"/>
      </w:pPr>
      <w:r>
        <w:t xml:space="preserve">Do not make assumptions about a person's capabilities. Escalate accommodation questions through the proper manager or HR process when needed.</w:t>
      </w:r>
    </w:p>
    <w:bookmarkEnd w:id="49"/>
    <w:bookmarkStart w:id="50" w:name="X5a4dff331fb2bf2dba925f814bcc80a1e9600a2"/>
    <w:p>
      <w:pPr>
        <w:pStyle w:val="Heading2"/>
      </w:pPr>
      <w:r>
        <w:t xml:space="preserve">Responsible use of artificial intelligence</w:t>
      </w:r>
    </w:p>
    <w:p>
      <w:pPr>
        <w:pStyle w:val="FirstParagraph"/>
      </w:pPr>
      <w:r>
        <w:t xml:space="preserve">AI tools can help draft training outlines, summarize non-sensitive operational notes, brainstorm customer-service language, create practice interview questions, or organize a learning plan.</w:t>
      </w:r>
    </w:p>
    <w:p>
      <w:pPr>
        <w:pStyle w:val="BodyText"/>
      </w:pPr>
      <w:r>
        <w:t xml:space="preserve">Do</w:t>
      </w:r>
      <w:r>
        <w:t xml:space="preserve"> </w:t>
      </w:r>
      <w:r>
        <w:rPr>
          <w:bCs/>
          <w:b/>
        </w:rPr>
        <w:t xml:space="preserve">not</w:t>
      </w:r>
      <w:r>
        <w:t xml:space="preserve"> </w:t>
      </w:r>
      <w:r>
        <w:t xml:space="preserve">place payment-card information, payroll data, employee records, customer personal information, unpublished sales data, incident reports, passwords, confidential recipes, internal investigations, or other restricted business information into a public AI system without explicit organizational approval.</w:t>
      </w:r>
    </w:p>
    <w:p>
      <w:pPr>
        <w:pStyle w:val="BodyText"/>
      </w:pPr>
      <w:r>
        <w:t xml:space="preserve">AI should not independently decide:</w:t>
      </w:r>
    </w:p>
    <w:p>
      <w:pPr>
        <w:numPr>
          <w:ilvl w:val="0"/>
          <w:numId w:val="1015"/>
        </w:numPr>
        <w:pStyle w:val="Compact"/>
      </w:pPr>
      <w:r>
        <w:t xml:space="preserve">who is hired, fired, disciplined, or promoted;</w:t>
      </w:r>
    </w:p>
    <w:p>
      <w:pPr>
        <w:numPr>
          <w:ilvl w:val="0"/>
          <w:numId w:val="1015"/>
        </w:numPr>
        <w:pStyle w:val="Compact"/>
      </w:pPr>
      <w:r>
        <w:t xml:space="preserve">whether an employee has a medical condition;</w:t>
      </w:r>
    </w:p>
    <w:p>
      <w:pPr>
        <w:numPr>
          <w:ilvl w:val="0"/>
          <w:numId w:val="1015"/>
        </w:numPr>
        <w:pStyle w:val="Compact"/>
      </w:pPr>
      <w:r>
        <w:t xml:space="preserve">whether a customer has an allergy;</w:t>
      </w:r>
    </w:p>
    <w:p>
      <w:pPr>
        <w:numPr>
          <w:ilvl w:val="0"/>
          <w:numId w:val="1015"/>
        </w:numPr>
        <w:pStyle w:val="Compact"/>
      </w:pPr>
      <w:r>
        <w:t xml:space="preserve">whether food is safe to serve;</w:t>
      </w:r>
    </w:p>
    <w:p>
      <w:pPr>
        <w:numPr>
          <w:ilvl w:val="0"/>
          <w:numId w:val="1015"/>
        </w:numPr>
        <w:pStyle w:val="Compact"/>
      </w:pPr>
      <w:r>
        <w:t xml:space="preserve">whether alcohol service is lawful;</w:t>
      </w:r>
    </w:p>
    <w:p>
      <w:pPr>
        <w:numPr>
          <w:ilvl w:val="0"/>
          <w:numId w:val="1015"/>
        </w:numPr>
        <w:pStyle w:val="Compact"/>
      </w:pPr>
      <w:r>
        <w:t xml:space="preserve">whether a safety incident can be ignored;</w:t>
      </w:r>
    </w:p>
    <w:p>
      <w:pPr>
        <w:numPr>
          <w:ilvl w:val="0"/>
          <w:numId w:val="1015"/>
        </w:numPr>
        <w:pStyle w:val="Compact"/>
      </w:pPr>
      <w:r>
        <w:t xml:space="preserve">whether a legal or regulatory requirement applies.</w:t>
      </w:r>
    </w:p>
    <w:p>
      <w:pPr>
        <w:pStyle w:val="FirstParagraph"/>
      </w:pPr>
      <w:r>
        <w:t xml:space="preserve">Human review is required for AI-assisted schedules, policies, training materials, menu descriptions, customer communications, and operational decisions.</w:t>
      </w:r>
    </w:p>
    <w:bookmarkEnd w:id="50"/>
    <w:bookmarkStart w:id="57" w:name="a-12-week-start-plan"/>
    <w:p>
      <w:pPr>
        <w:pStyle w:val="Heading2"/>
      </w:pPr>
      <w:r>
        <w:t xml:space="preserve">A 12-week start plan</w:t>
      </w:r>
    </w:p>
    <w:bookmarkStart w:id="51" w:name="weeks-12--learn-the-operation"/>
    <w:p>
      <w:pPr>
        <w:pStyle w:val="Heading3"/>
      </w:pPr>
      <w:r>
        <w:t xml:space="preserve">Weeks 1–2 — Learn the operation</w:t>
      </w:r>
    </w:p>
    <w:p>
      <w:pPr>
        <w:numPr>
          <w:ilvl w:val="0"/>
          <w:numId w:val="1016"/>
        </w:numPr>
        <w:pStyle w:val="Compact"/>
      </w:pPr>
      <w:r>
        <w:t xml:space="preserve">Learn opening, closing, sanitation, and emergency procedures.</w:t>
      </w:r>
    </w:p>
    <w:p>
      <w:pPr>
        <w:numPr>
          <w:ilvl w:val="0"/>
          <w:numId w:val="1016"/>
        </w:numPr>
        <w:pStyle w:val="Compact"/>
      </w:pPr>
      <w:r>
        <w:t xml:space="preserve">Understand the menu and service model.</w:t>
      </w:r>
    </w:p>
    <w:p>
      <w:pPr>
        <w:numPr>
          <w:ilvl w:val="0"/>
          <w:numId w:val="1016"/>
        </w:numPr>
        <w:pStyle w:val="Compact"/>
      </w:pPr>
      <w:r>
        <w:t xml:space="preserve">Learn reporting lines and authority limits.</w:t>
      </w:r>
    </w:p>
    <w:p>
      <w:pPr>
        <w:numPr>
          <w:ilvl w:val="0"/>
          <w:numId w:val="1016"/>
        </w:numPr>
        <w:pStyle w:val="Compact"/>
      </w:pPr>
      <w:r>
        <w:t xml:space="preserve">Review food-safety and injury-prevention rules.</w:t>
      </w:r>
    </w:p>
    <w:bookmarkEnd w:id="51"/>
    <w:bookmarkStart w:id="52" w:name="weeks-34--strengthen-systems-skills"/>
    <w:p>
      <w:pPr>
        <w:pStyle w:val="Heading3"/>
      </w:pPr>
      <w:r>
        <w:t xml:space="preserve">Weeks 3–4 — Strengthen systems skills</w:t>
      </w:r>
    </w:p>
    <w:p>
      <w:pPr>
        <w:numPr>
          <w:ilvl w:val="0"/>
          <w:numId w:val="1017"/>
        </w:numPr>
        <w:pStyle w:val="Compact"/>
      </w:pPr>
      <w:r>
        <w:t xml:space="preserve">Learn the POS and approved cash-control process.</w:t>
      </w:r>
    </w:p>
    <w:p>
      <w:pPr>
        <w:numPr>
          <w:ilvl w:val="0"/>
          <w:numId w:val="1017"/>
        </w:numPr>
        <w:pStyle w:val="Compact"/>
      </w:pPr>
      <w:r>
        <w:t xml:space="preserve">Practice inventory counts and receiving.</w:t>
      </w:r>
    </w:p>
    <w:p>
      <w:pPr>
        <w:numPr>
          <w:ilvl w:val="0"/>
          <w:numId w:val="1017"/>
        </w:numPr>
        <w:pStyle w:val="Compact"/>
      </w:pPr>
      <w:r>
        <w:t xml:space="preserve">Learn scheduling terminology and labor-hour basics.</w:t>
      </w:r>
    </w:p>
    <w:p>
      <w:pPr>
        <w:numPr>
          <w:ilvl w:val="0"/>
          <w:numId w:val="1017"/>
        </w:numPr>
        <w:pStyle w:val="Compact"/>
      </w:pPr>
      <w:r>
        <w:t xml:space="preserve">Build spreadsheet confidence.</w:t>
      </w:r>
    </w:p>
    <w:bookmarkEnd w:id="52"/>
    <w:bookmarkStart w:id="53" w:name="weeks-56--practice-leadership"/>
    <w:p>
      <w:pPr>
        <w:pStyle w:val="Heading3"/>
      </w:pPr>
      <w:r>
        <w:t xml:space="preserve">Weeks 5–6 — Practice leadership</w:t>
      </w:r>
    </w:p>
    <w:p>
      <w:pPr>
        <w:numPr>
          <w:ilvl w:val="0"/>
          <w:numId w:val="1018"/>
        </w:numPr>
        <w:pStyle w:val="Compact"/>
      </w:pPr>
      <w:r>
        <w:t xml:space="preserve">Lead a pre-shift meeting with supervision.</w:t>
      </w:r>
    </w:p>
    <w:p>
      <w:pPr>
        <w:numPr>
          <w:ilvl w:val="0"/>
          <w:numId w:val="1018"/>
        </w:numPr>
        <w:pStyle w:val="Compact"/>
      </w:pPr>
      <w:r>
        <w:t xml:space="preserve">Coach one routine task using the employer's standard.</w:t>
      </w:r>
    </w:p>
    <w:p>
      <w:pPr>
        <w:numPr>
          <w:ilvl w:val="0"/>
          <w:numId w:val="1018"/>
        </w:numPr>
        <w:pStyle w:val="Compact"/>
      </w:pPr>
      <w:r>
        <w:t xml:space="preserve">Practice respectful correction and escalation.</w:t>
      </w:r>
    </w:p>
    <w:p>
      <w:pPr>
        <w:numPr>
          <w:ilvl w:val="0"/>
          <w:numId w:val="1018"/>
        </w:numPr>
        <w:pStyle w:val="Compact"/>
      </w:pPr>
      <w:r>
        <w:t xml:space="preserve">Observe how experienced managers resolve complaints.</w:t>
      </w:r>
    </w:p>
    <w:bookmarkEnd w:id="53"/>
    <w:bookmarkStart w:id="54" w:name="Xb318607802e0fb30f32ae0480615b9cae2d7081"/>
    <w:p>
      <w:pPr>
        <w:pStyle w:val="Heading3"/>
      </w:pPr>
      <w:r>
        <w:t xml:space="preserve">Weeks 7–8 — Learn cost and quality awareness</w:t>
      </w:r>
    </w:p>
    <w:p>
      <w:pPr>
        <w:numPr>
          <w:ilvl w:val="0"/>
          <w:numId w:val="1019"/>
        </w:numPr>
        <w:pStyle w:val="Compact"/>
      </w:pPr>
      <w:r>
        <w:t xml:space="preserve">Study waste, portion control, inventory variance, and labor-cost concepts.</w:t>
      </w:r>
    </w:p>
    <w:p>
      <w:pPr>
        <w:numPr>
          <w:ilvl w:val="0"/>
          <w:numId w:val="1019"/>
        </w:numPr>
        <w:pStyle w:val="Compact"/>
      </w:pPr>
      <w:r>
        <w:t xml:space="preserve">Review service-time and customer-experience metrics.</w:t>
      </w:r>
    </w:p>
    <w:p>
      <w:pPr>
        <w:numPr>
          <w:ilvl w:val="0"/>
          <w:numId w:val="1019"/>
        </w:numPr>
        <w:pStyle w:val="Compact"/>
      </w:pPr>
      <w:r>
        <w:t xml:space="preserve">Learn how maintenance problems affect food safety and operations.</w:t>
      </w:r>
    </w:p>
    <w:bookmarkEnd w:id="54"/>
    <w:bookmarkStart w:id="55" w:name="weeks-910--build-evidence"/>
    <w:p>
      <w:pPr>
        <w:pStyle w:val="Heading3"/>
      </w:pPr>
      <w:r>
        <w:t xml:space="preserve">Weeks 9–10 — Build evidence</w:t>
      </w:r>
    </w:p>
    <w:p>
      <w:pPr>
        <w:numPr>
          <w:ilvl w:val="0"/>
          <w:numId w:val="1020"/>
        </w:numPr>
        <w:pStyle w:val="Compact"/>
      </w:pPr>
      <w:r>
        <w:t xml:space="preserve">Document training completed.</w:t>
      </w:r>
    </w:p>
    <w:p>
      <w:pPr>
        <w:numPr>
          <w:ilvl w:val="0"/>
          <w:numId w:val="1020"/>
        </w:numPr>
        <w:pStyle w:val="Compact"/>
      </w:pPr>
      <w:r>
        <w:t xml:space="preserve">Record measurable improvements you supported.</w:t>
      </w:r>
    </w:p>
    <w:p>
      <w:pPr>
        <w:numPr>
          <w:ilvl w:val="0"/>
          <w:numId w:val="1020"/>
        </w:numPr>
        <w:pStyle w:val="Compact"/>
      </w:pPr>
      <w:r>
        <w:t xml:space="preserve">Add examples of conflict resolution, safety improvement, training, inventory accuracy, or service recovery to your résumé notes without disclosing confidential data.</w:t>
      </w:r>
    </w:p>
    <w:bookmarkEnd w:id="55"/>
    <w:bookmarkStart w:id="56" w:name="weeks-1112--prepare-for-advancement"/>
    <w:p>
      <w:pPr>
        <w:pStyle w:val="Heading3"/>
      </w:pPr>
      <w:r>
        <w:t xml:space="preserve">Weeks 11–12 — Prepare for advancement</w:t>
      </w:r>
    </w:p>
    <w:p>
      <w:pPr>
        <w:numPr>
          <w:ilvl w:val="0"/>
          <w:numId w:val="1021"/>
        </w:numPr>
        <w:pStyle w:val="Compact"/>
      </w:pPr>
      <w:r>
        <w:t xml:space="preserve">Ask what distinguishes a supervisor from an assistant manager in your organization.</w:t>
      </w:r>
    </w:p>
    <w:p>
      <w:pPr>
        <w:numPr>
          <w:ilvl w:val="0"/>
          <w:numId w:val="1021"/>
        </w:numPr>
        <w:pStyle w:val="Compact"/>
      </w:pPr>
      <w:r>
        <w:t xml:space="preserve">Identify missing skills or credentials.</w:t>
      </w:r>
    </w:p>
    <w:p>
      <w:pPr>
        <w:numPr>
          <w:ilvl w:val="0"/>
          <w:numId w:val="1021"/>
        </w:numPr>
        <w:pStyle w:val="Compact"/>
      </w:pPr>
      <w:r>
        <w:t xml:space="preserve">Request feedback from a manager.</w:t>
      </w:r>
    </w:p>
    <w:p>
      <w:pPr>
        <w:numPr>
          <w:ilvl w:val="0"/>
          <w:numId w:val="1021"/>
        </w:numPr>
        <w:pStyle w:val="Compact"/>
      </w:pPr>
      <w:r>
        <w:t xml:space="preserve">Apply for appropriate supervisor, assistant manager, or management-trainee opportunities.</w:t>
      </w:r>
    </w:p>
    <w:bookmarkEnd w:id="56"/>
    <w:bookmarkEnd w:id="57"/>
    <w:bookmarkStart w:id="58" w:name="experience-building-ideas"/>
    <w:p>
      <w:pPr>
        <w:pStyle w:val="Heading2"/>
      </w:pPr>
      <w:r>
        <w:t xml:space="preserve">Experience-building ideas</w:t>
      </w:r>
    </w:p>
    <w:p>
      <w:pPr>
        <w:pStyle w:val="FirstParagraph"/>
      </w:pPr>
      <w:r>
        <w:t xml:space="preserve">Useful experience can come from:</w:t>
      </w:r>
    </w:p>
    <w:p>
      <w:pPr>
        <w:numPr>
          <w:ilvl w:val="0"/>
          <w:numId w:val="1022"/>
        </w:numPr>
        <w:pStyle w:val="Compact"/>
      </w:pPr>
      <w:r>
        <w:t xml:space="preserve">training a new employee;</w:t>
      </w:r>
    </w:p>
    <w:p>
      <w:pPr>
        <w:numPr>
          <w:ilvl w:val="0"/>
          <w:numId w:val="1022"/>
        </w:numPr>
        <w:pStyle w:val="Compact"/>
      </w:pPr>
      <w:r>
        <w:t xml:space="preserve">leading a station during a rush;</w:t>
      </w:r>
    </w:p>
    <w:p>
      <w:pPr>
        <w:numPr>
          <w:ilvl w:val="0"/>
          <w:numId w:val="1022"/>
        </w:numPr>
        <w:pStyle w:val="Compact"/>
      </w:pPr>
      <w:r>
        <w:t xml:space="preserve">improving an opening or closing checklist;</w:t>
      </w:r>
    </w:p>
    <w:p>
      <w:pPr>
        <w:numPr>
          <w:ilvl w:val="0"/>
          <w:numId w:val="1022"/>
        </w:numPr>
        <w:pStyle w:val="Compact"/>
      </w:pPr>
      <w:r>
        <w:t xml:space="preserve">helping reduce inventory errors;</w:t>
      </w:r>
    </w:p>
    <w:p>
      <w:pPr>
        <w:numPr>
          <w:ilvl w:val="0"/>
          <w:numId w:val="1022"/>
        </w:numPr>
        <w:pStyle w:val="Compact"/>
      </w:pPr>
      <w:r>
        <w:t xml:space="preserve">documenting a maintenance issue correctly;</w:t>
      </w:r>
    </w:p>
    <w:p>
      <w:pPr>
        <w:numPr>
          <w:ilvl w:val="0"/>
          <w:numId w:val="1022"/>
        </w:numPr>
        <w:pStyle w:val="Compact"/>
      </w:pPr>
      <w:r>
        <w:t xml:space="preserve">resolving a customer complaint within policy;</w:t>
      </w:r>
    </w:p>
    <w:p>
      <w:pPr>
        <w:numPr>
          <w:ilvl w:val="0"/>
          <w:numId w:val="1022"/>
        </w:numPr>
        <w:pStyle w:val="Compact"/>
      </w:pPr>
      <w:r>
        <w:t xml:space="preserve">organizing a pre-shift briefing;</w:t>
      </w:r>
    </w:p>
    <w:p>
      <w:pPr>
        <w:numPr>
          <w:ilvl w:val="0"/>
          <w:numId w:val="1022"/>
        </w:numPr>
        <w:pStyle w:val="Compact"/>
      </w:pPr>
      <w:r>
        <w:t xml:space="preserve">supporting a food-safety inspection;</w:t>
      </w:r>
    </w:p>
    <w:p>
      <w:pPr>
        <w:numPr>
          <w:ilvl w:val="0"/>
          <w:numId w:val="1022"/>
        </w:numPr>
        <w:pStyle w:val="Compact"/>
      </w:pPr>
      <w:r>
        <w:t xml:space="preserve">participating in a menu rollout;</w:t>
      </w:r>
    </w:p>
    <w:p>
      <w:pPr>
        <w:numPr>
          <w:ilvl w:val="0"/>
          <w:numId w:val="1022"/>
        </w:numPr>
        <w:pStyle w:val="Compact"/>
      </w:pPr>
      <w:r>
        <w:t xml:space="preserve">helping implement a new POS or delivery process.</w:t>
      </w:r>
    </w:p>
    <w:p>
      <w:pPr>
        <w:pStyle w:val="FirstParagraph"/>
      </w:pPr>
      <w:r>
        <w:t xml:space="preserve">Describe the action and result without revealing employer-confidential information.</w:t>
      </w:r>
    </w:p>
    <w:bookmarkEnd w:id="58"/>
    <w:bookmarkStart w:id="59" w:name="career-progression"/>
    <w:p>
      <w:pPr>
        <w:pStyle w:val="Heading2"/>
      </w:pPr>
      <w:r>
        <w:t xml:space="preserve">Career progression</w:t>
      </w:r>
    </w:p>
    <w:p>
      <w:pPr>
        <w:pStyle w:val="FirstParagraph"/>
      </w:pPr>
      <w:r>
        <w:t xml:space="preserve">Possible paths include:</w:t>
      </w:r>
    </w:p>
    <w:p>
      <w:pPr>
        <w:numPr>
          <w:ilvl w:val="0"/>
          <w:numId w:val="1023"/>
        </w:numPr>
        <w:pStyle w:val="Compact"/>
      </w:pPr>
      <w:r>
        <w:t xml:space="preserve">crew member / server / host / cashier / food-preparation worker;</w:t>
      </w:r>
    </w:p>
    <w:p>
      <w:pPr>
        <w:numPr>
          <w:ilvl w:val="0"/>
          <w:numId w:val="1023"/>
        </w:numPr>
        <w:pStyle w:val="Compact"/>
      </w:pPr>
      <w:r>
        <w:t xml:space="preserve">shift leader;</w:t>
      </w:r>
    </w:p>
    <w:p>
      <w:pPr>
        <w:numPr>
          <w:ilvl w:val="0"/>
          <w:numId w:val="1023"/>
        </w:numPr>
        <w:pStyle w:val="Compact"/>
      </w:pPr>
      <w:r>
        <w:t xml:space="preserve">restaurant supervisor;</w:t>
      </w:r>
    </w:p>
    <w:p>
      <w:pPr>
        <w:numPr>
          <w:ilvl w:val="0"/>
          <w:numId w:val="1023"/>
        </w:numPr>
        <w:pStyle w:val="Compact"/>
      </w:pPr>
      <w:r>
        <w:t xml:space="preserve">management trainee;</w:t>
      </w:r>
    </w:p>
    <w:p>
      <w:pPr>
        <w:numPr>
          <w:ilvl w:val="0"/>
          <w:numId w:val="1023"/>
        </w:numPr>
        <w:pStyle w:val="Compact"/>
      </w:pPr>
      <w:r>
        <w:t xml:space="preserve">assistant manager;</w:t>
      </w:r>
    </w:p>
    <w:p>
      <w:pPr>
        <w:numPr>
          <w:ilvl w:val="0"/>
          <w:numId w:val="1023"/>
        </w:numPr>
        <w:pStyle w:val="Compact"/>
      </w:pPr>
      <w:r>
        <w:t xml:space="preserve">restaurant or food service manager;</w:t>
      </w:r>
    </w:p>
    <w:p>
      <w:pPr>
        <w:numPr>
          <w:ilvl w:val="0"/>
          <w:numId w:val="1023"/>
        </w:numPr>
        <w:pStyle w:val="Compact"/>
      </w:pPr>
      <w:r>
        <w:t xml:space="preserve">general manager;</w:t>
      </w:r>
    </w:p>
    <w:p>
      <w:pPr>
        <w:numPr>
          <w:ilvl w:val="0"/>
          <w:numId w:val="1023"/>
        </w:numPr>
        <w:pStyle w:val="Compact"/>
      </w:pPr>
      <w:r>
        <w:t xml:space="preserve">multi-unit or district manager;</w:t>
      </w:r>
    </w:p>
    <w:p>
      <w:pPr>
        <w:numPr>
          <w:ilvl w:val="0"/>
          <w:numId w:val="1023"/>
        </w:numPr>
        <w:pStyle w:val="Compact"/>
      </w:pPr>
      <w:r>
        <w:t xml:space="preserve">catering, hospitality, institutional food-service, training, operations, or franchise-support roles.</w:t>
      </w:r>
    </w:p>
    <w:p>
      <w:pPr>
        <w:pStyle w:val="FirstParagraph"/>
      </w:pPr>
      <w:r>
        <w:t xml:space="preserve">Progression is not automatic and titles vary widely by employer.</w:t>
      </w:r>
    </w:p>
    <w:bookmarkEnd w:id="59"/>
    <w:bookmarkStart w:id="60" w:name="Xdab1f9920bc023600e4705a6298004576ad4eca"/>
    <w:p>
      <w:pPr>
        <w:pStyle w:val="Heading2"/>
      </w:pPr>
      <w:r>
        <w:t xml:space="preserve">Before accepting a job or training program</w:t>
      </w:r>
    </w:p>
    <w:p>
      <w:pPr>
        <w:pStyle w:val="FirstParagraph"/>
      </w:pPr>
      <w:r>
        <w:t xml:space="preserve">Verify:</w:t>
      </w:r>
    </w:p>
    <w:p>
      <w:pPr>
        <w:numPr>
          <w:ilvl w:val="0"/>
          <w:numId w:val="1024"/>
        </w:numPr>
        <w:pStyle w:val="Compact"/>
      </w:pPr>
      <w:r>
        <w:t xml:space="preserve">whether the role is hourly or salaried;</w:t>
      </w:r>
    </w:p>
    <w:p>
      <w:pPr>
        <w:numPr>
          <w:ilvl w:val="0"/>
          <w:numId w:val="1024"/>
        </w:numPr>
        <w:pStyle w:val="Compact"/>
      </w:pPr>
      <w:r>
        <w:t xml:space="preserve">expected weekly hours and overtime rules;</w:t>
      </w:r>
    </w:p>
    <w:p>
      <w:pPr>
        <w:numPr>
          <w:ilvl w:val="0"/>
          <w:numId w:val="1024"/>
        </w:numPr>
        <w:pStyle w:val="Compact"/>
      </w:pPr>
      <w:r>
        <w:t xml:space="preserve">nights, weekends, holidays, and on-call expectations;</w:t>
      </w:r>
    </w:p>
    <w:p>
      <w:pPr>
        <w:numPr>
          <w:ilvl w:val="0"/>
          <w:numId w:val="1024"/>
        </w:numPr>
        <w:pStyle w:val="Compact"/>
      </w:pPr>
      <w:r>
        <w:t xml:space="preserve">whether tips, bonuses, meals, uniforms, or transportation support are included;</w:t>
      </w:r>
    </w:p>
    <w:p>
      <w:pPr>
        <w:numPr>
          <w:ilvl w:val="0"/>
          <w:numId w:val="1024"/>
        </w:numPr>
        <w:pStyle w:val="Compact"/>
      </w:pPr>
      <w:r>
        <w:t xml:space="preserve">food-safety and alcohol-service credential requirements;</w:t>
      </w:r>
    </w:p>
    <w:p>
      <w:pPr>
        <w:numPr>
          <w:ilvl w:val="0"/>
          <w:numId w:val="1024"/>
        </w:numPr>
        <w:pStyle w:val="Compact"/>
      </w:pPr>
      <w:r>
        <w:t xml:space="preserve">whether certification costs are employer-paid;</w:t>
      </w:r>
    </w:p>
    <w:p>
      <w:pPr>
        <w:numPr>
          <w:ilvl w:val="0"/>
          <w:numId w:val="1024"/>
        </w:numPr>
        <w:pStyle w:val="Compact"/>
      </w:pPr>
      <w:r>
        <w:t xml:space="preserve">exact supervisory authority;</w:t>
      </w:r>
    </w:p>
    <w:p>
      <w:pPr>
        <w:numPr>
          <w:ilvl w:val="0"/>
          <w:numId w:val="1024"/>
        </w:numPr>
        <w:pStyle w:val="Compact"/>
      </w:pPr>
      <w:r>
        <w:t xml:space="preserve">access to payroll, HR, cash, and payment systems;</w:t>
      </w:r>
    </w:p>
    <w:p>
      <w:pPr>
        <w:numPr>
          <w:ilvl w:val="0"/>
          <w:numId w:val="1024"/>
        </w:numPr>
        <w:pStyle w:val="Compact"/>
      </w:pPr>
      <w:r>
        <w:t xml:space="preserve">physical requirements;</w:t>
      </w:r>
    </w:p>
    <w:p>
      <w:pPr>
        <w:numPr>
          <w:ilvl w:val="0"/>
          <w:numId w:val="1024"/>
        </w:numPr>
        <w:pStyle w:val="Compact"/>
      </w:pPr>
      <w:r>
        <w:t xml:space="preserve">background, age, health-document, or other lawful prerequisites;</w:t>
      </w:r>
    </w:p>
    <w:p>
      <w:pPr>
        <w:numPr>
          <w:ilvl w:val="0"/>
          <w:numId w:val="1024"/>
        </w:numPr>
        <w:pStyle w:val="Compact"/>
      </w:pPr>
      <w:r>
        <w:t xml:space="preserve">whether training time is paid;</w:t>
      </w:r>
    </w:p>
    <w:p>
      <w:pPr>
        <w:numPr>
          <w:ilvl w:val="0"/>
          <w:numId w:val="1024"/>
        </w:numPr>
        <w:pStyle w:val="Compact"/>
      </w:pPr>
      <w:r>
        <w:t xml:space="preserve">promotion criteria;</w:t>
      </w:r>
    </w:p>
    <w:p>
      <w:pPr>
        <w:numPr>
          <w:ilvl w:val="0"/>
          <w:numId w:val="1024"/>
        </w:numPr>
        <w:pStyle w:val="Compact"/>
      </w:pPr>
      <w:r>
        <w:t xml:space="preserve">tuition or apprenticeship support;</w:t>
      </w:r>
    </w:p>
    <w:p>
      <w:pPr>
        <w:numPr>
          <w:ilvl w:val="0"/>
          <w:numId w:val="1024"/>
        </w:numPr>
        <w:pStyle w:val="Compact"/>
      </w:pPr>
      <w:r>
        <w:t xml:space="preserve">accessibility/accommodation process.</w:t>
      </w:r>
    </w:p>
    <w:bookmarkEnd w:id="60"/>
    <w:bookmarkStart w:id="76" w:name="controlled-source-list"/>
    <w:p>
      <w:pPr>
        <w:pStyle w:val="Heading2"/>
      </w:pPr>
      <w:r>
        <w:t xml:space="preserve">Controlled source list</w:t>
      </w:r>
    </w:p>
    <w:p>
      <w:pPr>
        <w:numPr>
          <w:ilvl w:val="0"/>
          <w:numId w:val="1025"/>
        </w:numPr>
        <w:pStyle w:val="Compact"/>
      </w:pPr>
      <w:hyperlink r:id="rId61">
        <w:hyperlink r:id="rId61">
          <w:r>
            <w:rPr>
              <w:rStyle w:val="Hyperlink"/>
            </w:rPr>
            <w:t xml:space="preserve">Source link</w:t>
          </w:r>
        </w:hyperlink>
      </w:hyperlink>
    </w:p>
    <w:p>
      <w:pPr>
        <w:numPr>
          <w:ilvl w:val="0"/>
          <w:numId w:val="1025"/>
        </w:numPr>
        <w:pStyle w:val="Compact"/>
      </w:pPr>
      <w:hyperlink r:id="rId62">
        <w:hyperlink r:id="rId62">
          <w:r>
            <w:rPr>
              <w:rStyle w:val="Hyperlink"/>
            </w:rPr>
            <w:t xml:space="preserve">Source link</w:t>
          </w:r>
        </w:hyperlink>
      </w:hyperlink>
    </w:p>
    <w:p>
      <w:pPr>
        <w:numPr>
          <w:ilvl w:val="0"/>
          <w:numId w:val="1025"/>
        </w:numPr>
        <w:pStyle w:val="Compact"/>
      </w:pPr>
      <w:hyperlink r:id="rId63">
        <w:hyperlink r:id="rId63">
          <w:r>
            <w:rPr>
              <w:rStyle w:val="Hyperlink"/>
            </w:rPr>
            <w:t xml:space="preserve">Source link</w:t>
          </w:r>
        </w:hyperlink>
      </w:hyperlink>
    </w:p>
    <w:p>
      <w:pPr>
        <w:numPr>
          <w:ilvl w:val="0"/>
          <w:numId w:val="1025"/>
        </w:numPr>
        <w:pStyle w:val="Compact"/>
      </w:pPr>
      <w:hyperlink r:id="rId64">
        <w:hyperlink r:id="rId64">
          <w:r>
            <w:rPr>
              <w:rStyle w:val="Hyperlink"/>
            </w:rPr>
            <w:t xml:space="preserve">Source link</w:t>
          </w:r>
        </w:hyperlink>
      </w:hyperlink>
    </w:p>
    <w:p>
      <w:pPr>
        <w:numPr>
          <w:ilvl w:val="0"/>
          <w:numId w:val="1025"/>
        </w:numPr>
        <w:pStyle w:val="Compact"/>
      </w:pPr>
      <w:hyperlink r:id="rId65">
        <w:hyperlink r:id="rId65">
          <w:r>
            <w:rPr>
              <w:rStyle w:val="Hyperlink"/>
            </w:rPr>
            <w:t xml:space="preserve">Source link</w:t>
          </w:r>
        </w:hyperlink>
      </w:hyperlink>
    </w:p>
    <w:p>
      <w:pPr>
        <w:numPr>
          <w:ilvl w:val="0"/>
          <w:numId w:val="1025"/>
        </w:numPr>
        <w:pStyle w:val="Compact"/>
      </w:pPr>
      <w:hyperlink r:id="rId66">
        <w:hyperlink r:id="rId66">
          <w:r>
            <w:rPr>
              <w:rStyle w:val="Hyperlink"/>
            </w:rPr>
            <w:t xml:space="preserve">Source link</w:t>
          </w:r>
        </w:hyperlink>
      </w:hyperlink>
    </w:p>
    <w:p>
      <w:pPr>
        <w:numPr>
          <w:ilvl w:val="0"/>
          <w:numId w:val="1025"/>
        </w:numPr>
        <w:pStyle w:val="Compact"/>
      </w:pPr>
      <w:hyperlink r:id="rId67">
        <w:hyperlink r:id="rId67">
          <w:r>
            <w:rPr>
              <w:rStyle w:val="Hyperlink"/>
            </w:rPr>
            <w:t xml:space="preserve">Source link</w:t>
          </w:r>
        </w:hyperlink>
      </w:hyperlink>
    </w:p>
    <w:p>
      <w:pPr>
        <w:numPr>
          <w:ilvl w:val="0"/>
          <w:numId w:val="1025"/>
        </w:numPr>
        <w:pStyle w:val="Compact"/>
      </w:pPr>
      <w:hyperlink r:id="rId68">
        <w:hyperlink r:id="rId68">
          <w:r>
            <w:rPr>
              <w:rStyle w:val="Hyperlink"/>
            </w:rPr>
            <w:t xml:space="preserve">Source link</w:t>
          </w:r>
        </w:hyperlink>
      </w:hyperlink>
    </w:p>
    <w:p>
      <w:pPr>
        <w:numPr>
          <w:ilvl w:val="0"/>
          <w:numId w:val="1025"/>
        </w:numPr>
        <w:pStyle w:val="Compact"/>
      </w:pPr>
      <w:hyperlink r:id="rId69">
        <w:hyperlink r:id="rId69">
          <w:r>
            <w:rPr>
              <w:rStyle w:val="Hyperlink"/>
            </w:rPr>
            <w:t xml:space="preserve">Source link</w:t>
          </w:r>
        </w:hyperlink>
      </w:hyperlink>
    </w:p>
    <w:p>
      <w:pPr>
        <w:numPr>
          <w:ilvl w:val="0"/>
          <w:numId w:val="1025"/>
        </w:numPr>
        <w:pStyle w:val="Compact"/>
      </w:pPr>
      <w:hyperlink r:id="rId70">
        <w:hyperlink r:id="rId70">
          <w:r>
            <w:rPr>
              <w:rStyle w:val="Hyperlink"/>
            </w:rPr>
            <w:t xml:space="preserve">Source link</w:t>
          </w:r>
        </w:hyperlink>
      </w:hyperlink>
    </w:p>
    <w:p>
      <w:pPr>
        <w:numPr>
          <w:ilvl w:val="0"/>
          <w:numId w:val="1025"/>
        </w:numPr>
        <w:pStyle w:val="Compact"/>
      </w:pPr>
      <w:hyperlink r:id="rId71">
        <w:hyperlink r:id="rId71">
          <w:r>
            <w:rPr>
              <w:rStyle w:val="Hyperlink"/>
            </w:rPr>
            <w:t xml:space="preserve">Source link</w:t>
          </w:r>
        </w:hyperlink>
      </w:hyperlink>
    </w:p>
    <w:p>
      <w:pPr>
        <w:numPr>
          <w:ilvl w:val="0"/>
          <w:numId w:val="1025"/>
        </w:numPr>
        <w:pStyle w:val="Compact"/>
      </w:pPr>
      <w:hyperlink r:id="rId72">
        <w:hyperlink r:id="rId72">
          <w:r>
            <w:rPr>
              <w:rStyle w:val="Hyperlink"/>
            </w:rPr>
            <w:t xml:space="preserve">Source link</w:t>
          </w:r>
        </w:hyperlink>
      </w:hyperlink>
    </w:p>
    <w:p>
      <w:pPr>
        <w:numPr>
          <w:ilvl w:val="0"/>
          <w:numId w:val="1025"/>
        </w:numPr>
        <w:pStyle w:val="Compact"/>
      </w:pPr>
      <w:hyperlink r:id="rId73">
        <w:hyperlink r:id="rId73">
          <w:r>
            <w:rPr>
              <w:rStyle w:val="Hyperlink"/>
            </w:rPr>
            <w:t xml:space="preserve">Source link</w:t>
          </w:r>
        </w:hyperlink>
      </w:hyperlink>
    </w:p>
    <w:p>
      <w:pPr>
        <w:numPr>
          <w:ilvl w:val="0"/>
          <w:numId w:val="1025"/>
        </w:numPr>
        <w:pStyle w:val="Compact"/>
      </w:pPr>
      <w:hyperlink r:id="rId74">
        <w:hyperlink r:id="rId74">
          <w:r>
            <w:rPr>
              <w:rStyle w:val="Hyperlink"/>
            </w:rPr>
            <w:t xml:space="preserve">Source link</w:t>
          </w:r>
        </w:hyperlink>
      </w:hyperlink>
    </w:p>
    <w:p>
      <w:pPr>
        <w:numPr>
          <w:ilvl w:val="0"/>
          <w:numId w:val="1025"/>
        </w:numPr>
        <w:pStyle w:val="Compact"/>
      </w:pPr>
      <w:hyperlink r:id="rId75">
        <w:hyperlink r:id="rId75">
          <w:r>
            <w:rPr>
              <w:rStyle w:val="Hyperlink"/>
            </w:rPr>
            <w:t xml:space="preserve">Source link</w:t>
          </w:r>
        </w:hyperlink>
      </w:hyperlink>
    </w:p>
    <w:bookmarkEnd w:id="76"/>
    <w:bookmarkStart w:id="77" w:name="important-notice"/>
    <w:p>
      <w:pPr>
        <w:pStyle w:val="Heading2"/>
      </w:pPr>
      <w:r>
        <w:t xml:space="preserve">Important notice</w:t>
      </w:r>
    </w:p>
    <w:p>
      <w:pPr>
        <w:pStyle w:val="FirstParagraph"/>
      </w:pPr>
      <w:r>
        <w:t xml:space="preserve">This guide provides general educational and career-planning information. It does not guarantee employment, earnings, admission, funding, certification, licensing, promotion, apprenticeship placement, or any other result. Requirements vary by jurisdiction, employer, establishment type, and time. Always verify current requirements with the relevant employer and government authority.</w:t>
      </w:r>
    </w:p>
    <w:bookmarkEnd w:id="77"/>
    <w:bookmarkStart w:id="78" w:name="assurance-boundary"/>
    <w:p>
      <w:pPr>
        <w:pStyle w:val="Heading2"/>
      </w:pPr>
      <w:r>
        <w:t xml:space="preserve">Assurance boundary</w:t>
      </w:r>
    </w:p>
    <w:p>
      <w:pPr>
        <w:pStyle w:val="FirstParagraph"/>
      </w:pPr>
      <w:r>
        <w:t xml:space="preserve">This Version 2 working master was developed through internal machine-assisted research and editorial review. It is not independent human certification, professional food-safety certification, professional translation certification, legal review, accessibility certification, accreditation, licensing advice, or regulatory approval.</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oferta/emprendedor-en-tecnicas-de-mesa-y-bar-para-el-servicio-de-alimentos-y-bebidas?programId=66655" TargetMode="External" /><Relationship Type="http://schemas.openxmlformats.org/officeDocument/2006/relationships/hyperlink" Id="rId73" Target="https://betowa.sena.edu.co/oferta/servicio-de-restaurante-y-bar?modality=P&amp;programId=137214" TargetMode="External" /><Relationship Type="http://schemas.openxmlformats.org/officeDocument/2006/relationships/hyperlink" Id="rId64" Target="https://www.bls.gov/ooh/management/food-service-managers.htm"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68" Target="https://www.fda.gov/food/fda-food-code/food-code-2022" TargetMode="External" /><Relationship Type="http://schemas.openxmlformats.org/officeDocument/2006/relationships/hyperlink" Id="rId69" Target="https://www.fda.gov/food/hfp-constituent-updates/fda-releases-supplement-2022-food-code" TargetMode="External" /><Relationship Type="http://schemas.openxmlformats.org/officeDocument/2006/relationships/hyperlink" Id="rId67" Target="https://www.fda.gov/food/retail-food-protection/fda-food-code" TargetMode="External" /><Relationship Type="http://schemas.openxmlformats.org/officeDocument/2006/relationships/hyperlink" Id="rId72" Target="https://www.jobbank.gc.ca/marketreport/requirements/2031/ca" TargetMode="External" /><Relationship Type="http://schemas.openxmlformats.org/officeDocument/2006/relationships/hyperlink" Id="rId70" Target="https://www.jobbank.gc.ca/marketreport/summary-occupation/2031/ca" TargetMode="External" /><Relationship Type="http://schemas.openxmlformats.org/officeDocument/2006/relationships/hyperlink" Id="rId71" Target="https://www.jobbank.gc.ca/wagereport/occupation/2025?wbdisable=true" TargetMode="External" /><Relationship Type="http://schemas.openxmlformats.org/officeDocument/2006/relationships/hyperlink" Id="rId63" Target="https://www.onetonline.org/link/localtrends/11-9051.00" TargetMode="External" /><Relationship Type="http://schemas.openxmlformats.org/officeDocument/2006/relationships/hyperlink" Id="rId62" Target="https://www.onetonline.org/link/localwages/11-9051.00" TargetMode="External" /><Relationship Type="http://schemas.openxmlformats.org/officeDocument/2006/relationships/hyperlink" Id="rId61" Target="https://www.onetonline.org/link/summary/11-9051.00" TargetMode="External" /><Relationship Type="http://schemas.openxmlformats.org/officeDocument/2006/relationships/hyperlink" Id="rId65" Target="https://www.salary.com/research/salary/position/restaurant-supervisor-salary" TargetMode="External" /><Relationship Type="http://schemas.openxmlformats.org/officeDocument/2006/relationships/hyperlink" Id="rId66" Target="https://www.ziprecruiter.com/Salaries/Restaurant-Supervisor-Salary"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oferta/emprendedor-en-tecnicas-de-mesa-y-bar-para-el-servicio-de-alimentos-y-bebidas?programId=66655" TargetMode="External" /><Relationship Type="http://schemas.openxmlformats.org/officeDocument/2006/relationships/hyperlink" Id="rId73" Target="https://betowa.sena.edu.co/oferta/servicio-de-restaurante-y-bar?modality=P&amp;programId=137214" TargetMode="External" /><Relationship Type="http://schemas.openxmlformats.org/officeDocument/2006/relationships/hyperlink" Id="rId64" Target="https://www.bls.gov/ooh/management/food-service-managers.htm"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68" Target="https://www.fda.gov/food/fda-food-code/food-code-2022" TargetMode="External" /><Relationship Type="http://schemas.openxmlformats.org/officeDocument/2006/relationships/hyperlink" Id="rId69" Target="https://www.fda.gov/food/hfp-constituent-updates/fda-releases-supplement-2022-food-code" TargetMode="External" /><Relationship Type="http://schemas.openxmlformats.org/officeDocument/2006/relationships/hyperlink" Id="rId67" Target="https://www.fda.gov/food/retail-food-protection/fda-food-code" TargetMode="External" /><Relationship Type="http://schemas.openxmlformats.org/officeDocument/2006/relationships/hyperlink" Id="rId72" Target="https://www.jobbank.gc.ca/marketreport/requirements/2031/ca" TargetMode="External" /><Relationship Type="http://schemas.openxmlformats.org/officeDocument/2006/relationships/hyperlink" Id="rId70" Target="https://www.jobbank.gc.ca/marketreport/summary-occupation/2031/ca" TargetMode="External" /><Relationship Type="http://schemas.openxmlformats.org/officeDocument/2006/relationships/hyperlink" Id="rId71" Target="https://www.jobbank.gc.ca/wagereport/occupation/2025?wbdisable=true" TargetMode="External" /><Relationship Type="http://schemas.openxmlformats.org/officeDocument/2006/relationships/hyperlink" Id="rId63" Target="https://www.onetonline.org/link/localtrends/11-9051.00" TargetMode="External" /><Relationship Type="http://schemas.openxmlformats.org/officeDocument/2006/relationships/hyperlink" Id="rId62" Target="https://www.onetonline.org/link/localwages/11-9051.00" TargetMode="External" /><Relationship Type="http://schemas.openxmlformats.org/officeDocument/2006/relationships/hyperlink" Id="rId61" Target="https://www.onetonline.org/link/summary/11-9051.00" TargetMode="External" /><Relationship Type="http://schemas.openxmlformats.org/officeDocument/2006/relationships/hyperlink" Id="rId65" Target="https://www.salary.com/research/salary/position/restaurant-supervisor-salary" TargetMode="External" /><Relationship Type="http://schemas.openxmlformats.org/officeDocument/2006/relationships/hyperlink" Id="rId66" Target="https://www.ziprecruiter.com/Salaries/Restaurant-Supervis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2026-08-21T00:38:02Z</dcterms:created>
  <dcterms:modified xsi:type="dcterms:W3CDTF">2026-08-21T00:38:02Z</dcterms:modified>
</cp:coreProperties>
</file>

<file path=docProps/custom.xml><?xml version="1.0" encoding="utf-8"?>
<Properties xmlns="http://schemas.openxmlformats.org/officeDocument/2006/custom-properties" xmlns:vt="http://schemas.openxmlformats.org/officeDocument/2006/docPropsVTypes"/>
</file>