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13510de0ecf26ed55c51eb25d8bd92017fc8aae"/>
    <w:p>
      <w:pPr>
        <w:pStyle w:val="Heading1"/>
      </w:pPr>
      <w:r>
        <w:t xml:space="preserve">Guia de Oportunidades ao Longo da Vida 66 — Trainee de Gerência de Serviços de Alimentação e Supervisor(a) de Restaurante</w:t>
      </w:r>
    </w:p>
    <w:p>
      <w:pPr>
        <w:pStyle w:val="FirstParagraph"/>
      </w:pPr>
      <w:r>
        <w:rPr>
          <w:bCs/>
          <w:b/>
        </w:rPr>
        <w:t xml:space="preserve">Versão:</w:t>
      </w:r>
      <w:r>
        <w:t xml:space="preserve"> </w:t>
      </w:r>
      <w:r>
        <w:t xml:space="preserve">2.0, mestre de trabalho controlado</w:t>
      </w:r>
      <w:r>
        <w:br/>
      </w:r>
      <w:r>
        <w:rPr>
          <w:bCs/>
          <w:b/>
        </w:rPr>
        <w:t xml:space="preserve">Idioma:</w:t>
      </w:r>
      <w:r>
        <w:t xml:space="preserve"> </w:t>
      </w:r>
      <w:r>
        <w:t xml:space="preserve">português brasileiro (</w:t>
      </w:r>
      <w:r>
        <w:rPr>
          <w:rStyle w:val="VerbatimChar"/>
        </w:rPr>
        <w:t xml:space="preserve">pt-BR</w:t>
      </w:r>
      <w:r>
        <w:t xml:space="preserve">)</w:t>
      </w:r>
      <w:r>
        <w:br/>
      </w:r>
      <w:r>
        <w:rPr>
          <w:bCs/>
          <w:b/>
        </w:rPr>
        <w:t xml:space="preserve">Referência ocupacional:</w:t>
      </w:r>
      <w:r>
        <w:t xml:space="preserve"> </w:t>
      </w:r>
      <w:r>
        <w:t xml:space="preserve">O*NET-SOC 11-9051.00 — Food Service Managers</w:t>
      </w:r>
      <w:r>
        <w:br/>
      </w:r>
      <w:r>
        <w:rPr>
          <w:bCs/>
          <w:b/>
        </w:rPr>
        <w:t xml:space="preserve">Comparação com o Canadá:</w:t>
      </w:r>
      <w:r>
        <w:t xml:space="preserve"> </w:t>
      </w:r>
      <w:r>
        <w:t xml:space="preserve">NOC 60030 — Restaurant and food service managers</w:t>
      </w:r>
      <w:r>
        <w:br/>
      </w:r>
      <w:r>
        <w:rPr>
          <w:bCs/>
          <w:b/>
        </w:rPr>
        <w:t xml:space="preserve">Data da revisão:</w:t>
      </w:r>
      <w:r>
        <w:t xml:space="preserve"> </w:t>
      </w:r>
      <w:r>
        <w:t xml:space="preserve">2026-08-20</w:t>
      </w:r>
    </w:p>
    <w:bookmarkStart w:id="20" w:name="o-que-é-esta-carreira"/>
    <w:p>
      <w:pPr>
        <w:pStyle w:val="Heading2"/>
      </w:pPr>
      <w:r>
        <w:t xml:space="preserve">O que é esta carreira</w:t>
      </w:r>
    </w:p>
    <w:p>
      <w:pPr>
        <w:pStyle w:val="FirstParagraph"/>
      </w:pPr>
      <w:r>
        <w:t xml:space="preserve">Uma pessoa em formação gerencial em serviços de alimentação ou um(a) supervisor(a) de restaurante ajuda a manter um restaurante, café, cafeteria, ponto de alimentação de hotel, operação de catering ou outro negócio semelhante de alimentos e bebidas funcionando com segurança e consistência. Dependendo do empregador, a função pode coordenar um turno, distribuir tarefas, orientar a equipe, acompanhar a qualidade do atendimento, apoiar inventário e pedidos, resolver questões rotineiras de clientes, verificar tarefas de higienização, auxiliar em escalas e relatar problemas operacionais a um gerente.</w:t>
      </w:r>
    </w:p>
    <w:p>
      <w:pPr>
        <w:pStyle w:val="BodyText"/>
      </w:pPr>
      <w:r>
        <w:t xml:space="preserve">O título não é padronizado. Um(a)</w:t>
      </w:r>
      <w:r>
        <w:t xml:space="preserve"> </w:t>
      </w:r>
      <w:r>
        <w:rPr>
          <w:bCs/>
          <w:b/>
        </w:rPr>
        <w:t xml:space="preserve">supervisor(a) de restaurante</w:t>
      </w:r>
      <w:r>
        <w:t xml:space="preserve"> </w:t>
      </w:r>
      <w:r>
        <w:t xml:space="preserve">pode liderar um turno sem autoridade plena sobre contratação, folha de pagamento, compras, preços, contratos ou disciplina. Uma</w:t>
      </w:r>
      <w:r>
        <w:t xml:space="preserve"> </w:t>
      </w:r>
      <w:r>
        <w:rPr>
          <w:bCs/>
          <w:b/>
        </w:rPr>
        <w:t xml:space="preserve">pessoa em formação gerencial</w:t>
      </w:r>
      <w:r>
        <w:t xml:space="preserve"> </w:t>
      </w:r>
      <w:r>
        <w:t xml:space="preserve">pode passar por cozinha, atendimento, estoque, escalas, serviço ao cliente e funções administrativas enquanto aprende como a operação funciona. Um(a)</w:t>
      </w:r>
      <w:r>
        <w:t xml:space="preserve"> </w:t>
      </w:r>
      <w:r>
        <w:rPr>
          <w:bCs/>
          <w:b/>
        </w:rPr>
        <w:t xml:space="preserve">Food Service Manager</w:t>
      </w:r>
      <w:r>
        <w:t xml:space="preserve"> </w:t>
      </w:r>
      <w:r>
        <w:t xml:space="preserve">plenamente responsável normalmente possui atribuições mais amplas sobre quadro de pessoal, orçamento, conformidade, segurança, registros financeiros e desempenho geral.</w:t>
      </w:r>
    </w:p>
    <w:p>
      <w:pPr>
        <w:pStyle w:val="BodyText"/>
      </w:pPr>
      <w:r>
        <w:t xml:space="preserve">Por isso, este guia usa</w:t>
      </w:r>
      <w:r>
        <w:t xml:space="preserve"> </w:t>
      </w:r>
      <w:r>
        <w:rPr>
          <w:bCs/>
          <w:b/>
        </w:rPr>
        <w:t xml:space="preserve">O*NET-SOC 11-9051.00 — Food Service Managers</w:t>
      </w:r>
      <w:r>
        <w:t xml:space="preserve"> </w:t>
      </w:r>
      <w:r>
        <w:t xml:space="preserve">como referência ocupacional principal dos Estados Unidos, mantendo clara a diferença entre funções de trainee/supervisão e autoridade gerencial plena.</w:t>
      </w:r>
    </w:p>
    <w:bookmarkEnd w:id="20"/>
    <w:bookmarkStart w:id="21" w:name="X2c05fbae5babdb3d1dd0f664c780b0c474b0096"/>
    <w:p>
      <w:pPr>
        <w:pStyle w:val="Heading2"/>
      </w:pPr>
      <w:r>
        <w:t xml:space="preserve">Por que esta função pode ser uma oportunidade</w:t>
      </w:r>
    </w:p>
    <w:p>
      <w:pPr>
        <w:pStyle w:val="FirstParagraph"/>
      </w:pPr>
      <w:r>
        <w:t xml:space="preserve">O setor de alimentação é uma das áreas em que ainda é possível avançar de funções de linha de frente para supervisão e gerência por meio de confiabilidade, atendimento ao cliente, disciplina em segurança dos alimentos, liderança e habilidades práticas de negócio. Muitos gerentes começam como atendentes, cozinheiros, caixas, recepcionistas, trabalhadores de preparação de alimentos ou líderes de turno e progridem depois de demonstrar competência.</w:t>
      </w:r>
    </w:p>
    <w:p>
      <w:pPr>
        <w:pStyle w:val="BodyText"/>
      </w:pPr>
      <w:r>
        <w:t xml:space="preserve">A área pode ser adequada para quem prefere trabalho ativo, contato frequente com pessoas, resultados visíveis, solução de problemas e liderança de equipe em tempo real. Também oferece experiência transferível em escalas, estoque, controle de qualidade, treinamento, atendimento ao cliente, controle de custos, segurança no trabalho e liderança operacional.</w:t>
      </w:r>
    </w:p>
    <w:p>
      <w:pPr>
        <w:pStyle w:val="BodyText"/>
      </w:pPr>
      <w:r>
        <w:t xml:space="preserve">Não é uma ocupação fácil. O trabalho em restaurantes pode envolver longos períodos em pé e caminhando, áreas quentes ou apertadas, escorregões e cortes, clientes insatisfeitos, pressão de tempo, madrugadas, noites, fins de semana, feriados e alterações de escala com pouca antecedência.</w:t>
      </w:r>
    </w:p>
    <w:bookmarkEnd w:id="21"/>
    <w:bookmarkStart w:id="22" w:name="responsabilidades-típicas"/>
    <w:p>
      <w:pPr>
        <w:pStyle w:val="Heading2"/>
      </w:pPr>
      <w:r>
        <w:t xml:space="preserve">Responsabilidades típicas</w:t>
      </w:r>
    </w:p>
    <w:p>
      <w:pPr>
        <w:pStyle w:val="FirstParagraph"/>
      </w:pPr>
      <w:r>
        <w:t xml:space="preserve">Uma pessoa em formação ou um(a) supervisor(a) pode ser solicitado(a) a:</w:t>
      </w:r>
    </w:p>
    <w:p>
      <w:pPr>
        <w:numPr>
          <w:ilvl w:val="0"/>
          <w:numId w:val="1001"/>
        </w:numPr>
        <w:pStyle w:val="Compact"/>
      </w:pPr>
      <w:r>
        <w:t xml:space="preserve">abrir ou encerrar um turno conforme os procedimentos do empregador;</w:t>
      </w:r>
    </w:p>
    <w:p>
      <w:pPr>
        <w:numPr>
          <w:ilvl w:val="0"/>
          <w:numId w:val="1001"/>
        </w:numPr>
        <w:pStyle w:val="Compact"/>
      </w:pPr>
      <w:r>
        <w:t xml:space="preserve">confirmar a equipe disponível e distribuir postos ou tarefas;</w:t>
      </w:r>
    </w:p>
    <w:p>
      <w:pPr>
        <w:numPr>
          <w:ilvl w:val="0"/>
          <w:numId w:val="1001"/>
        </w:numPr>
        <w:pStyle w:val="Compact"/>
      </w:pPr>
      <w:r>
        <w:t xml:space="preserve">acompanhar o ritmo do serviço e a experiência do cliente;</w:t>
      </w:r>
    </w:p>
    <w:p>
      <w:pPr>
        <w:numPr>
          <w:ilvl w:val="0"/>
          <w:numId w:val="1001"/>
        </w:numPr>
        <w:pStyle w:val="Compact"/>
      </w:pPr>
      <w:r>
        <w:t xml:space="preserve">apoiar a integração de novos empregados e o ensino de tarefas;</w:t>
      </w:r>
    </w:p>
    <w:p>
      <w:pPr>
        <w:numPr>
          <w:ilvl w:val="0"/>
          <w:numId w:val="1001"/>
        </w:numPr>
        <w:pStyle w:val="Compact"/>
      </w:pPr>
      <w:r>
        <w:t xml:space="preserve">verificar rotinas de limpeza, higienização, temperatura e manipulação de alimentos;</w:t>
      </w:r>
    </w:p>
    <w:p>
      <w:pPr>
        <w:numPr>
          <w:ilvl w:val="0"/>
          <w:numId w:val="1001"/>
        </w:numPr>
        <w:pStyle w:val="Compact"/>
      </w:pPr>
      <w:r>
        <w:t xml:space="preserve">conferir níveis de estoque e informar faltas;</w:t>
      </w:r>
    </w:p>
    <w:p>
      <w:pPr>
        <w:numPr>
          <w:ilvl w:val="0"/>
          <w:numId w:val="1001"/>
        </w:numPr>
        <w:pStyle w:val="Compact"/>
      </w:pPr>
      <w:r>
        <w:t xml:space="preserve">receber entregas dentro da autoridade delegada e verificar quantidade ou condição;</w:t>
      </w:r>
    </w:p>
    <w:p>
      <w:pPr>
        <w:numPr>
          <w:ilvl w:val="0"/>
          <w:numId w:val="1001"/>
        </w:numPr>
        <w:pStyle w:val="Compact"/>
      </w:pPr>
      <w:r>
        <w:t xml:space="preserve">coordenar a comunicação entre cozinha e equipe de atendimento;</w:t>
      </w:r>
    </w:p>
    <w:p>
      <w:pPr>
        <w:numPr>
          <w:ilvl w:val="0"/>
          <w:numId w:val="1001"/>
        </w:numPr>
        <w:pStyle w:val="Compact"/>
      </w:pPr>
      <w:r>
        <w:t xml:space="preserve">lidar com questões rotineiras de clientes e escalar reclamações de maior risco;</w:t>
      </w:r>
    </w:p>
    <w:p>
      <w:pPr>
        <w:numPr>
          <w:ilvl w:val="0"/>
          <w:numId w:val="1001"/>
        </w:numPr>
        <w:pStyle w:val="Compact"/>
      </w:pPr>
      <w:r>
        <w:t xml:space="preserve">apoiar procedimentos de controle de caixa e ponto de venda quando autorizado(a);</w:t>
      </w:r>
    </w:p>
    <w:p>
      <w:pPr>
        <w:numPr>
          <w:ilvl w:val="0"/>
          <w:numId w:val="1001"/>
        </w:numPr>
        <w:pStyle w:val="Compact"/>
      </w:pPr>
      <w:r>
        <w:t xml:space="preserve">documentar incidentes, faltas, necessidades de manutenção ou problemas de serviço;</w:t>
      </w:r>
    </w:p>
    <w:p>
      <w:pPr>
        <w:numPr>
          <w:ilvl w:val="0"/>
          <w:numId w:val="1001"/>
        </w:numPr>
        <w:pStyle w:val="Compact"/>
      </w:pPr>
      <w:r>
        <w:t xml:space="preserve">apoiar alterações de escala e controle de presença;</w:t>
      </w:r>
    </w:p>
    <w:p>
      <w:pPr>
        <w:numPr>
          <w:ilvl w:val="0"/>
          <w:numId w:val="1001"/>
        </w:numPr>
        <w:pStyle w:val="Compact"/>
      </w:pPr>
      <w:r>
        <w:t xml:space="preserve">acompanhar o cumprimento das políticas do empregador sobre serviço de álcool quando aplicável;</w:t>
      </w:r>
    </w:p>
    <w:p>
      <w:pPr>
        <w:numPr>
          <w:ilvl w:val="0"/>
          <w:numId w:val="1001"/>
        </w:numPr>
        <w:pStyle w:val="Compact"/>
      </w:pPr>
      <w:r>
        <w:t xml:space="preserve">ajudar a manter um ambiente de trabalho seguro, acessível e respeitoso.</w:t>
      </w:r>
    </w:p>
    <w:p>
      <w:pPr>
        <w:pStyle w:val="FirstParagraph"/>
      </w:pPr>
      <w:r>
        <w:t xml:space="preserve">Um(a) gerente de serviços de alimentação plenamente responsável também pode gerenciar quadro de pessoal, recrutamento, desempenho, orçamento, registros de folha, compras, relacionamento com fornecedores, registros regulatórios, serviços de instalações, preços e decisões financeiras mais amplas.</w:t>
      </w:r>
    </w:p>
    <w:bookmarkEnd w:id="22"/>
    <w:bookmarkStart w:id="23" w:name="limites-de-autoridade"/>
    <w:p>
      <w:pPr>
        <w:pStyle w:val="Heading2"/>
      </w:pPr>
      <w:r>
        <w:t xml:space="preserve">Limites de autoridade</w:t>
      </w:r>
    </w:p>
    <w:p>
      <w:pPr>
        <w:pStyle w:val="FirstParagraph"/>
      </w:pPr>
      <w:r>
        <w:t xml:space="preserve">Não presuma que um título de trainee ou supervisor(a) concede autoridade para:</w:t>
      </w:r>
    </w:p>
    <w:p>
      <w:pPr>
        <w:numPr>
          <w:ilvl w:val="0"/>
          <w:numId w:val="1002"/>
        </w:numPr>
        <w:pStyle w:val="Compact"/>
      </w:pPr>
      <w:r>
        <w:t xml:space="preserve">contratar, demitir, suspender ou aplicar disciplina formal a empregados;</w:t>
      </w:r>
    </w:p>
    <w:p>
      <w:pPr>
        <w:numPr>
          <w:ilvl w:val="0"/>
          <w:numId w:val="1002"/>
        </w:numPr>
        <w:pStyle w:val="Compact"/>
      </w:pPr>
      <w:r>
        <w:t xml:space="preserve">alterar salários, folha de pagamento ou registros de jornada fora dos procedimentos aprovados;</w:t>
      </w:r>
    </w:p>
    <w:p>
      <w:pPr>
        <w:numPr>
          <w:ilvl w:val="0"/>
          <w:numId w:val="1002"/>
        </w:numPr>
        <w:pStyle w:val="Compact"/>
      </w:pPr>
      <w:r>
        <w:t xml:space="preserve">assinar contratos com fornecedores, locação, catering ou serviços;</w:t>
      </w:r>
    </w:p>
    <w:p>
      <w:pPr>
        <w:numPr>
          <w:ilvl w:val="0"/>
          <w:numId w:val="1002"/>
        </w:numPr>
        <w:pStyle w:val="Compact"/>
      </w:pPr>
      <w:r>
        <w:t xml:space="preserve">aprovar compras importantes ou despesas de capital;</w:t>
      </w:r>
    </w:p>
    <w:p>
      <w:pPr>
        <w:numPr>
          <w:ilvl w:val="0"/>
          <w:numId w:val="1002"/>
        </w:numPr>
        <w:pStyle w:val="Compact"/>
      </w:pPr>
      <w:r>
        <w:t xml:space="preserve">alterar preços de cardápio, impostos, descontos ou regras de reembolso;</w:t>
      </w:r>
    </w:p>
    <w:p>
      <w:pPr>
        <w:numPr>
          <w:ilvl w:val="0"/>
          <w:numId w:val="1002"/>
        </w:numPr>
        <w:pStyle w:val="Compact"/>
      </w:pPr>
      <w:r>
        <w:t xml:space="preserve">ignorar requisitos de segurança dos alimentos para acelerar o atendimento;</w:t>
      </w:r>
    </w:p>
    <w:p>
      <w:pPr>
        <w:numPr>
          <w:ilvl w:val="0"/>
          <w:numId w:val="1002"/>
        </w:numPr>
        <w:pStyle w:val="Compact"/>
      </w:pPr>
      <w:r>
        <w:t xml:space="preserve">autorizar serviço de álcool em desacordo com a lei ou a política da empresa;</w:t>
      </w:r>
    </w:p>
    <w:p>
      <w:pPr>
        <w:numPr>
          <w:ilvl w:val="0"/>
          <w:numId w:val="1002"/>
        </w:numPr>
        <w:pStyle w:val="Compact"/>
      </w:pPr>
      <w:r>
        <w:t xml:space="preserve">acessar sem restrição informações de RH, folha, cartões de pagamento ou clientes;</w:t>
      </w:r>
    </w:p>
    <w:p>
      <w:pPr>
        <w:numPr>
          <w:ilvl w:val="0"/>
          <w:numId w:val="1002"/>
        </w:numPr>
        <w:pStyle w:val="Compact"/>
      </w:pPr>
      <w:r>
        <w:t xml:space="preserve">representar a empresa perante órgãos reguladores sem designação formal;</w:t>
      </w:r>
    </w:p>
    <w:p>
      <w:pPr>
        <w:numPr>
          <w:ilvl w:val="0"/>
          <w:numId w:val="1002"/>
        </w:numPr>
        <w:pStyle w:val="Compact"/>
      </w:pPr>
      <w:r>
        <w:t xml:space="preserve">ocultar lesões, incidentes de segurança dos alimentos, denúncias de assédio, furtos ou outros eventos que devam ser reportados.</w:t>
      </w:r>
    </w:p>
    <w:p>
      <w:pPr>
        <w:pStyle w:val="FirstParagraph"/>
      </w:pPr>
      <w:r>
        <w:t xml:space="preserve">Quando a autoridade não estiver clara, encaminhe a questão ao gerente designado.</w:t>
      </w:r>
    </w:p>
    <w:bookmarkEnd w:id="23"/>
    <w:bookmarkStart w:id="24" w:name="ambiente-de-trabalho"/>
    <w:p>
      <w:pPr>
        <w:pStyle w:val="Heading2"/>
      </w:pPr>
      <w:r>
        <w:t xml:space="preserve">Ambiente de trabalho</w:t>
      </w:r>
    </w:p>
    <w:p>
      <w:pPr>
        <w:pStyle w:val="FirstParagraph"/>
      </w:pPr>
      <w:r>
        <w:t xml:space="preserve">Gerentes e supervisores de serviços de alimentação trabalham em restaurantes, hotéis, cafeterias, escolas, cozinhas institucionais, empresas de catering e outros estabelecimentos que preparam ou servem alimentos e bebidas. As escalas frequentemente incluem noites, fins de semana e feriados. Alguns gerentes com responsabilidade plena trabalham mais de 40 horas por semana.</w:t>
      </w:r>
    </w:p>
    <w:p>
      <w:pPr>
        <w:pStyle w:val="BodyText"/>
      </w:pPr>
      <w:r>
        <w:t xml:space="preserve">Riscos comuns incluem superfícies quentes, ferramentas cortantes, pisos escorregadios, levantamento de cargas, movimentos repetitivos, áreas apertadas, pressa e conflitos com clientes ou colegas. Calçados antiderrapantes, equipamentos de proteção adequados, técnicas seguras de levantamento, resposta a derramamentos, segurança com facas, prevenção de queimaduras e cumprimento de procedimentos de emergência fazem parte da rotina.</w:t>
      </w:r>
    </w:p>
    <w:bookmarkEnd w:id="24"/>
    <w:bookmarkStart w:id="29" w:name="Xec39930e61c04b9d0dfa2da01ff9d27d1f62e1a"/>
    <w:p>
      <w:pPr>
        <w:pStyle w:val="Heading2"/>
      </w:pPr>
      <w:r>
        <w:t xml:space="preserve">Habilidades valorizadas pelos empregadores</w:t>
      </w:r>
    </w:p>
    <w:bookmarkStart w:id="25" w:name="habilidades-com-pessoas-e-atendimento"/>
    <w:p>
      <w:pPr>
        <w:pStyle w:val="Heading3"/>
      </w:pPr>
      <w:r>
        <w:t xml:space="preserve">Habilidades com pessoas e atendimento</w:t>
      </w:r>
    </w:p>
    <w:p>
      <w:pPr>
        <w:numPr>
          <w:ilvl w:val="0"/>
          <w:numId w:val="1003"/>
        </w:numPr>
        <w:pStyle w:val="Compact"/>
      </w:pPr>
      <w:r>
        <w:t xml:space="preserve">comunicação verbal clara;</w:t>
      </w:r>
    </w:p>
    <w:p>
      <w:pPr>
        <w:numPr>
          <w:ilvl w:val="0"/>
          <w:numId w:val="1003"/>
        </w:numPr>
        <w:pStyle w:val="Compact"/>
      </w:pPr>
      <w:r>
        <w:t xml:space="preserve">julgamento no atendimento ao cliente;</w:t>
      </w:r>
    </w:p>
    <w:p>
      <w:pPr>
        <w:numPr>
          <w:ilvl w:val="0"/>
          <w:numId w:val="1003"/>
        </w:numPr>
        <w:pStyle w:val="Compact"/>
      </w:pPr>
      <w:r>
        <w:t xml:space="preserve">desescalada de conflitos;</w:t>
      </w:r>
    </w:p>
    <w:p>
      <w:pPr>
        <w:numPr>
          <w:ilvl w:val="0"/>
          <w:numId w:val="1003"/>
        </w:numPr>
        <w:pStyle w:val="Compact"/>
      </w:pPr>
      <w:r>
        <w:t xml:space="preserve">orientação e instrução;</w:t>
      </w:r>
    </w:p>
    <w:p>
      <w:pPr>
        <w:numPr>
          <w:ilvl w:val="0"/>
          <w:numId w:val="1003"/>
        </w:numPr>
        <w:pStyle w:val="Compact"/>
      </w:pPr>
      <w:r>
        <w:t xml:space="preserve">trabalho em equipe e coordenação de turnos;</w:t>
      </w:r>
    </w:p>
    <w:p>
      <w:pPr>
        <w:numPr>
          <w:ilvl w:val="0"/>
          <w:numId w:val="1003"/>
        </w:numPr>
        <w:pStyle w:val="Compact"/>
      </w:pPr>
      <w:r>
        <w:t xml:space="preserve">feedback respeitoso;</w:t>
      </w:r>
    </w:p>
    <w:p>
      <w:pPr>
        <w:numPr>
          <w:ilvl w:val="0"/>
          <w:numId w:val="1003"/>
        </w:numPr>
        <w:pStyle w:val="Compact"/>
      </w:pPr>
      <w:r>
        <w:t xml:space="preserve">comunicação com sensibilidade cultural.</w:t>
      </w:r>
    </w:p>
    <w:bookmarkEnd w:id="25"/>
    <w:bookmarkStart w:id="26" w:name="habilidades-operacionais"/>
    <w:p>
      <w:pPr>
        <w:pStyle w:val="Heading3"/>
      </w:pPr>
      <w:r>
        <w:t xml:space="preserve">Habilidades operacionais</w:t>
      </w:r>
    </w:p>
    <w:p>
      <w:pPr>
        <w:numPr>
          <w:ilvl w:val="0"/>
          <w:numId w:val="1004"/>
        </w:numPr>
        <w:pStyle w:val="Compact"/>
      </w:pPr>
      <w:r>
        <w:t xml:space="preserve">compreensão de escalas e dimensionamento de equipe;</w:t>
      </w:r>
    </w:p>
    <w:p>
      <w:pPr>
        <w:numPr>
          <w:ilvl w:val="0"/>
          <w:numId w:val="1004"/>
        </w:numPr>
        <w:pStyle w:val="Compact"/>
      </w:pPr>
      <w:r>
        <w:t xml:space="preserve">controle de estoque;</w:t>
      </w:r>
    </w:p>
    <w:p>
      <w:pPr>
        <w:numPr>
          <w:ilvl w:val="0"/>
          <w:numId w:val="1004"/>
        </w:numPr>
        <w:pStyle w:val="Compact"/>
      </w:pPr>
      <w:r>
        <w:t xml:space="preserve">recebimento e rotação de mercadorias;</w:t>
      </w:r>
    </w:p>
    <w:p>
      <w:pPr>
        <w:numPr>
          <w:ilvl w:val="0"/>
          <w:numId w:val="1004"/>
        </w:numPr>
        <w:pStyle w:val="Compact"/>
      </w:pPr>
      <w:r>
        <w:t xml:space="preserve">procedimentos de ponto de venda;</w:t>
      </w:r>
    </w:p>
    <w:p>
      <w:pPr>
        <w:numPr>
          <w:ilvl w:val="0"/>
          <w:numId w:val="1004"/>
        </w:numPr>
        <w:pStyle w:val="Compact"/>
      </w:pPr>
      <w:r>
        <w:t xml:space="preserve">disciplina de controle de caixa;</w:t>
      </w:r>
    </w:p>
    <w:p>
      <w:pPr>
        <w:numPr>
          <w:ilvl w:val="0"/>
          <w:numId w:val="1004"/>
        </w:numPr>
        <w:pStyle w:val="Compact"/>
      </w:pPr>
      <w:r>
        <w:t xml:space="preserve">verificação de higienização;</w:t>
      </w:r>
    </w:p>
    <w:p>
      <w:pPr>
        <w:numPr>
          <w:ilvl w:val="0"/>
          <w:numId w:val="1004"/>
        </w:numPr>
        <w:pStyle w:val="Compact"/>
      </w:pPr>
      <w:r>
        <w:t xml:space="preserve">observação da qualidade dos alimentos;</w:t>
      </w:r>
    </w:p>
    <w:p>
      <w:pPr>
        <w:numPr>
          <w:ilvl w:val="0"/>
          <w:numId w:val="1004"/>
        </w:numPr>
        <w:pStyle w:val="Compact"/>
      </w:pPr>
      <w:r>
        <w:t xml:space="preserve">tratamento de reclamações;</w:t>
      </w:r>
    </w:p>
    <w:p>
      <w:pPr>
        <w:numPr>
          <w:ilvl w:val="0"/>
          <w:numId w:val="1004"/>
        </w:numPr>
        <w:pStyle w:val="Compact"/>
      </w:pPr>
      <w:r>
        <w:t xml:space="preserve">escalonamento de manutenção;</w:t>
      </w:r>
    </w:p>
    <w:p>
      <w:pPr>
        <w:numPr>
          <w:ilvl w:val="0"/>
          <w:numId w:val="1004"/>
        </w:numPr>
        <w:pStyle w:val="Compact"/>
      </w:pPr>
      <w:r>
        <w:t xml:space="preserve">listas de verificação de abertura e fechamento.</w:t>
      </w:r>
    </w:p>
    <w:bookmarkEnd w:id="26"/>
    <w:bookmarkStart w:id="27" w:name="habilidades-de-negócio"/>
    <w:p>
      <w:pPr>
        <w:pStyle w:val="Heading3"/>
      </w:pPr>
      <w:r>
        <w:t xml:space="preserve">Habilidades de negócio</w:t>
      </w:r>
    </w:p>
    <w:p>
      <w:pPr>
        <w:numPr>
          <w:ilvl w:val="0"/>
          <w:numId w:val="1005"/>
        </w:numPr>
        <w:pStyle w:val="Compact"/>
      </w:pPr>
      <w:r>
        <w:t xml:space="preserve">noções básicas de orçamento e custos;</w:t>
      </w:r>
    </w:p>
    <w:p>
      <w:pPr>
        <w:numPr>
          <w:ilvl w:val="0"/>
          <w:numId w:val="1005"/>
        </w:numPr>
        <w:pStyle w:val="Compact"/>
      </w:pPr>
      <w:r>
        <w:t xml:space="preserve">compreensão de custos de mão de obra;</w:t>
      </w:r>
    </w:p>
    <w:p>
      <w:pPr>
        <w:numPr>
          <w:ilvl w:val="0"/>
          <w:numId w:val="1005"/>
        </w:numPr>
        <w:pStyle w:val="Compact"/>
      </w:pPr>
      <w:r>
        <w:t xml:space="preserve">acompanhamento de vendas e produtividade;</w:t>
      </w:r>
    </w:p>
    <w:p>
      <w:pPr>
        <w:numPr>
          <w:ilvl w:val="0"/>
          <w:numId w:val="1005"/>
        </w:numPr>
        <w:pStyle w:val="Compact"/>
      </w:pPr>
      <w:r>
        <w:t xml:space="preserve">manutenção de registros;</w:t>
      </w:r>
    </w:p>
    <w:p>
      <w:pPr>
        <w:numPr>
          <w:ilvl w:val="0"/>
          <w:numId w:val="1005"/>
        </w:numPr>
        <w:pStyle w:val="Compact"/>
      </w:pPr>
      <w:r>
        <w:t xml:space="preserve">fundamentos de planilhas;</w:t>
      </w:r>
    </w:p>
    <w:p>
      <w:pPr>
        <w:numPr>
          <w:ilvl w:val="0"/>
          <w:numId w:val="1005"/>
        </w:numPr>
        <w:pStyle w:val="Compact"/>
      </w:pPr>
      <w:r>
        <w:t xml:space="preserve">conhecimento de processos de compras e fornecedores;</w:t>
      </w:r>
    </w:p>
    <w:p>
      <w:pPr>
        <w:numPr>
          <w:ilvl w:val="0"/>
          <w:numId w:val="1005"/>
        </w:numPr>
        <w:pStyle w:val="Compact"/>
      </w:pPr>
      <w:r>
        <w:t xml:space="preserve">métricas simples de desempenho.</w:t>
      </w:r>
    </w:p>
    <w:bookmarkEnd w:id="27"/>
    <w:bookmarkStart w:id="28" w:name="hábitos-de-liderança"/>
    <w:p>
      <w:pPr>
        <w:pStyle w:val="Heading3"/>
      </w:pPr>
      <w:r>
        <w:t xml:space="preserve">Hábitos de liderança</w:t>
      </w:r>
    </w:p>
    <w:p>
      <w:pPr>
        <w:pStyle w:val="FirstParagraph"/>
      </w:pPr>
      <w:r>
        <w:t xml:space="preserve">Bons supervisores são confiáveis, mantêm a calma sob pressão, agem com justiça e consistência, priorizam a segurança, ajudam nos períodos de maior movimento e sabem diferenciar problemas urgentes de questões que podem esperar.</w:t>
      </w:r>
    </w:p>
    <w:bookmarkEnd w:id="28"/>
    <w:bookmarkEnd w:id="29"/>
    <w:bookmarkStart w:id="30" w:name="Xa94d008b93735fa2d2345d4a8939e7673411aad"/>
    <w:p>
      <w:pPr>
        <w:pStyle w:val="Heading2"/>
      </w:pPr>
      <w:r>
        <w:t xml:space="preserve">Educação e caminhos de entrada — Estados Unidos</w:t>
      </w:r>
    </w:p>
    <w:p>
      <w:pPr>
        <w:pStyle w:val="FirstParagraph"/>
      </w:pPr>
      <w:r>
        <w:t xml:space="preserve">O Bureau of Labor Statistics (BLS) dos Estados Unidos informa que gerentes de serviços de alimentação normalmente precisam de</w:t>
      </w:r>
      <w:r>
        <w:t xml:space="preserve"> </w:t>
      </w:r>
      <w:r>
        <w:rPr>
          <w:bCs/>
          <w:b/>
        </w:rPr>
        <w:t xml:space="preserve">diploma de ensino médio ou equivalente</w:t>
      </w:r>
      <w:r>
        <w:t xml:space="preserve"> </w:t>
      </w:r>
      <w:r>
        <w:t xml:space="preserve">e vários anos de experiência relacionada em serviços de alimentação. Muitas pessoas começam em funções de linha de frente e avançam para supervisão. Alguns empregadores preferem formação pós-secundária em hotelaria, culinária, administração de restaurantes ou negócios, especialmente em restaurantes de alto padrão, hotéis, operações institucionais ou programas estruturados de formação gerencial.</w:t>
      </w:r>
    </w:p>
    <w:p>
      <w:pPr>
        <w:pStyle w:val="BodyText"/>
      </w:pPr>
      <w:r>
        <w:t xml:space="preserve">O BLS observa que algumas empresas de serviços de alimentação e redes de hotéis ou restaurantes recrutam trainees de programas de hotelaria ou gestão de serviços de alimentação. Esses programas podem combinar estudo em sala com estágio ou experiência no setor.</w:t>
      </w:r>
    </w:p>
    <w:p>
      <w:pPr>
        <w:pStyle w:val="BodyText"/>
      </w:pPr>
      <w:r>
        <w:t xml:space="preserve">Uma progressão prática e de baixo custo pode ser:</w:t>
      </w:r>
    </w:p>
    <w:p>
      <w:pPr>
        <w:numPr>
          <w:ilvl w:val="0"/>
          <w:numId w:val="1006"/>
        </w:numPr>
        <w:pStyle w:val="Compact"/>
      </w:pPr>
      <w:r>
        <w:t xml:space="preserve">adquirir experiência em serviços de alimentação;</w:t>
      </w:r>
    </w:p>
    <w:p>
      <w:pPr>
        <w:numPr>
          <w:ilvl w:val="0"/>
          <w:numId w:val="1006"/>
        </w:numPr>
        <w:pStyle w:val="Compact"/>
      </w:pPr>
      <w:r>
        <w:t xml:space="preserve">aprender procedimentos de higienização, atendimento, controle de caixa e abertura/fechamento;</w:t>
      </w:r>
    </w:p>
    <w:p>
      <w:pPr>
        <w:numPr>
          <w:ilvl w:val="0"/>
          <w:numId w:val="1006"/>
        </w:numPr>
        <w:pStyle w:val="Compact"/>
      </w:pPr>
      <w:r>
        <w:t xml:space="preserve">voluntariar-se para tarefas de treinamento, inventário ou coordenação de turnos;</w:t>
      </w:r>
    </w:p>
    <w:p>
      <w:pPr>
        <w:numPr>
          <w:ilvl w:val="0"/>
          <w:numId w:val="1006"/>
        </w:numPr>
        <w:pStyle w:val="Compact"/>
      </w:pPr>
      <w:r>
        <w:t xml:space="preserve">concluir o treinamento de segurança dos alimentos exigido pelo empregador;</w:t>
      </w:r>
    </w:p>
    <w:p>
      <w:pPr>
        <w:numPr>
          <w:ilvl w:val="0"/>
          <w:numId w:val="1006"/>
        </w:numPr>
        <w:pStyle w:val="Compact"/>
      </w:pPr>
      <w:r>
        <w:t xml:space="preserve">desenvolver habilidades básicas em planilhas, escalas e controle de custos;</w:t>
      </w:r>
    </w:p>
    <w:p>
      <w:pPr>
        <w:numPr>
          <w:ilvl w:val="0"/>
          <w:numId w:val="1006"/>
        </w:numPr>
        <w:pStyle w:val="Compact"/>
      </w:pPr>
      <w:r>
        <w:t xml:space="preserve">candidatar-se a funções de líder de turno, supervisor(a), subgerente ou trainee gerencial;</w:t>
      </w:r>
    </w:p>
    <w:p>
      <w:pPr>
        <w:numPr>
          <w:ilvl w:val="0"/>
          <w:numId w:val="1006"/>
        </w:numPr>
        <w:pStyle w:val="Compact"/>
      </w:pPr>
      <w:r>
        <w:t xml:space="preserve">acrescentar educação formal somente quando ela melhorar o acesso a um empregador ou cargo-alvo.</w:t>
      </w:r>
    </w:p>
    <w:bookmarkEnd w:id="30"/>
    <w:bookmarkStart w:id="31" w:name="X7b616727baf5d3302d504dcbe9ea3334de49b8c"/>
    <w:p>
      <w:pPr>
        <w:pStyle w:val="Heading2"/>
      </w:pPr>
      <w:r>
        <w:t xml:space="preserve">Certificação em segurança dos alimentos e verificação de jurisdição</w:t>
      </w:r>
    </w:p>
    <w:p>
      <w:pPr>
        <w:pStyle w:val="FirstParagraph"/>
      </w:pPr>
      <w:r>
        <w:t xml:space="preserve">A FDA publica o</w:t>
      </w:r>
      <w:r>
        <w:t xml:space="preserve"> </w:t>
      </w:r>
      <w:r>
        <w:rPr>
          <w:bCs/>
          <w:b/>
        </w:rPr>
        <w:t xml:space="preserve">Food Code 2022</w:t>
      </w:r>
      <w:r>
        <w:t xml:space="preserve">, com suplemento de 2024, como modelo para segurança em varejo e serviços de alimentação. Ele não é uma única lei nacional aplicável a todos os restaurantes. Autoridades estaduais, locais, tribais, territoriais e outras decidem como suas disposições são adotadas e aplicadas.</w:t>
      </w:r>
    </w:p>
    <w:p>
      <w:pPr>
        <w:pStyle w:val="BodyText"/>
      </w:pPr>
      <w:r>
        <w:t xml:space="preserve">O Food Code modelo inclui conceitos de gerente certificado de proteção de alimentos e pessoa responsável, mas a adoção local e as exceções variam. O BLS também observa que alguns estados e localidades exigem certificação em segurança dos alimentos para gerentes de serviços de alimentação.</w:t>
      </w:r>
    </w:p>
    <w:p>
      <w:pPr>
        <w:pStyle w:val="BodyText"/>
      </w:pPr>
      <w:r>
        <w:t xml:space="preserve">Antes de pagar por curso ou exame, verifique:</w:t>
      </w:r>
    </w:p>
    <w:p>
      <w:pPr>
        <w:numPr>
          <w:ilvl w:val="0"/>
          <w:numId w:val="1007"/>
        </w:numPr>
        <w:pStyle w:val="Compact"/>
      </w:pPr>
      <w:r>
        <w:t xml:space="preserve">a exigência real do estado, condado, cidade ou outra autoridade sanitária;</w:t>
      </w:r>
    </w:p>
    <w:p>
      <w:pPr>
        <w:numPr>
          <w:ilvl w:val="0"/>
          <w:numId w:val="1007"/>
        </w:numPr>
        <w:pStyle w:val="Compact"/>
      </w:pPr>
      <w:r>
        <w:t xml:space="preserve">quais certificações o empregador aceita;</w:t>
      </w:r>
    </w:p>
    <w:p>
      <w:pPr>
        <w:numPr>
          <w:ilvl w:val="0"/>
          <w:numId w:val="1007"/>
        </w:numPr>
        <w:pStyle w:val="Compact"/>
      </w:pPr>
      <w:r>
        <w:t xml:space="preserve">se o empregador paga treinamento ou taxa de exame;</w:t>
      </w:r>
    </w:p>
    <w:p>
      <w:pPr>
        <w:numPr>
          <w:ilvl w:val="0"/>
          <w:numId w:val="1007"/>
        </w:numPr>
        <w:pStyle w:val="Compact"/>
      </w:pPr>
      <w:r>
        <w:t xml:space="preserve">requisitos de renovação;</w:t>
      </w:r>
    </w:p>
    <w:p>
      <w:pPr>
        <w:numPr>
          <w:ilvl w:val="0"/>
          <w:numId w:val="1007"/>
        </w:numPr>
        <w:pStyle w:val="Compact"/>
      </w:pPr>
      <w:r>
        <w:t xml:space="preserve">se um(a) trainee ou supervisor(a) de turno deve possuir pessoalmente a credencial ou pode atuar sob uma pessoa responsável certificada.</w:t>
      </w:r>
    </w:p>
    <w:bookmarkEnd w:id="31"/>
    <w:bookmarkStart w:id="32" w:name="limite-relacionado-ao-serviço-de-álcool"/>
    <w:p>
      <w:pPr>
        <w:pStyle w:val="Heading2"/>
      </w:pPr>
      <w:r>
        <w:t xml:space="preserve">Limite relacionado ao serviço de álcool</w:t>
      </w:r>
    </w:p>
    <w:p>
      <w:pPr>
        <w:pStyle w:val="FirstParagraph"/>
      </w:pPr>
      <w:r>
        <w:t xml:space="preserve">Restaurantes que servem álcool podem ter requisitos separados de treinamento em serviço responsável de bebidas, idade, licenciamento ou supervisão. Eles variam por jurisdição. Nunca presuma que uma credencial de segurança dos alimentos autoriza o serviço de álcool.</w:t>
      </w:r>
    </w:p>
    <w:p>
      <w:pPr>
        <w:pStyle w:val="BodyText"/>
      </w:pPr>
      <w:r>
        <w:t xml:space="preserve">Um(a) supervisor(a) deve seguir os procedimentos do empregador para encaminhar situações de intoxicação, verificação de idade, recusa de atendimento, distúrbios e incidentes de segurança. Não improvise além do treinamento e da autoridade delegada.</w:t>
      </w:r>
    </w:p>
    <w:bookmarkEnd w:id="32"/>
    <w:bookmarkStart w:id="33" w:name="caminho-no-canadá"/>
    <w:p>
      <w:pPr>
        <w:pStyle w:val="Heading2"/>
      </w:pPr>
      <w:r>
        <w:t xml:space="preserve">Caminho no Canadá</w:t>
      </w:r>
    </w:p>
    <w:p>
      <w:pPr>
        <w:pStyle w:val="FirstParagraph"/>
      </w:pPr>
      <w:r>
        <w:t xml:space="preserve">A referência canadense mais próxima é</w:t>
      </w:r>
      <w:r>
        <w:t xml:space="preserve"> </w:t>
      </w:r>
      <w:r>
        <w:rPr>
          <w:bCs/>
          <w:b/>
        </w:rPr>
        <w:t xml:space="preserve">NOC 60030 — Restaurant and food service managers</w:t>
      </w:r>
      <w:r>
        <w:t xml:space="preserve">. O Job Bank descreve esses trabalhadores como responsáveis por planejar, organizar, dirigir, controlar e avaliar operações de restaurantes, bares, cafeterias e outros serviços de alimentos e bebidas.</w:t>
      </w:r>
    </w:p>
    <w:p>
      <w:pPr>
        <w:pStyle w:val="BodyText"/>
      </w:pPr>
      <w:r>
        <w:t xml:space="preserve">O Job Bank informa atualmente que normalmente se exige um programa de college ou outro programa relacionado a hotelaria ou gestão de serviços de alimentos e bebidas, vários anos de experiência em alimentação incluindo experiência de supervisão e certificação de serviço responsável de bebidas quando se administra um estabelecimento que serve álcool. O Job Bank informa que a ocupação em si não é regulamentada nacionalmente.</w:t>
      </w:r>
    </w:p>
    <w:p>
      <w:pPr>
        <w:pStyle w:val="BodyText"/>
      </w:pPr>
      <w:r>
        <w:t xml:space="preserve">Como os requisitos canadenses variam por província, território, empregador e tipo de estabelecimento, verifique os requisitos locais específicos de segurança dos alimentos, serviço de álcool, saúde e segurança ocupacional e emprego antes de se matricular ou aceitar responsabilidade.</w:t>
      </w:r>
    </w:p>
    <w:bookmarkEnd w:id="33"/>
    <w:bookmarkStart w:id="36" w:name="caminho-na-colômbia"/>
    <w:p>
      <w:pPr>
        <w:pStyle w:val="Heading2"/>
      </w:pPr>
      <w:r>
        <w:t xml:space="preserve">Caminho na Colômbia</w:t>
      </w:r>
    </w:p>
    <w:p>
      <w:pPr>
        <w:pStyle w:val="FirstParagraph"/>
      </w:pPr>
      <w:r>
        <w:t xml:space="preserve">O SENA oferece caminhos públicos de formação profissional que podem desenvolver habilidades de serviço em restaurantes antes da progressão para supervisão ou gerência.</w:t>
      </w:r>
    </w:p>
    <w:bookmarkStart w:id="34" w:name="servicio-de-restaurante-y-bar"/>
    <w:p>
      <w:pPr>
        <w:pStyle w:val="Heading3"/>
      </w:pPr>
      <w:r>
        <w:t xml:space="preserve">Servicio de restaurante y bar</w:t>
      </w:r>
    </w:p>
    <w:p>
      <w:pPr>
        <w:pStyle w:val="FirstParagraph"/>
      </w:pPr>
      <w:r>
        <w:t xml:space="preserve">As informações atuais do SENA Betowa identificam</w:t>
      </w:r>
      <w:r>
        <w:t xml:space="preserve"> </w:t>
      </w:r>
      <w:r>
        <w:rPr>
          <w:bCs/>
          <w:b/>
        </w:rPr>
        <w:t xml:space="preserve">Servicio de restaurante y bar</w:t>
      </w:r>
      <w:r>
        <w:t xml:space="preserve"> </w:t>
      </w:r>
      <w:r>
        <w:t xml:space="preserve">como programa</w:t>
      </w:r>
      <w:r>
        <w:t xml:space="preserve"> </w:t>
      </w:r>
      <w:r>
        <w:rPr>
          <w:bCs/>
          <w:b/>
        </w:rPr>
        <w:t xml:space="preserve">Técnico</w:t>
      </w:r>
      <w:r>
        <w:t xml:space="preserve"> </w:t>
      </w:r>
      <w:r>
        <w:t xml:space="preserve">de formação titulada (</w:t>
      </w:r>
      <w:r>
        <w:rPr>
          <w:rStyle w:val="VerbatimChar"/>
        </w:rPr>
        <w:t xml:space="preserve">Titulada</w:t>
      </w:r>
      <w:r>
        <w:t xml:space="preserve">) com duração indicada de</w:t>
      </w:r>
      <w:r>
        <w:t xml:space="preserve"> </w:t>
      </w:r>
      <w:r>
        <w:rPr>
          <w:bCs/>
          <w:b/>
        </w:rPr>
        <w:t xml:space="preserve">2,208 horas</w:t>
      </w:r>
      <w:r>
        <w:t xml:space="preserve">. As competências incluem manipulação de alimentos conforme normas vigentes, serviço de alimentos e bebidas segundo padrões técnicos, segurança e saúde no trabalho, comunicação, empreendedorismo/processos empresariais, inglês em contextos sociais e de trabalho e etapa prática.</w:t>
      </w:r>
    </w:p>
    <w:p>
      <w:pPr>
        <w:pStyle w:val="BodyText"/>
      </w:pPr>
      <w:r>
        <w:t xml:space="preserve">A página atual do programa também lista requisitos adicionais de ingresso para participação em oficinas. Sempre verifique convocações, localidade, pré-requisitos e disponibilidade diretamente no Betowa.</w:t>
      </w:r>
    </w:p>
    <w:bookmarkEnd w:id="34"/>
    <w:bookmarkStart w:id="35" w:name="X167b39daa760c9c90e9a831ad2953cd89784e67"/>
    <w:p>
      <w:pPr>
        <w:pStyle w:val="Heading3"/>
      </w:pPr>
      <w:r>
        <w:t xml:space="preserve">Emprendedor en técnicas de mesa y bar para el servicio de alimentos y bebidas</w:t>
      </w:r>
    </w:p>
    <w:p>
      <w:pPr>
        <w:pStyle w:val="FirstParagraph"/>
      </w:pPr>
      <w:r>
        <w:t xml:space="preserve">O SENA Betowa também lista este curso complementar especial de</w:t>
      </w:r>
      <w:r>
        <w:t xml:space="preserve"> </w:t>
      </w:r>
      <w:r>
        <w:rPr>
          <w:bCs/>
          <w:b/>
        </w:rPr>
        <w:t xml:space="preserve">330 horas</w:t>
      </w:r>
      <w:r>
        <w:t xml:space="preserve">. Ele pode ser útil para desenvolver técnicas de serviço e empreendedorismo, mas sua conclusão, por si só, não torna alguém gerente de restaurante nem garante emprego.</w:t>
      </w:r>
    </w:p>
    <w:p>
      <w:pPr>
        <w:pStyle w:val="BodyText"/>
      </w:pPr>
      <w:r>
        <w:t xml:space="preserve">Este guia não apresenta uma referência salarial nacional para a Colômbia.</w:t>
      </w:r>
    </w:p>
    <w:bookmarkEnd w:id="35"/>
    <w:bookmarkEnd w:id="36"/>
    <w:bookmarkStart w:id="37" w:name="caminho-na-américa-latina"/>
    <w:p>
      <w:pPr>
        <w:pStyle w:val="Heading2"/>
      </w:pPr>
      <w:r>
        <w:t xml:space="preserve">Caminho na América Latina</w:t>
      </w:r>
    </w:p>
    <w:p>
      <w:pPr>
        <w:pStyle w:val="FirstParagraph"/>
      </w:pPr>
      <w:r>
        <w:t xml:space="preserve">A formação em restaurantes e hotelaria varia amplamente pela América Latina. Pontos de partida úteis incluem instituições nacionais de formação profissional, ministérios da educação ou do trabalho, institutos públicos de turismo/hotelaria, academias de empregadores e instituições vinculadas à OIT/Cinterfor.</w:t>
      </w:r>
    </w:p>
    <w:p>
      <w:pPr>
        <w:pStyle w:val="BodyText"/>
      </w:pPr>
      <w:r>
        <w:t xml:space="preserve">Ao comparar programas, verifique:</w:t>
      </w:r>
    </w:p>
    <w:p>
      <w:pPr>
        <w:numPr>
          <w:ilvl w:val="0"/>
          <w:numId w:val="1008"/>
        </w:numPr>
        <w:pStyle w:val="Compact"/>
      </w:pPr>
      <w:r>
        <w:t xml:space="preserve">se o provedor possui reconhecimento oficial quando isso for relevante;</w:t>
      </w:r>
    </w:p>
    <w:p>
      <w:pPr>
        <w:numPr>
          <w:ilvl w:val="0"/>
          <w:numId w:val="1008"/>
        </w:numPr>
        <w:pStyle w:val="Compact"/>
      </w:pPr>
      <w:r>
        <w:t xml:space="preserve">custo total, incluindo uniformes, ferramentas, exames, transporte e materiais;</w:t>
      </w:r>
    </w:p>
    <w:p>
      <w:pPr>
        <w:numPr>
          <w:ilvl w:val="0"/>
          <w:numId w:val="1008"/>
        </w:numPr>
        <w:pStyle w:val="Compact"/>
      </w:pPr>
      <w:r>
        <w:t xml:space="preserve">requisitos de manipulação de alimentos ou documentos de saúde;</w:t>
      </w:r>
    </w:p>
    <w:p>
      <w:pPr>
        <w:numPr>
          <w:ilvl w:val="0"/>
          <w:numId w:val="1008"/>
        </w:numPr>
        <w:pStyle w:val="Compact"/>
      </w:pPr>
      <w:r>
        <w:t xml:space="preserve">requisitos de estágio ou etapa prática;</w:t>
      </w:r>
    </w:p>
    <w:p>
      <w:pPr>
        <w:numPr>
          <w:ilvl w:val="0"/>
          <w:numId w:val="1008"/>
        </w:numPr>
        <w:pStyle w:val="Compact"/>
      </w:pPr>
      <w:r>
        <w:t xml:space="preserve">compatibilidade de horários com o trabalho;</w:t>
      </w:r>
    </w:p>
    <w:p>
      <w:pPr>
        <w:numPr>
          <w:ilvl w:val="0"/>
          <w:numId w:val="1008"/>
        </w:numPr>
        <w:pStyle w:val="Compact"/>
      </w:pPr>
      <w:r>
        <w:t xml:space="preserve">se as credenciais podem ser aproveitadas em outra região ou empregador.</w:t>
      </w:r>
    </w:p>
    <w:bookmarkEnd w:id="37"/>
    <w:bookmarkStart w:id="40" w:name="X9fdee6ac71b7e725c016623a7e4c22ed9fbba75"/>
    <w:p>
      <w:pPr>
        <w:pStyle w:val="Heading2"/>
      </w:pPr>
      <w:r>
        <w:t xml:space="preserve">Estratégia de treinamento com prioridade para opções gratuitas</w:t>
      </w:r>
    </w:p>
    <w:p>
      <w:pPr>
        <w:pStyle w:val="FirstParagraph"/>
      </w:pPr>
      <w:r>
        <w:t xml:space="preserve">Antes de pagar por um programa privado, use opções gratuitas ou apoiadas pelo empregador quando atenderem ao objetivo.</w:t>
      </w:r>
    </w:p>
    <w:bookmarkStart w:id="38" w:name="estados-unidos"/>
    <w:p>
      <w:pPr>
        <w:pStyle w:val="Heading3"/>
      </w:pPr>
      <w:r>
        <w:t xml:space="preserve">Estados Unidos</w:t>
      </w:r>
    </w:p>
    <w:p>
      <w:pPr>
        <w:pStyle w:val="FirstParagraph"/>
      </w:pPr>
      <w:r>
        <w:t xml:space="preserve">O</w:t>
      </w:r>
      <w:r>
        <w:t xml:space="preserve"> </w:t>
      </w:r>
      <w:r>
        <w:rPr>
          <w:bCs/>
          <w:b/>
        </w:rPr>
        <w:t xml:space="preserve">WIOA-Eligible Training Program Finder</w:t>
      </w:r>
      <w:r>
        <w:t xml:space="preserve"> </w:t>
      </w:r>
      <w:r>
        <w:t xml:space="preserve">do CareerOneStop pode ajudar a localizar treinamentos aprovados pelos estados que podem se qualificar para apoio da Workforce Innovation and Opportunity Act para participantes elegíveis. American Job Centers locais podem explicar elegibilidade e serviços disponíveis.</w:t>
      </w:r>
    </w:p>
    <w:p>
      <w:pPr>
        <w:pStyle w:val="BodyText"/>
      </w:pPr>
      <w:r>
        <w:t xml:space="preserve">O O*NET identifica</w:t>
      </w:r>
      <w:r>
        <w:t xml:space="preserve"> </w:t>
      </w:r>
      <w:r>
        <w:rPr>
          <w:bCs/>
          <w:b/>
        </w:rPr>
        <w:t xml:space="preserve">Manager, Food Service</w:t>
      </w:r>
      <w:r>
        <w:t xml:space="preserve"> </w:t>
      </w:r>
      <w:r>
        <w:t xml:space="preserve">e</w:t>
      </w:r>
      <w:r>
        <w:t xml:space="preserve"> </w:t>
      </w:r>
      <w:r>
        <w:rPr>
          <w:bCs/>
          <w:b/>
        </w:rPr>
        <w:t xml:space="preserve">Restaurant Manager</w:t>
      </w:r>
      <w:r>
        <w:t xml:space="preserve"> </w:t>
      </w:r>
      <w:r>
        <w:t xml:space="preserve">como exemplos de títulos de Registered Apprenticeship. A disponibilidade de aprendizagem registrada não é universal; pesquise Apprenticeship.gov e parceiros locais de força de trabalho para oportunidades reais.</w:t>
      </w:r>
    </w:p>
    <w:bookmarkEnd w:id="38"/>
    <w:bookmarkStart w:id="39" w:name="desenvolvimento-apoiado-pelo-empregador"/>
    <w:p>
      <w:pPr>
        <w:pStyle w:val="Heading3"/>
      </w:pPr>
      <w:r>
        <w:t xml:space="preserve">Desenvolvimento apoiado pelo empregador</w:t>
      </w:r>
    </w:p>
    <w:p>
      <w:pPr>
        <w:pStyle w:val="FirstParagraph"/>
      </w:pPr>
      <w:r>
        <w:t xml:space="preserve">Pergunte se o empregador oferece:</w:t>
      </w:r>
    </w:p>
    <w:p>
      <w:pPr>
        <w:numPr>
          <w:ilvl w:val="0"/>
          <w:numId w:val="1009"/>
        </w:numPr>
        <w:pStyle w:val="Compact"/>
      </w:pPr>
      <w:r>
        <w:t xml:space="preserve">certificação de segurança dos alimentos paga;</w:t>
      </w:r>
    </w:p>
    <w:p>
      <w:pPr>
        <w:numPr>
          <w:ilvl w:val="0"/>
          <w:numId w:val="1009"/>
        </w:numPr>
        <w:pStyle w:val="Compact"/>
      </w:pPr>
      <w:r>
        <w:t xml:space="preserve">programas de formação gerencial;</w:t>
      </w:r>
    </w:p>
    <w:p>
      <w:pPr>
        <w:numPr>
          <w:ilvl w:val="0"/>
          <w:numId w:val="1009"/>
        </w:numPr>
        <w:pStyle w:val="Compact"/>
      </w:pPr>
      <w:r>
        <w:t xml:space="preserve">reembolso de mensalidades;</w:t>
      </w:r>
    </w:p>
    <w:p>
      <w:pPr>
        <w:numPr>
          <w:ilvl w:val="0"/>
          <w:numId w:val="1009"/>
        </w:numPr>
        <w:pStyle w:val="Compact"/>
      </w:pPr>
      <w:r>
        <w:t xml:space="preserve">treinamento cruzado entre cozinha e atendimento;</w:t>
      </w:r>
    </w:p>
    <w:p>
      <w:pPr>
        <w:numPr>
          <w:ilvl w:val="0"/>
          <w:numId w:val="1009"/>
        </w:numPr>
        <w:pStyle w:val="Compact"/>
      </w:pPr>
      <w:r>
        <w:t xml:space="preserve">workshops de liderança;</w:t>
      </w:r>
    </w:p>
    <w:p>
      <w:pPr>
        <w:numPr>
          <w:ilvl w:val="0"/>
          <w:numId w:val="1009"/>
        </w:numPr>
        <w:pStyle w:val="Compact"/>
      </w:pPr>
      <w:r>
        <w:t xml:space="preserve">treinamento em ponto de venda ou sistemas de estoque;</w:t>
      </w:r>
    </w:p>
    <w:p>
      <w:pPr>
        <w:numPr>
          <w:ilvl w:val="0"/>
          <w:numId w:val="1009"/>
        </w:numPr>
        <w:pStyle w:val="Compact"/>
      </w:pPr>
      <w:r>
        <w:t xml:space="preserve">treinamento em sistemas de escala/folha de pagamento;</w:t>
      </w:r>
    </w:p>
    <w:p>
      <w:pPr>
        <w:numPr>
          <w:ilvl w:val="0"/>
          <w:numId w:val="1009"/>
        </w:numPr>
        <w:pStyle w:val="Compact"/>
      </w:pPr>
      <w:r>
        <w:t xml:space="preserve">treinamento em serviço responsável de bebidas;</w:t>
      </w:r>
    </w:p>
    <w:p>
      <w:pPr>
        <w:numPr>
          <w:ilvl w:val="0"/>
          <w:numId w:val="1009"/>
        </w:numPr>
        <w:pStyle w:val="Compact"/>
      </w:pPr>
      <w:r>
        <w:t xml:space="preserve">mentoria por gerente geral ou gerente distrital.</w:t>
      </w:r>
    </w:p>
    <w:p>
      <w:pPr>
        <w:pStyle w:val="FirstParagraph"/>
      </w:pPr>
      <w:r>
        <w:t xml:space="preserve">O treinamento oferecido pelo empregador pode ser mais valioso do que um curso genérico caro quando ensina exatamente os sistemas e padrões usados no trabalho.</w:t>
      </w:r>
    </w:p>
    <w:bookmarkEnd w:id="39"/>
    <w:bookmarkEnd w:id="40"/>
    <w:bookmarkStart w:id="43" w:name="remuneração--estados-unidos"/>
    <w:p>
      <w:pPr>
        <w:pStyle w:val="Heading2"/>
      </w:pPr>
      <w:r>
        <w:t xml:space="preserve">Remuneração — Estados Unidos</w:t>
      </w:r>
    </w:p>
    <w:bookmarkStart w:id="41" w:name="Xd3b23fb531e67d27fbbefe715022793141fa4ff"/>
    <w:p>
      <w:pPr>
        <w:pStyle w:val="Heading3"/>
      </w:pPr>
      <w:r>
        <w:t xml:space="preserve">Referência oficial de Food Service Manager</w:t>
      </w:r>
    </w:p>
    <w:p>
      <w:pPr>
        <w:pStyle w:val="FirstParagraph"/>
      </w:pPr>
      <w:r>
        <w:t xml:space="preserve">O O*NET informa atualmente dados salariais do BLS de</w:t>
      </w:r>
      <w:r>
        <w:t xml:space="preserve"> </w:t>
      </w:r>
      <w:r>
        <w:rPr>
          <w:bCs/>
          <w:b/>
        </w:rPr>
        <w:t xml:space="preserve">2025</w:t>
      </w:r>
      <w:r>
        <w:t xml:space="preserve"> </w:t>
      </w:r>
      <w:r>
        <w:t xml:space="preserve">para Food Service Managers (</w:t>
      </w:r>
      <w:r>
        <w:rPr>
          <w:rStyle w:val="VerbatimChar"/>
        </w:rPr>
        <w:t xml:space="preserve">11-9051.00</w:t>
      </w:r>
      <w:r>
        <w:t xml:space="preserve">):</w:t>
      </w:r>
    </w:p>
    <w:p>
      <w:pPr>
        <w:numPr>
          <w:ilvl w:val="0"/>
          <w:numId w:val="1010"/>
        </w:numPr>
        <w:pStyle w:val="Compact"/>
      </w:pPr>
      <w:r>
        <w:t xml:space="preserve">mediana por hora:</w:t>
      </w:r>
      <w:r>
        <w:t xml:space="preserve"> </w:t>
      </w:r>
      <w:r>
        <w:rPr>
          <w:bCs/>
          <w:b/>
        </w:rPr>
        <w:t xml:space="preserve">USD $33.36</w:t>
      </w:r>
      <w:r>
        <w:t xml:space="preserve">;</w:t>
      </w:r>
    </w:p>
    <w:p>
      <w:pPr>
        <w:numPr>
          <w:ilvl w:val="0"/>
          <w:numId w:val="1010"/>
        </w:numPr>
        <w:pStyle w:val="Compact"/>
      </w:pPr>
      <w:r>
        <w:t xml:space="preserve">mediana anual:</w:t>
      </w:r>
      <w:r>
        <w:t xml:space="preserve"> </w:t>
      </w:r>
      <w:r>
        <w:rPr>
          <w:bCs/>
          <w:b/>
        </w:rPr>
        <w:t xml:space="preserve">USD $69,390</w:t>
      </w:r>
      <w:r>
        <w:t xml:space="preserve">;</w:t>
      </w:r>
    </w:p>
    <w:p>
      <w:pPr>
        <w:numPr>
          <w:ilvl w:val="0"/>
          <w:numId w:val="1010"/>
        </w:numPr>
        <w:pStyle w:val="Compact"/>
      </w:pPr>
      <w:r>
        <w:t xml:space="preserve">25º percentil anual:</w:t>
      </w:r>
      <w:r>
        <w:t xml:space="preserve"> </w:t>
      </w:r>
      <w:r>
        <w:rPr>
          <w:bCs/>
          <w:b/>
        </w:rPr>
        <w:t xml:space="preserve">USD $56,870</w:t>
      </w:r>
      <w:r>
        <w:t xml:space="preserve">;</w:t>
      </w:r>
    </w:p>
    <w:p>
      <w:pPr>
        <w:numPr>
          <w:ilvl w:val="0"/>
          <w:numId w:val="1010"/>
        </w:numPr>
        <w:pStyle w:val="Compact"/>
      </w:pPr>
      <w:r>
        <w:t xml:space="preserve">75º percentil anual:</w:t>
      </w:r>
      <w:r>
        <w:t xml:space="preserve"> </w:t>
      </w:r>
      <w:r>
        <w:rPr>
          <w:bCs/>
          <w:b/>
        </w:rPr>
        <w:t xml:space="preserve">USD $86,800</w:t>
      </w:r>
      <w:r>
        <w:t xml:space="preserve">.</w:t>
      </w:r>
    </w:p>
    <w:p>
      <w:pPr>
        <w:pStyle w:val="FirstParagraph"/>
      </w:pPr>
      <w:r>
        <w:t xml:space="preserve">As projeções O*NET/BLS mostram cerca de</w:t>
      </w:r>
      <w:r>
        <w:t xml:space="preserve"> </w:t>
      </w:r>
      <w:r>
        <w:rPr>
          <w:bCs/>
          <w:b/>
        </w:rPr>
        <w:t xml:space="preserve">352,800</w:t>
      </w:r>
      <w:r>
        <w:t xml:space="preserve"> </w:t>
      </w:r>
      <w:r>
        <w:t xml:space="preserve">trabalhadores em 2024, emprego projetado de aproximadamente</w:t>
      </w:r>
      <w:r>
        <w:t xml:space="preserve"> </w:t>
      </w:r>
      <w:r>
        <w:rPr>
          <w:bCs/>
          <w:b/>
        </w:rPr>
        <w:t xml:space="preserve">375,300</w:t>
      </w:r>
      <w:r>
        <w:t xml:space="preserve"> </w:t>
      </w:r>
      <w:r>
        <w:t xml:space="preserve">em 2034, crescimento de</w:t>
      </w:r>
      <w:r>
        <w:t xml:space="preserve"> </w:t>
      </w:r>
      <w:r>
        <w:rPr>
          <w:bCs/>
          <w:b/>
        </w:rPr>
        <w:t xml:space="preserve">6%</w:t>
      </w:r>
      <w:r>
        <w:t xml:space="preserve"> </w:t>
      </w:r>
      <w:r>
        <w:t xml:space="preserve">entre 2024–2034 e cerca de</w:t>
      </w:r>
      <w:r>
        <w:t xml:space="preserve"> </w:t>
      </w:r>
      <w:r>
        <w:rPr>
          <w:bCs/>
          <w:b/>
        </w:rPr>
        <w:t xml:space="preserve">42,000 vagas anuais</w:t>
      </w:r>
      <w:r>
        <w:t xml:space="preserve">.</w:t>
      </w:r>
    </w:p>
    <w:p>
      <w:pPr>
        <w:pStyle w:val="BodyText"/>
      </w:pPr>
      <w:r>
        <w:t xml:space="preserve">O Occupational Outlook Handbook do BLS apresenta separadamente uma mediana de</w:t>
      </w:r>
      <w:r>
        <w:t xml:space="preserve"> </w:t>
      </w:r>
      <w:r>
        <w:rPr>
          <w:bCs/>
          <w:b/>
        </w:rPr>
        <w:t xml:space="preserve">$65,310/ano ($31.40/hora)</w:t>
      </w:r>
      <w:r>
        <w:t xml:space="preserve"> </w:t>
      </w:r>
      <w:r>
        <w:t xml:space="preserve">em maio de 2024. A diferença decorre de períodos de referência salarial distintos; use a data associada a cada fonte.</w:t>
      </w:r>
    </w:p>
    <w:bookmarkEnd w:id="41"/>
    <w:bookmarkStart w:id="42" w:name="X5850b9ccdc7e8606a654c8b96ba66b930e3149a"/>
    <w:p>
      <w:pPr>
        <w:pStyle w:val="Heading3"/>
      </w:pPr>
      <w:r>
        <w:t xml:space="preserve">Estimativas atuais não governamentais para Restaurant Supervisor</w:t>
      </w:r>
    </w:p>
    <w:p>
      <w:pPr>
        <w:pStyle w:val="FirstParagraph"/>
      </w:pPr>
      <w:r>
        <w:t xml:space="preserve">Essas estimativas descrevem o título mais restrito de</w:t>
      </w:r>
      <w:r>
        <w:t xml:space="preserve"> </w:t>
      </w:r>
      <w:r>
        <w:rPr>
          <w:bCs/>
          <w:b/>
        </w:rPr>
        <w:t xml:space="preserve">Restaurant Supervisor</w:t>
      </w:r>
      <w:r>
        <w:t xml:space="preserve"> </w:t>
      </w:r>
      <w:r>
        <w:t xml:space="preserve">e não devem ser tratadas como estatísticas governamentais:</w:t>
      </w:r>
    </w:p>
    <w:p>
      <w:pPr>
        <w:numPr>
          <w:ilvl w:val="0"/>
          <w:numId w:val="1011"/>
        </w:numPr>
        <w:pStyle w:val="Compact"/>
      </w:pPr>
      <w:r>
        <w:t xml:space="preserve">Salary.com, 1º de agosto de 2026: média de</w:t>
      </w:r>
      <w:r>
        <w:t xml:space="preserve"> </w:t>
      </w:r>
      <w:r>
        <w:rPr>
          <w:bCs/>
          <w:b/>
        </w:rPr>
        <w:t xml:space="preserve">$42,306/ano</w:t>
      </w:r>
      <w:r>
        <w:t xml:space="preserve">, cerca de</w:t>
      </w:r>
      <w:r>
        <w:t xml:space="preserve"> </w:t>
      </w:r>
      <w:r>
        <w:rPr>
          <w:bCs/>
          <w:b/>
        </w:rPr>
        <w:t xml:space="preserve">$20/hora</w:t>
      </w:r>
      <w:r>
        <w:t xml:space="preserve">, com faixa de 25º–75º percentil de</w:t>
      </w:r>
      <w:r>
        <w:t xml:space="preserve"> </w:t>
      </w:r>
      <w:r>
        <w:rPr>
          <w:bCs/>
          <w:b/>
        </w:rPr>
        <w:t xml:space="preserve">$37,639–$49,149</w:t>
      </w:r>
      <w:r>
        <w:t xml:space="preserve">.</w:t>
      </w:r>
    </w:p>
    <w:p>
      <w:pPr>
        <w:numPr>
          <w:ilvl w:val="0"/>
          <w:numId w:val="1011"/>
        </w:numPr>
        <w:pStyle w:val="Compact"/>
      </w:pPr>
      <w:r>
        <w:t xml:space="preserve">ZipRecruiter, 5 de agosto de 2026: média de</w:t>
      </w:r>
      <w:r>
        <w:t xml:space="preserve"> </w:t>
      </w:r>
      <w:r>
        <w:rPr>
          <w:bCs/>
          <w:b/>
        </w:rPr>
        <w:t xml:space="preserve">$54,962/ano</w:t>
      </w:r>
      <w:r>
        <w:t xml:space="preserve">, cerca de</w:t>
      </w:r>
      <w:r>
        <w:t xml:space="preserve"> </w:t>
      </w:r>
      <w:r>
        <w:rPr>
          <w:bCs/>
          <w:b/>
        </w:rPr>
        <w:t xml:space="preserve">$26.42/hora</w:t>
      </w:r>
      <w:r>
        <w:t xml:space="preserve">, com faixa majoritária informada de</w:t>
      </w:r>
      <w:r>
        <w:t xml:space="preserve"> </w:t>
      </w:r>
      <w:r>
        <w:rPr>
          <w:bCs/>
          <w:b/>
        </w:rPr>
        <w:t xml:space="preserve">$45,000–$63,500</w:t>
      </w:r>
      <w:r>
        <w:t xml:space="preserve">.</w:t>
      </w:r>
    </w:p>
    <w:p>
      <w:pPr>
        <w:pStyle w:val="FirstParagraph"/>
      </w:pPr>
      <w:r>
        <w:t xml:space="preserve">Não faça média entre essas estimativas. A remuneração varia conforme empregador, cidade, horas, gorjetas ou bônus quando aplicáveis, escopo de supervisão, tipo de restaurante e experiência.</w:t>
      </w:r>
    </w:p>
    <w:bookmarkEnd w:id="42"/>
    <w:bookmarkEnd w:id="43"/>
    <w:bookmarkStart w:id="44" w:name="remuneração--canadá"/>
    <w:p>
      <w:pPr>
        <w:pStyle w:val="Heading2"/>
      </w:pPr>
      <w:r>
        <w:t xml:space="preserve">Remuneração — Canadá</w:t>
      </w:r>
    </w:p>
    <w:p>
      <w:pPr>
        <w:pStyle w:val="FirstParagraph"/>
      </w:pPr>
      <w:r>
        <w:t xml:space="preserve">Os dados salariais nacionais atuais do Job Bank para</w:t>
      </w:r>
      <w:r>
        <w:t xml:space="preserve"> </w:t>
      </w:r>
      <w:r>
        <w:rPr>
          <w:bCs/>
          <w:b/>
        </w:rPr>
        <w:t xml:space="preserve">NOC 60030</w:t>
      </w:r>
      <w:r>
        <w:t xml:space="preserve">, atualizados em 19 de novembro de 2025 com período de referência 2023–2024 da Labour Force Survey, informam:</w:t>
      </w:r>
    </w:p>
    <w:p>
      <w:pPr>
        <w:numPr>
          <w:ilvl w:val="0"/>
          <w:numId w:val="1012"/>
        </w:numPr>
        <w:pStyle w:val="Compact"/>
      </w:pPr>
      <w:r>
        <w:t xml:space="preserve">baixo:</w:t>
      </w:r>
      <w:r>
        <w:t xml:space="preserve"> </w:t>
      </w:r>
      <w:r>
        <w:rPr>
          <w:bCs/>
          <w:b/>
        </w:rPr>
        <w:t xml:space="preserve">CAD $18.00/hora</w:t>
      </w:r>
      <w:r>
        <w:t xml:space="preserve">;</w:t>
      </w:r>
    </w:p>
    <w:p>
      <w:pPr>
        <w:numPr>
          <w:ilvl w:val="0"/>
          <w:numId w:val="1012"/>
        </w:numPr>
        <w:pStyle w:val="Compact"/>
      </w:pPr>
      <w:r>
        <w:t xml:space="preserve">mediana:</w:t>
      </w:r>
      <w:r>
        <w:t xml:space="preserve"> </w:t>
      </w:r>
      <w:r>
        <w:rPr>
          <w:bCs/>
          <w:b/>
        </w:rPr>
        <w:t xml:space="preserve">CAD $26.00/hora</w:t>
      </w:r>
      <w:r>
        <w:t xml:space="preserve">;</w:t>
      </w:r>
    </w:p>
    <w:p>
      <w:pPr>
        <w:numPr>
          <w:ilvl w:val="0"/>
          <w:numId w:val="1012"/>
        </w:numPr>
        <w:pStyle w:val="Compact"/>
      </w:pPr>
      <w:r>
        <w:t xml:space="preserve">alto:</w:t>
      </w:r>
      <w:r>
        <w:t xml:space="preserve"> </w:t>
      </w:r>
      <w:r>
        <w:rPr>
          <w:bCs/>
          <w:b/>
        </w:rPr>
        <w:t xml:space="preserve">CAD $48.08/hora</w:t>
      </w:r>
      <w:r>
        <w:t xml:space="preserve">.</w:t>
      </w:r>
    </w:p>
    <w:p>
      <w:pPr>
        <w:pStyle w:val="FirstParagraph"/>
      </w:pPr>
      <w:r>
        <w:t xml:space="preserve">Esses valores são de uma ocupação gerencial e não devem ser atribuídos automaticamente a todo supervisor de turno ou trainee.</w:t>
      </w:r>
    </w:p>
    <w:bookmarkEnd w:id="44"/>
    <w:bookmarkStart w:id="45" w:name="Xcacc5a44e740aa916f50fc3b9dd49d3aeab4bac"/>
    <w:p>
      <w:pPr>
        <w:pStyle w:val="Heading2"/>
      </w:pPr>
      <w:r>
        <w:t xml:space="preserve">Segurança dos alimentos e conscientização sobre alergênicos</w:t>
      </w:r>
    </w:p>
    <w:p>
      <w:pPr>
        <w:pStyle w:val="FirstParagraph"/>
      </w:pPr>
      <w:r>
        <w:t xml:space="preserve">Gerentes e supervisores devem tratar os procedimentos de segurança dos alimentos como controles operacionais, não como sugestões opcionais. Siga as regras atuais adotadas pela autoridade competente e os procedimentos aprovados pelo empregador para:</w:t>
      </w:r>
    </w:p>
    <w:p>
      <w:pPr>
        <w:numPr>
          <w:ilvl w:val="0"/>
          <w:numId w:val="1013"/>
        </w:numPr>
        <w:pStyle w:val="Compact"/>
      </w:pPr>
      <w:r>
        <w:t xml:space="preserve">lavagem das mãos e higiene;</w:t>
      </w:r>
    </w:p>
    <w:p>
      <w:pPr>
        <w:numPr>
          <w:ilvl w:val="0"/>
          <w:numId w:val="1013"/>
        </w:numPr>
        <w:pStyle w:val="Compact"/>
      </w:pPr>
      <w:r>
        <w:t xml:space="preserve">comunicação de doenças de empregados;</w:t>
      </w:r>
    </w:p>
    <w:p>
      <w:pPr>
        <w:numPr>
          <w:ilvl w:val="0"/>
          <w:numId w:val="1013"/>
        </w:numPr>
        <w:pStyle w:val="Compact"/>
      </w:pPr>
      <w:r>
        <w:t xml:space="preserve">controles de tempo e temperatura;</w:t>
      </w:r>
    </w:p>
    <w:p>
      <w:pPr>
        <w:numPr>
          <w:ilvl w:val="0"/>
          <w:numId w:val="1013"/>
        </w:numPr>
        <w:pStyle w:val="Compact"/>
      </w:pPr>
      <w:r>
        <w:t xml:space="preserve">prevenção de contaminação cruzada;</w:t>
      </w:r>
    </w:p>
    <w:p>
      <w:pPr>
        <w:numPr>
          <w:ilvl w:val="0"/>
          <w:numId w:val="1013"/>
        </w:numPr>
        <w:pStyle w:val="Compact"/>
      </w:pPr>
      <w:r>
        <w:t xml:space="preserve">limpeza e sanitização;</w:t>
      </w:r>
    </w:p>
    <w:p>
      <w:pPr>
        <w:numPr>
          <w:ilvl w:val="0"/>
          <w:numId w:val="1013"/>
        </w:numPr>
        <w:pStyle w:val="Compact"/>
      </w:pPr>
      <w:r>
        <w:t xml:space="preserve">recebimento e armazenamento;</w:t>
      </w:r>
    </w:p>
    <w:p>
      <w:pPr>
        <w:numPr>
          <w:ilvl w:val="0"/>
          <w:numId w:val="1013"/>
        </w:numPr>
        <w:pStyle w:val="Compact"/>
      </w:pPr>
      <w:r>
        <w:t xml:space="preserve">comunicação sobre alergênicos;</w:t>
      </w:r>
    </w:p>
    <w:p>
      <w:pPr>
        <w:numPr>
          <w:ilvl w:val="0"/>
          <w:numId w:val="1013"/>
        </w:numPr>
        <w:pStyle w:val="Compact"/>
      </w:pPr>
      <w:r>
        <w:t xml:space="preserve">controle de pragas;</w:t>
      </w:r>
    </w:p>
    <w:p>
      <w:pPr>
        <w:numPr>
          <w:ilvl w:val="0"/>
          <w:numId w:val="1013"/>
        </w:numPr>
        <w:pStyle w:val="Compact"/>
      </w:pPr>
      <w:r>
        <w:t xml:space="preserve">descarte de resíduos;</w:t>
      </w:r>
    </w:p>
    <w:p>
      <w:pPr>
        <w:numPr>
          <w:ilvl w:val="0"/>
          <w:numId w:val="1013"/>
        </w:numPr>
        <w:pStyle w:val="Compact"/>
      </w:pPr>
      <w:r>
        <w:t xml:space="preserve">escalonamento de incidentes.</w:t>
      </w:r>
    </w:p>
    <w:p>
      <w:pPr>
        <w:pStyle w:val="FirstParagraph"/>
      </w:pPr>
      <w:r>
        <w:t xml:space="preserve">Não diagnostique alergias nem faça alegações médicas. Em perguntas sobre alergênicos, use informações aprovadas de ingredientes e preparo e encaminhe qualquer incerteza em vez de adivinhar.</w:t>
      </w:r>
    </w:p>
    <w:bookmarkEnd w:id="45"/>
    <w:bookmarkStart w:id="46" w:name="segurança-do-trabalhador"/>
    <w:p>
      <w:pPr>
        <w:pStyle w:val="Heading2"/>
      </w:pPr>
      <w:r>
        <w:t xml:space="preserve">Segurança do trabalhador</w:t>
      </w:r>
    </w:p>
    <w:p>
      <w:pPr>
        <w:pStyle w:val="FirstParagraph"/>
      </w:pPr>
      <w:r>
        <w:t xml:space="preserve">Um(a) supervisor(a) ajuda a criar um turno seguro corrigindo ou escalando riscos como derramamentos, equipamentos danificados, saídas bloqueadas, levantamento inseguro, uso inadequado de facas, queimaduras, problemas elétricos, assédio, violência ou incapacidade para o trabalho.</w:t>
      </w:r>
    </w:p>
    <w:p>
      <w:pPr>
        <w:pStyle w:val="BodyText"/>
      </w:pPr>
      <w:r>
        <w:t xml:space="preserve">Nunca pressione empregados a esconder lesões ou contornar controles de segurança para proteger a velocidade do serviço ou metas de vendas.</w:t>
      </w:r>
    </w:p>
    <w:bookmarkEnd w:id="46"/>
    <w:bookmarkStart w:id="47" w:name="privacidade-e-informações-de-pagamento"/>
    <w:p>
      <w:pPr>
        <w:pStyle w:val="Heading2"/>
      </w:pPr>
      <w:r>
        <w:t xml:space="preserve">Privacidade e informações de pagamento</w:t>
      </w:r>
    </w:p>
    <w:p>
      <w:pPr>
        <w:pStyle w:val="FirstParagraph"/>
      </w:pPr>
      <w:r>
        <w:t xml:space="preserve">Sistemas de restaurante podem conter informações sensíveis de clientes, empregados, pagamentos, reservas, fidelidade e plataformas de entrega. Use apenas o acesso necessário para sua função.</w:t>
      </w:r>
    </w:p>
    <w:p>
      <w:pPr>
        <w:pStyle w:val="BodyText"/>
      </w:pPr>
      <w:r>
        <w:t xml:space="preserve">Boas práticas incluem:</w:t>
      </w:r>
    </w:p>
    <w:p>
      <w:pPr>
        <w:numPr>
          <w:ilvl w:val="0"/>
          <w:numId w:val="1014"/>
        </w:numPr>
        <w:pStyle w:val="Compact"/>
      </w:pPr>
      <w:r>
        <w:t xml:space="preserve">nunca compartilhar senhas ou credenciais de ponto de venda;</w:t>
      </w:r>
    </w:p>
    <w:p>
      <w:pPr>
        <w:numPr>
          <w:ilvl w:val="0"/>
          <w:numId w:val="1014"/>
        </w:numPr>
        <w:pStyle w:val="Compact"/>
      </w:pPr>
      <w:r>
        <w:t xml:space="preserve">bloquear a tela ao deixar um terminal;</w:t>
      </w:r>
    </w:p>
    <w:p>
      <w:pPr>
        <w:numPr>
          <w:ilvl w:val="0"/>
          <w:numId w:val="1014"/>
        </w:numPr>
        <w:pStyle w:val="Compact"/>
      </w:pPr>
      <w:r>
        <w:t xml:space="preserve">seguir os procedimentos para cartões de pagamento;</w:t>
      </w:r>
    </w:p>
    <w:p>
      <w:pPr>
        <w:numPr>
          <w:ilvl w:val="0"/>
          <w:numId w:val="1014"/>
        </w:numPr>
        <w:pStyle w:val="Compact"/>
      </w:pPr>
      <w:r>
        <w:t xml:space="preserve">evitar dispositivos pessoais para dados restritos de empregados ou clientes, salvo aprovação;</w:t>
      </w:r>
    </w:p>
    <w:p>
      <w:pPr>
        <w:numPr>
          <w:ilvl w:val="0"/>
          <w:numId w:val="1014"/>
        </w:numPr>
        <w:pStyle w:val="Compact"/>
      </w:pPr>
      <w:r>
        <w:t xml:space="preserve">usar canais aprovados para escalas e informações de RH;</w:t>
      </w:r>
    </w:p>
    <w:p>
      <w:pPr>
        <w:numPr>
          <w:ilvl w:val="0"/>
          <w:numId w:val="1014"/>
        </w:numPr>
        <w:pStyle w:val="Compact"/>
      </w:pPr>
      <w:r>
        <w:t xml:space="preserve">limitar relatórios impressos e descartá-los de forma segura;</w:t>
      </w:r>
    </w:p>
    <w:p>
      <w:pPr>
        <w:numPr>
          <w:ilvl w:val="0"/>
          <w:numId w:val="1014"/>
        </w:numPr>
        <w:pStyle w:val="Compact"/>
      </w:pPr>
      <w:r>
        <w:t xml:space="preserve">escalar suspeitas de fraude, phishing ou comprometimento de contas.</w:t>
      </w:r>
    </w:p>
    <w:bookmarkEnd w:id="47"/>
    <w:bookmarkStart w:id="48" w:name="cibersegurança"/>
    <w:p>
      <w:pPr>
        <w:pStyle w:val="Heading2"/>
      </w:pPr>
      <w:r>
        <w:t xml:space="preserve">Cibersegurança</w:t>
      </w:r>
    </w:p>
    <w:p>
      <w:pPr>
        <w:pStyle w:val="FirstParagraph"/>
      </w:pPr>
      <w:r>
        <w:t xml:space="preserve">Restaurantes dependem cada vez mais de plataformas de POS em nuvem, Wi-Fi, serviços de entrega, pedidos online, cartões-presente digitais, programas de fidelidade, folha de pagamento e aplicações de estoque. A urgência operacional não é motivo para contornar controles de cibersegurança.</w:t>
      </w:r>
    </w:p>
    <w:p>
      <w:pPr>
        <w:pStyle w:val="BodyText"/>
      </w:pPr>
      <w:r>
        <w:t xml:space="preserve">Tenha cuidado com redefinições inesperadas de senha, mensagens de fornecedores, solicitações de pagamento, códigos QR, anexos e pedidos para alterar informações bancárias ou de folha. Verifique solicitações incomuns por um canal secundário aprovado.</w:t>
      </w:r>
    </w:p>
    <w:bookmarkEnd w:id="48"/>
    <w:bookmarkStart w:id="49" w:name="acessibilidade-e-inclusão"/>
    <w:p>
      <w:pPr>
        <w:pStyle w:val="Heading2"/>
      </w:pPr>
      <w:r>
        <w:t xml:space="preserve">Acessibilidade e inclusão</w:t>
      </w:r>
    </w:p>
    <w:p>
      <w:pPr>
        <w:pStyle w:val="FirstParagraph"/>
      </w:pPr>
      <w:r>
        <w:t xml:space="preserve">Supervisores devem apoiar atendimento acessível e um ambiente de trabalho respeitoso. Siga os procedimentos do empregador e a legislação aplicável para acesso de clientes, acomodações de empregados, necessidades de comunicação, mobilidade, animais de serviço e outras situações relacionadas à deficiência.</w:t>
      </w:r>
    </w:p>
    <w:p>
      <w:pPr>
        <w:pStyle w:val="BodyText"/>
      </w:pPr>
      <w:r>
        <w:t xml:space="preserve">Não faça suposições sobre as capacidades de uma pessoa. Encaminhe questões de acomodação ao gerente adequado ou ao processo de RH quando necessário.</w:t>
      </w:r>
    </w:p>
    <w:bookmarkEnd w:id="49"/>
    <w:bookmarkStart w:id="50" w:name="X0574f58216f514a118325c835d928e8c3e45adb"/>
    <w:p>
      <w:pPr>
        <w:pStyle w:val="Heading2"/>
      </w:pPr>
      <w:r>
        <w:t xml:space="preserve">Uso responsável de inteligência artificial</w:t>
      </w:r>
    </w:p>
    <w:p>
      <w:pPr>
        <w:pStyle w:val="FirstParagraph"/>
      </w:pPr>
      <w:r>
        <w:t xml:space="preserve">Ferramentas de IA podem ajudar a redigir esboços de treinamento, resumir notas operacionais não sensíveis, criar linguagem de atendimento ao cliente, gerar perguntas de entrevista para prática ou organizar um plano de aprendizagem.</w:t>
      </w:r>
    </w:p>
    <w:p>
      <w:pPr>
        <w:pStyle w:val="BodyText"/>
      </w:pPr>
      <w:r>
        <w:rPr>
          <w:bCs/>
          <w:b/>
        </w:rPr>
        <w:t xml:space="preserve">Não</w:t>
      </w:r>
      <w:r>
        <w:t xml:space="preserve"> </w:t>
      </w:r>
      <w:r>
        <w:t xml:space="preserve">insira informações de cartões de pagamento, dados de folha, registros de empregados, dados pessoais de clientes, vendas não publicadas, relatórios de incidentes, senhas, receitas confidenciais, investigações internas ou outras informações restritas da empresa em um sistema público de IA sem aprovação organizacional explícita.</w:t>
      </w:r>
    </w:p>
    <w:p>
      <w:pPr>
        <w:pStyle w:val="BodyText"/>
      </w:pPr>
      <w:r>
        <w:t xml:space="preserve">A IA não deve decidir de forma autônoma:</w:t>
      </w:r>
    </w:p>
    <w:p>
      <w:pPr>
        <w:numPr>
          <w:ilvl w:val="0"/>
          <w:numId w:val="1015"/>
        </w:numPr>
        <w:pStyle w:val="Compact"/>
      </w:pPr>
      <w:r>
        <w:t xml:space="preserve">quem é contratado, demitido, disciplinado ou promovido;</w:t>
      </w:r>
    </w:p>
    <w:p>
      <w:pPr>
        <w:numPr>
          <w:ilvl w:val="0"/>
          <w:numId w:val="1015"/>
        </w:numPr>
        <w:pStyle w:val="Compact"/>
      </w:pPr>
      <w:r>
        <w:t xml:space="preserve">se um empregado possui uma condição médica;</w:t>
      </w:r>
    </w:p>
    <w:p>
      <w:pPr>
        <w:numPr>
          <w:ilvl w:val="0"/>
          <w:numId w:val="1015"/>
        </w:numPr>
        <w:pStyle w:val="Compact"/>
      </w:pPr>
      <w:r>
        <w:t xml:space="preserve">se um cliente possui uma alergia;</w:t>
      </w:r>
    </w:p>
    <w:p>
      <w:pPr>
        <w:numPr>
          <w:ilvl w:val="0"/>
          <w:numId w:val="1015"/>
        </w:numPr>
        <w:pStyle w:val="Compact"/>
      </w:pPr>
      <w:r>
        <w:t xml:space="preserve">se um alimento é seguro para servir;</w:t>
      </w:r>
    </w:p>
    <w:p>
      <w:pPr>
        <w:numPr>
          <w:ilvl w:val="0"/>
          <w:numId w:val="1015"/>
        </w:numPr>
        <w:pStyle w:val="Compact"/>
      </w:pPr>
      <w:r>
        <w:t xml:space="preserve">se o serviço de álcool é legal;</w:t>
      </w:r>
    </w:p>
    <w:p>
      <w:pPr>
        <w:numPr>
          <w:ilvl w:val="0"/>
          <w:numId w:val="1015"/>
        </w:numPr>
        <w:pStyle w:val="Compact"/>
      </w:pPr>
      <w:r>
        <w:t xml:space="preserve">se um incidente de segurança pode ser ignorado;</w:t>
      </w:r>
    </w:p>
    <w:p>
      <w:pPr>
        <w:numPr>
          <w:ilvl w:val="0"/>
          <w:numId w:val="1015"/>
        </w:numPr>
        <w:pStyle w:val="Compact"/>
      </w:pPr>
      <w:r>
        <w:t xml:space="preserve">se uma exigência legal ou regulatória se aplica.</w:t>
      </w:r>
    </w:p>
    <w:p>
      <w:pPr>
        <w:pStyle w:val="FirstParagraph"/>
      </w:pPr>
      <w:r>
        <w:t xml:space="preserve">Revisão humana é obrigatória para escalas, políticas, materiais de treinamento, descrições de cardápio, comunicações com clientes e decisões operacionais auxiliadas por IA.</w:t>
      </w:r>
    </w:p>
    <w:bookmarkEnd w:id="50"/>
    <w:bookmarkStart w:id="57" w:name="plano-inicial-de-12-semanas"/>
    <w:p>
      <w:pPr>
        <w:pStyle w:val="Heading2"/>
      </w:pPr>
      <w:r>
        <w:t xml:space="preserve">Plano inicial de 12 semanas</w:t>
      </w:r>
    </w:p>
    <w:bookmarkStart w:id="51" w:name="semanas-12--aprenda-a-operação"/>
    <w:p>
      <w:pPr>
        <w:pStyle w:val="Heading3"/>
      </w:pPr>
      <w:r>
        <w:t xml:space="preserve">Semanas 1–2 — Aprenda a operação</w:t>
      </w:r>
    </w:p>
    <w:p>
      <w:pPr>
        <w:numPr>
          <w:ilvl w:val="0"/>
          <w:numId w:val="1016"/>
        </w:numPr>
        <w:pStyle w:val="Compact"/>
      </w:pPr>
      <w:r>
        <w:t xml:space="preserve">Aprenda os procedimentos de abertura, fechamento, higienização e emergência.</w:t>
      </w:r>
    </w:p>
    <w:p>
      <w:pPr>
        <w:numPr>
          <w:ilvl w:val="0"/>
          <w:numId w:val="1016"/>
        </w:numPr>
        <w:pStyle w:val="Compact"/>
      </w:pPr>
      <w:r>
        <w:t xml:space="preserve">Entenda o cardápio e o modelo de serviço.</w:t>
      </w:r>
    </w:p>
    <w:p>
      <w:pPr>
        <w:numPr>
          <w:ilvl w:val="0"/>
          <w:numId w:val="1016"/>
        </w:numPr>
        <w:pStyle w:val="Compact"/>
      </w:pPr>
      <w:r>
        <w:t xml:space="preserve">Aprenda as linhas de reporte e os limites de autoridade.</w:t>
      </w:r>
    </w:p>
    <w:p>
      <w:pPr>
        <w:numPr>
          <w:ilvl w:val="0"/>
          <w:numId w:val="1016"/>
        </w:numPr>
        <w:pStyle w:val="Compact"/>
      </w:pPr>
      <w:r>
        <w:t xml:space="preserve">Revise regras de segurança dos alimentos e prevenção de lesões.</w:t>
      </w:r>
    </w:p>
    <w:bookmarkEnd w:id="51"/>
    <w:bookmarkStart w:id="52" w:name="Xbf5ab104c6916f6e9cb38c98a2321e3299b661a"/>
    <w:p>
      <w:pPr>
        <w:pStyle w:val="Heading3"/>
      </w:pPr>
      <w:r>
        <w:t xml:space="preserve">Semanas 3–4 — Fortaleça habilidades em sistemas</w:t>
      </w:r>
    </w:p>
    <w:p>
      <w:pPr>
        <w:numPr>
          <w:ilvl w:val="0"/>
          <w:numId w:val="1017"/>
        </w:numPr>
        <w:pStyle w:val="Compact"/>
      </w:pPr>
      <w:r>
        <w:t xml:space="preserve">Aprenda o POS e o processo aprovado de controle de caixa.</w:t>
      </w:r>
    </w:p>
    <w:p>
      <w:pPr>
        <w:numPr>
          <w:ilvl w:val="0"/>
          <w:numId w:val="1017"/>
        </w:numPr>
        <w:pStyle w:val="Compact"/>
      </w:pPr>
      <w:r>
        <w:t xml:space="preserve">Pratique contagens de estoque e recebimento.</w:t>
      </w:r>
    </w:p>
    <w:p>
      <w:pPr>
        <w:numPr>
          <w:ilvl w:val="0"/>
          <w:numId w:val="1017"/>
        </w:numPr>
        <w:pStyle w:val="Compact"/>
      </w:pPr>
      <w:r>
        <w:t xml:space="preserve">Aprenda terminologia de escalas e noções de horas de trabalho.</w:t>
      </w:r>
    </w:p>
    <w:p>
      <w:pPr>
        <w:numPr>
          <w:ilvl w:val="0"/>
          <w:numId w:val="1017"/>
        </w:numPr>
        <w:pStyle w:val="Compact"/>
      </w:pPr>
      <w:r>
        <w:t xml:space="preserve">Desenvolva confiança em planilhas.</w:t>
      </w:r>
    </w:p>
    <w:bookmarkEnd w:id="52"/>
    <w:bookmarkStart w:id="53" w:name="semanas-56--pratique-liderança"/>
    <w:p>
      <w:pPr>
        <w:pStyle w:val="Heading3"/>
      </w:pPr>
      <w:r>
        <w:t xml:space="preserve">Semanas 5–6 — Pratique liderança</w:t>
      </w:r>
    </w:p>
    <w:p>
      <w:pPr>
        <w:numPr>
          <w:ilvl w:val="0"/>
          <w:numId w:val="1018"/>
        </w:numPr>
        <w:pStyle w:val="Compact"/>
      </w:pPr>
      <w:r>
        <w:t xml:space="preserve">Conduza uma reunião pré-turno com supervisão.</w:t>
      </w:r>
    </w:p>
    <w:p>
      <w:pPr>
        <w:numPr>
          <w:ilvl w:val="0"/>
          <w:numId w:val="1018"/>
        </w:numPr>
        <w:pStyle w:val="Compact"/>
      </w:pPr>
      <w:r>
        <w:t xml:space="preserve">Oriente uma tarefa rotineira usando o padrão do empregador.</w:t>
      </w:r>
    </w:p>
    <w:p>
      <w:pPr>
        <w:numPr>
          <w:ilvl w:val="0"/>
          <w:numId w:val="1018"/>
        </w:numPr>
        <w:pStyle w:val="Compact"/>
      </w:pPr>
      <w:r>
        <w:t xml:space="preserve">Pratique correção respeitosa e escalonamento.</w:t>
      </w:r>
    </w:p>
    <w:p>
      <w:pPr>
        <w:numPr>
          <w:ilvl w:val="0"/>
          <w:numId w:val="1018"/>
        </w:numPr>
        <w:pStyle w:val="Compact"/>
      </w:pPr>
      <w:r>
        <w:t xml:space="preserve">Observe como gerentes experientes resolvem reclamações.</w:t>
      </w:r>
    </w:p>
    <w:bookmarkEnd w:id="53"/>
    <w:bookmarkStart w:id="54" w:name="X5a91721716c600b4841022c25be761e07dd01e6"/>
    <w:p>
      <w:pPr>
        <w:pStyle w:val="Heading3"/>
      </w:pPr>
      <w:r>
        <w:t xml:space="preserve">Semanas 7–8 — Aprenda sobre custos e qualidade</w:t>
      </w:r>
    </w:p>
    <w:p>
      <w:pPr>
        <w:numPr>
          <w:ilvl w:val="0"/>
          <w:numId w:val="1019"/>
        </w:numPr>
        <w:pStyle w:val="Compact"/>
      </w:pPr>
      <w:r>
        <w:t xml:space="preserve">Estude desperdício, controle de porções, variação de estoque e custos de mão de obra.</w:t>
      </w:r>
    </w:p>
    <w:p>
      <w:pPr>
        <w:numPr>
          <w:ilvl w:val="0"/>
          <w:numId w:val="1019"/>
        </w:numPr>
        <w:pStyle w:val="Compact"/>
      </w:pPr>
      <w:r>
        <w:t xml:space="preserve">Revise métricas de tempo de serviço e experiência do cliente.</w:t>
      </w:r>
    </w:p>
    <w:p>
      <w:pPr>
        <w:numPr>
          <w:ilvl w:val="0"/>
          <w:numId w:val="1019"/>
        </w:numPr>
        <w:pStyle w:val="Compact"/>
      </w:pPr>
      <w:r>
        <w:t xml:space="preserve">Aprenda como problemas de manutenção afetam segurança dos alimentos e operações.</w:t>
      </w:r>
    </w:p>
    <w:bookmarkEnd w:id="54"/>
    <w:bookmarkStart w:id="55" w:name="semanas-910--construa-evidências"/>
    <w:p>
      <w:pPr>
        <w:pStyle w:val="Heading3"/>
      </w:pPr>
      <w:r>
        <w:t xml:space="preserve">Semanas 9–10 — Construa evidências</w:t>
      </w:r>
    </w:p>
    <w:p>
      <w:pPr>
        <w:numPr>
          <w:ilvl w:val="0"/>
          <w:numId w:val="1020"/>
        </w:numPr>
        <w:pStyle w:val="Compact"/>
      </w:pPr>
      <w:r>
        <w:t xml:space="preserve">Documente treinamentos concluídos.</w:t>
      </w:r>
    </w:p>
    <w:p>
      <w:pPr>
        <w:numPr>
          <w:ilvl w:val="0"/>
          <w:numId w:val="1020"/>
        </w:numPr>
        <w:pStyle w:val="Compact"/>
      </w:pPr>
      <w:r>
        <w:t xml:space="preserve">Registre melhorias mensuráveis que você apoiou.</w:t>
      </w:r>
    </w:p>
    <w:p>
      <w:pPr>
        <w:numPr>
          <w:ilvl w:val="0"/>
          <w:numId w:val="1020"/>
        </w:numPr>
        <w:pStyle w:val="Compact"/>
      </w:pPr>
      <w:r>
        <w:t xml:space="preserve">Adicione às suas anotações de currículo exemplos de resolução de conflitos, melhoria de segurança, treinamento, precisão de estoque ou recuperação de serviço sem revelar dados confidenciais.</w:t>
      </w:r>
    </w:p>
    <w:bookmarkEnd w:id="55"/>
    <w:bookmarkStart w:id="56" w:name="semanas-1112--prepare-se-para-avançar"/>
    <w:p>
      <w:pPr>
        <w:pStyle w:val="Heading3"/>
      </w:pPr>
      <w:r>
        <w:t xml:space="preserve">Semanas 11–12 — Prepare-se para avançar</w:t>
      </w:r>
    </w:p>
    <w:p>
      <w:pPr>
        <w:numPr>
          <w:ilvl w:val="0"/>
          <w:numId w:val="1021"/>
        </w:numPr>
        <w:pStyle w:val="Compact"/>
      </w:pPr>
      <w:r>
        <w:t xml:space="preserve">Pergunte o que diferencia um supervisor de um subgerente em sua organização.</w:t>
      </w:r>
    </w:p>
    <w:p>
      <w:pPr>
        <w:numPr>
          <w:ilvl w:val="0"/>
          <w:numId w:val="1021"/>
        </w:numPr>
        <w:pStyle w:val="Compact"/>
      </w:pPr>
      <w:r>
        <w:t xml:space="preserve">Identifique habilidades ou credenciais ausentes.</w:t>
      </w:r>
    </w:p>
    <w:p>
      <w:pPr>
        <w:numPr>
          <w:ilvl w:val="0"/>
          <w:numId w:val="1021"/>
        </w:numPr>
        <w:pStyle w:val="Compact"/>
      </w:pPr>
      <w:r>
        <w:t xml:space="preserve">Peça feedback a um gerente.</w:t>
      </w:r>
    </w:p>
    <w:p>
      <w:pPr>
        <w:numPr>
          <w:ilvl w:val="0"/>
          <w:numId w:val="1021"/>
        </w:numPr>
        <w:pStyle w:val="Compact"/>
      </w:pPr>
      <w:r>
        <w:t xml:space="preserve">Candidate-se a oportunidades adequadas de supervisor, subgerente ou trainee gerencial.</w:t>
      </w:r>
    </w:p>
    <w:bookmarkEnd w:id="56"/>
    <w:bookmarkEnd w:id="57"/>
    <w:bookmarkStart w:id="58" w:name="ideias-para-desenvolver-experiência"/>
    <w:p>
      <w:pPr>
        <w:pStyle w:val="Heading2"/>
      </w:pPr>
      <w:r>
        <w:t xml:space="preserve">Ideias para desenvolver experiência</w:t>
      </w:r>
    </w:p>
    <w:p>
      <w:pPr>
        <w:pStyle w:val="FirstParagraph"/>
      </w:pPr>
      <w:r>
        <w:t xml:space="preserve">Experiências úteis podem vir de:</w:t>
      </w:r>
    </w:p>
    <w:p>
      <w:pPr>
        <w:numPr>
          <w:ilvl w:val="0"/>
          <w:numId w:val="1022"/>
        </w:numPr>
        <w:pStyle w:val="Compact"/>
      </w:pPr>
      <w:r>
        <w:t xml:space="preserve">treinar um novo empregado;</w:t>
      </w:r>
    </w:p>
    <w:p>
      <w:pPr>
        <w:numPr>
          <w:ilvl w:val="0"/>
          <w:numId w:val="1022"/>
        </w:numPr>
        <w:pStyle w:val="Compact"/>
      </w:pPr>
      <w:r>
        <w:t xml:space="preserve">liderar uma estação durante um pico de movimento;</w:t>
      </w:r>
    </w:p>
    <w:p>
      <w:pPr>
        <w:numPr>
          <w:ilvl w:val="0"/>
          <w:numId w:val="1022"/>
        </w:numPr>
        <w:pStyle w:val="Compact"/>
      </w:pPr>
      <w:r>
        <w:t xml:space="preserve">melhorar uma lista de abertura ou fechamento;</w:t>
      </w:r>
    </w:p>
    <w:p>
      <w:pPr>
        <w:numPr>
          <w:ilvl w:val="0"/>
          <w:numId w:val="1022"/>
        </w:numPr>
        <w:pStyle w:val="Compact"/>
      </w:pPr>
      <w:r>
        <w:t xml:space="preserve">ajudar a reduzir erros de estoque;</w:t>
      </w:r>
    </w:p>
    <w:p>
      <w:pPr>
        <w:numPr>
          <w:ilvl w:val="0"/>
          <w:numId w:val="1022"/>
        </w:numPr>
        <w:pStyle w:val="Compact"/>
      </w:pPr>
      <w:r>
        <w:t xml:space="preserve">documentar corretamente um problema de manutenção;</w:t>
      </w:r>
    </w:p>
    <w:p>
      <w:pPr>
        <w:numPr>
          <w:ilvl w:val="0"/>
          <w:numId w:val="1022"/>
        </w:numPr>
        <w:pStyle w:val="Compact"/>
      </w:pPr>
      <w:r>
        <w:t xml:space="preserve">resolver uma reclamação de cliente dentro da política;</w:t>
      </w:r>
    </w:p>
    <w:p>
      <w:pPr>
        <w:numPr>
          <w:ilvl w:val="0"/>
          <w:numId w:val="1022"/>
        </w:numPr>
        <w:pStyle w:val="Compact"/>
      </w:pPr>
      <w:r>
        <w:t xml:space="preserve">organizar uma reunião pré-turno;</w:t>
      </w:r>
    </w:p>
    <w:p>
      <w:pPr>
        <w:numPr>
          <w:ilvl w:val="0"/>
          <w:numId w:val="1022"/>
        </w:numPr>
        <w:pStyle w:val="Compact"/>
      </w:pPr>
      <w:r>
        <w:t xml:space="preserve">apoiar uma inspeção de segurança dos alimentos;</w:t>
      </w:r>
    </w:p>
    <w:p>
      <w:pPr>
        <w:numPr>
          <w:ilvl w:val="0"/>
          <w:numId w:val="1022"/>
        </w:numPr>
        <w:pStyle w:val="Compact"/>
      </w:pPr>
      <w:r>
        <w:t xml:space="preserve">participar do lançamento de um cardápio;</w:t>
      </w:r>
    </w:p>
    <w:p>
      <w:pPr>
        <w:numPr>
          <w:ilvl w:val="0"/>
          <w:numId w:val="1022"/>
        </w:numPr>
        <w:pStyle w:val="Compact"/>
      </w:pPr>
      <w:r>
        <w:t xml:space="preserve">ajudar a implementar um novo POS ou processo de entrega.</w:t>
      </w:r>
    </w:p>
    <w:p>
      <w:pPr>
        <w:pStyle w:val="FirstParagraph"/>
      </w:pPr>
      <w:r>
        <w:t xml:space="preserve">Descreva a ação e o resultado sem revelar informações confidenciais do empregador.</w:t>
      </w:r>
    </w:p>
    <w:bookmarkEnd w:id="58"/>
    <w:bookmarkStart w:id="59" w:name="progressão-de-carreira"/>
    <w:p>
      <w:pPr>
        <w:pStyle w:val="Heading2"/>
      </w:pPr>
      <w:r>
        <w:t xml:space="preserve">Progressão de carreira</w:t>
      </w:r>
    </w:p>
    <w:p>
      <w:pPr>
        <w:pStyle w:val="FirstParagraph"/>
      </w:pPr>
      <w:r>
        <w:t xml:space="preserve">Caminhos possíveis incluem:</w:t>
      </w:r>
    </w:p>
    <w:p>
      <w:pPr>
        <w:numPr>
          <w:ilvl w:val="0"/>
          <w:numId w:val="1023"/>
        </w:numPr>
        <w:pStyle w:val="Compact"/>
      </w:pPr>
      <w:r>
        <w:t xml:space="preserve">membro de equipe / atendente / recepcionista / caixa / trabalhador de preparação de alimentos;</w:t>
      </w:r>
    </w:p>
    <w:p>
      <w:pPr>
        <w:numPr>
          <w:ilvl w:val="0"/>
          <w:numId w:val="1023"/>
        </w:numPr>
        <w:pStyle w:val="Compact"/>
      </w:pPr>
      <w:r>
        <w:t xml:space="preserve">líder de turno;</w:t>
      </w:r>
    </w:p>
    <w:p>
      <w:pPr>
        <w:numPr>
          <w:ilvl w:val="0"/>
          <w:numId w:val="1023"/>
        </w:numPr>
        <w:pStyle w:val="Compact"/>
      </w:pPr>
      <w:r>
        <w:t xml:space="preserve">supervisor(a) de restaurante;</w:t>
      </w:r>
    </w:p>
    <w:p>
      <w:pPr>
        <w:numPr>
          <w:ilvl w:val="0"/>
          <w:numId w:val="1023"/>
        </w:numPr>
        <w:pStyle w:val="Compact"/>
      </w:pPr>
      <w:r>
        <w:t xml:space="preserve">trainee gerencial;</w:t>
      </w:r>
    </w:p>
    <w:p>
      <w:pPr>
        <w:numPr>
          <w:ilvl w:val="0"/>
          <w:numId w:val="1023"/>
        </w:numPr>
        <w:pStyle w:val="Compact"/>
      </w:pPr>
      <w:r>
        <w:t xml:space="preserve">subgerente;</w:t>
      </w:r>
    </w:p>
    <w:p>
      <w:pPr>
        <w:numPr>
          <w:ilvl w:val="0"/>
          <w:numId w:val="1023"/>
        </w:numPr>
        <w:pStyle w:val="Compact"/>
      </w:pPr>
      <w:r>
        <w:t xml:space="preserve">gerente de restaurante ou de serviços de alimentação;</w:t>
      </w:r>
    </w:p>
    <w:p>
      <w:pPr>
        <w:numPr>
          <w:ilvl w:val="0"/>
          <w:numId w:val="1023"/>
        </w:numPr>
        <w:pStyle w:val="Compact"/>
      </w:pPr>
      <w:r>
        <w:t xml:space="preserve">gerente geral;</w:t>
      </w:r>
    </w:p>
    <w:p>
      <w:pPr>
        <w:numPr>
          <w:ilvl w:val="0"/>
          <w:numId w:val="1023"/>
        </w:numPr>
        <w:pStyle w:val="Compact"/>
      </w:pPr>
      <w:r>
        <w:t xml:space="preserve">gerente de múltiplas unidades ou distrital;</w:t>
      </w:r>
    </w:p>
    <w:p>
      <w:pPr>
        <w:numPr>
          <w:ilvl w:val="0"/>
          <w:numId w:val="1023"/>
        </w:numPr>
        <w:pStyle w:val="Compact"/>
      </w:pPr>
      <w:r>
        <w:t xml:space="preserve">funções em catering, hotelaria, alimentação institucional, treinamento, operações ou suporte a franquias.</w:t>
      </w:r>
    </w:p>
    <w:p>
      <w:pPr>
        <w:pStyle w:val="FirstParagraph"/>
      </w:pPr>
      <w:r>
        <w:t xml:space="preserve">A progressão não é automática e os títulos variam amplamente entre empregadores.</w:t>
      </w:r>
    </w:p>
    <w:bookmarkEnd w:id="59"/>
    <w:bookmarkStart w:id="60" w:name="Xb48b3b2caa2c4c2c5720d3d2d4e9564ea6034df"/>
    <w:p>
      <w:pPr>
        <w:pStyle w:val="Heading2"/>
      </w:pPr>
      <w:r>
        <w:t xml:space="preserve">Antes de aceitar um emprego ou programa de formação</w:t>
      </w:r>
    </w:p>
    <w:p>
      <w:pPr>
        <w:pStyle w:val="FirstParagraph"/>
      </w:pPr>
      <w:r>
        <w:t xml:space="preserve">Verifique:</w:t>
      </w:r>
    </w:p>
    <w:p>
      <w:pPr>
        <w:numPr>
          <w:ilvl w:val="0"/>
          <w:numId w:val="1024"/>
        </w:numPr>
        <w:pStyle w:val="Compact"/>
      </w:pPr>
      <w:r>
        <w:t xml:space="preserve">se a função é paga por hora ou assalariada;</w:t>
      </w:r>
    </w:p>
    <w:p>
      <w:pPr>
        <w:numPr>
          <w:ilvl w:val="0"/>
          <w:numId w:val="1024"/>
        </w:numPr>
        <w:pStyle w:val="Compact"/>
      </w:pPr>
      <w:r>
        <w:t xml:space="preserve">horas semanais esperadas e regras de horas extras;</w:t>
      </w:r>
    </w:p>
    <w:p>
      <w:pPr>
        <w:numPr>
          <w:ilvl w:val="0"/>
          <w:numId w:val="1024"/>
        </w:numPr>
        <w:pStyle w:val="Compact"/>
      </w:pPr>
      <w:r>
        <w:t xml:space="preserve">expectativas de noites, fins de semana, feriados e plantões;</w:t>
      </w:r>
    </w:p>
    <w:p>
      <w:pPr>
        <w:numPr>
          <w:ilvl w:val="0"/>
          <w:numId w:val="1024"/>
        </w:numPr>
        <w:pStyle w:val="Compact"/>
      </w:pPr>
      <w:r>
        <w:t xml:space="preserve">se gorjetas, bônus, refeições, uniformes ou apoio de transporte estão incluídos;</w:t>
      </w:r>
    </w:p>
    <w:p>
      <w:pPr>
        <w:numPr>
          <w:ilvl w:val="0"/>
          <w:numId w:val="1024"/>
        </w:numPr>
        <w:pStyle w:val="Compact"/>
      </w:pPr>
      <w:r>
        <w:t xml:space="preserve">requisitos de credenciais de segurança dos alimentos e serviço de álcool;</w:t>
      </w:r>
    </w:p>
    <w:p>
      <w:pPr>
        <w:numPr>
          <w:ilvl w:val="0"/>
          <w:numId w:val="1024"/>
        </w:numPr>
        <w:pStyle w:val="Compact"/>
      </w:pPr>
      <w:r>
        <w:t xml:space="preserve">se custos de certificação são pagos pelo empregador;</w:t>
      </w:r>
    </w:p>
    <w:p>
      <w:pPr>
        <w:numPr>
          <w:ilvl w:val="0"/>
          <w:numId w:val="1024"/>
        </w:numPr>
        <w:pStyle w:val="Compact"/>
      </w:pPr>
      <w:r>
        <w:t xml:space="preserve">autoridade exata de supervisão;</w:t>
      </w:r>
    </w:p>
    <w:p>
      <w:pPr>
        <w:numPr>
          <w:ilvl w:val="0"/>
          <w:numId w:val="1024"/>
        </w:numPr>
        <w:pStyle w:val="Compact"/>
      </w:pPr>
      <w:r>
        <w:t xml:space="preserve">acesso a folha, RH, caixa e sistemas de pagamento;</w:t>
      </w:r>
    </w:p>
    <w:p>
      <w:pPr>
        <w:numPr>
          <w:ilvl w:val="0"/>
          <w:numId w:val="1024"/>
        </w:numPr>
        <w:pStyle w:val="Compact"/>
      </w:pPr>
      <w:r>
        <w:t xml:space="preserve">requisitos físicos;</w:t>
      </w:r>
    </w:p>
    <w:p>
      <w:pPr>
        <w:numPr>
          <w:ilvl w:val="0"/>
          <w:numId w:val="1024"/>
        </w:numPr>
        <w:pStyle w:val="Compact"/>
      </w:pPr>
      <w:r>
        <w:t xml:space="preserve">antecedentes, idade, documentos de saúde ou outros pré-requisitos legais;</w:t>
      </w:r>
    </w:p>
    <w:p>
      <w:pPr>
        <w:numPr>
          <w:ilvl w:val="0"/>
          <w:numId w:val="1024"/>
        </w:numPr>
        <w:pStyle w:val="Compact"/>
      </w:pPr>
      <w:r>
        <w:t xml:space="preserve">se o tempo de treinamento é remunerado;</w:t>
      </w:r>
    </w:p>
    <w:p>
      <w:pPr>
        <w:numPr>
          <w:ilvl w:val="0"/>
          <w:numId w:val="1024"/>
        </w:numPr>
        <w:pStyle w:val="Compact"/>
      </w:pPr>
      <w:r>
        <w:t xml:space="preserve">critérios de promoção;</w:t>
      </w:r>
    </w:p>
    <w:p>
      <w:pPr>
        <w:numPr>
          <w:ilvl w:val="0"/>
          <w:numId w:val="1024"/>
        </w:numPr>
        <w:pStyle w:val="Compact"/>
      </w:pPr>
      <w:r>
        <w:t xml:space="preserve">apoio de mensalidade ou aprendizagem;</w:t>
      </w:r>
    </w:p>
    <w:p>
      <w:pPr>
        <w:numPr>
          <w:ilvl w:val="0"/>
          <w:numId w:val="1024"/>
        </w:numPr>
        <w:pStyle w:val="Compact"/>
      </w:pPr>
      <w:r>
        <w:t xml:space="preserve">processo de acessibilidade/acomodação.</w:t>
      </w:r>
    </w:p>
    <w:bookmarkEnd w:id="60"/>
    <w:bookmarkStart w:id="76" w:name="lista-de-fontes-controladas"/>
    <w:p>
      <w:pPr>
        <w:pStyle w:val="Heading2"/>
      </w:pPr>
      <w:r>
        <w:t xml:space="preserve">Lista de fontes controladas</w:t>
      </w:r>
    </w:p>
    <w:p>
      <w:pPr>
        <w:numPr>
          <w:ilvl w:val="0"/>
          <w:numId w:val="1025"/>
        </w:numPr>
        <w:pStyle w:val="Compact"/>
      </w:pPr>
      <w:hyperlink r:id="rId61">
        <w:hyperlink r:id="rId61">
          <w:r>
            <w:rPr>
              <w:rStyle w:val="Hyperlink"/>
            </w:rPr>
            <w:t xml:space="preserve">Source link</w:t>
          </w:r>
        </w:hyperlink>
      </w:hyperlink>
    </w:p>
    <w:p>
      <w:pPr>
        <w:numPr>
          <w:ilvl w:val="0"/>
          <w:numId w:val="1025"/>
        </w:numPr>
        <w:pStyle w:val="Compact"/>
      </w:pPr>
      <w:hyperlink r:id="rId62">
        <w:hyperlink r:id="rId62">
          <w:r>
            <w:rPr>
              <w:rStyle w:val="Hyperlink"/>
            </w:rPr>
            <w:t xml:space="preserve">Source link</w:t>
          </w:r>
        </w:hyperlink>
      </w:hyperlink>
    </w:p>
    <w:p>
      <w:pPr>
        <w:numPr>
          <w:ilvl w:val="0"/>
          <w:numId w:val="1025"/>
        </w:numPr>
        <w:pStyle w:val="Compact"/>
      </w:pPr>
      <w:hyperlink r:id="rId63">
        <w:hyperlink r:id="rId63">
          <w:r>
            <w:rPr>
              <w:rStyle w:val="Hyperlink"/>
            </w:rPr>
            <w:t xml:space="preserve">Source link</w:t>
          </w:r>
        </w:hyperlink>
      </w:hyperlink>
    </w:p>
    <w:p>
      <w:pPr>
        <w:numPr>
          <w:ilvl w:val="0"/>
          <w:numId w:val="1025"/>
        </w:numPr>
        <w:pStyle w:val="Compact"/>
      </w:pPr>
      <w:hyperlink r:id="rId64">
        <w:hyperlink r:id="rId64">
          <w:r>
            <w:rPr>
              <w:rStyle w:val="Hyperlink"/>
            </w:rPr>
            <w:t xml:space="preserve">Source link</w:t>
          </w:r>
        </w:hyperlink>
      </w:hyperlink>
    </w:p>
    <w:p>
      <w:pPr>
        <w:numPr>
          <w:ilvl w:val="0"/>
          <w:numId w:val="1025"/>
        </w:numPr>
        <w:pStyle w:val="Compact"/>
      </w:pPr>
      <w:hyperlink r:id="rId65">
        <w:hyperlink r:id="rId65">
          <w:r>
            <w:rPr>
              <w:rStyle w:val="Hyperlink"/>
            </w:rPr>
            <w:t xml:space="preserve">Source link</w:t>
          </w:r>
        </w:hyperlink>
      </w:hyperlink>
    </w:p>
    <w:p>
      <w:pPr>
        <w:numPr>
          <w:ilvl w:val="0"/>
          <w:numId w:val="1025"/>
        </w:numPr>
        <w:pStyle w:val="Compact"/>
      </w:pPr>
      <w:hyperlink r:id="rId66">
        <w:hyperlink r:id="rId66">
          <w:r>
            <w:rPr>
              <w:rStyle w:val="Hyperlink"/>
            </w:rPr>
            <w:t xml:space="preserve">Source link</w:t>
          </w:r>
        </w:hyperlink>
      </w:hyperlink>
    </w:p>
    <w:p>
      <w:pPr>
        <w:numPr>
          <w:ilvl w:val="0"/>
          <w:numId w:val="1025"/>
        </w:numPr>
        <w:pStyle w:val="Compact"/>
      </w:pPr>
      <w:hyperlink r:id="rId67">
        <w:hyperlink r:id="rId67">
          <w:r>
            <w:rPr>
              <w:rStyle w:val="Hyperlink"/>
            </w:rPr>
            <w:t xml:space="preserve">Source link</w:t>
          </w:r>
        </w:hyperlink>
      </w:hyperlink>
    </w:p>
    <w:p>
      <w:pPr>
        <w:numPr>
          <w:ilvl w:val="0"/>
          <w:numId w:val="1025"/>
        </w:numPr>
        <w:pStyle w:val="Compact"/>
      </w:pPr>
      <w:hyperlink r:id="rId68">
        <w:hyperlink r:id="rId68">
          <w:r>
            <w:rPr>
              <w:rStyle w:val="Hyperlink"/>
            </w:rPr>
            <w:t xml:space="preserve">Source link</w:t>
          </w:r>
        </w:hyperlink>
      </w:hyperlink>
    </w:p>
    <w:p>
      <w:pPr>
        <w:numPr>
          <w:ilvl w:val="0"/>
          <w:numId w:val="1025"/>
        </w:numPr>
        <w:pStyle w:val="Compact"/>
      </w:pPr>
      <w:hyperlink r:id="rId69">
        <w:hyperlink r:id="rId69">
          <w:r>
            <w:rPr>
              <w:rStyle w:val="Hyperlink"/>
            </w:rPr>
            <w:t xml:space="preserve">Source link</w:t>
          </w:r>
        </w:hyperlink>
      </w:hyperlink>
    </w:p>
    <w:p>
      <w:pPr>
        <w:numPr>
          <w:ilvl w:val="0"/>
          <w:numId w:val="1025"/>
        </w:numPr>
        <w:pStyle w:val="Compact"/>
      </w:pPr>
      <w:hyperlink r:id="rId70">
        <w:hyperlink r:id="rId70">
          <w:r>
            <w:rPr>
              <w:rStyle w:val="Hyperlink"/>
            </w:rPr>
            <w:t xml:space="preserve">Source link</w:t>
          </w:r>
        </w:hyperlink>
      </w:hyperlink>
    </w:p>
    <w:p>
      <w:pPr>
        <w:numPr>
          <w:ilvl w:val="0"/>
          <w:numId w:val="1025"/>
        </w:numPr>
        <w:pStyle w:val="Compact"/>
      </w:pPr>
      <w:hyperlink r:id="rId71">
        <w:hyperlink r:id="rId71">
          <w:r>
            <w:rPr>
              <w:rStyle w:val="Hyperlink"/>
            </w:rPr>
            <w:t xml:space="preserve">Source link</w:t>
          </w:r>
        </w:hyperlink>
      </w:hyperlink>
    </w:p>
    <w:p>
      <w:pPr>
        <w:numPr>
          <w:ilvl w:val="0"/>
          <w:numId w:val="1025"/>
        </w:numPr>
        <w:pStyle w:val="Compact"/>
      </w:pPr>
      <w:hyperlink r:id="rId72">
        <w:hyperlink r:id="rId72">
          <w:r>
            <w:rPr>
              <w:rStyle w:val="Hyperlink"/>
            </w:rPr>
            <w:t xml:space="preserve">Source link</w:t>
          </w:r>
        </w:hyperlink>
      </w:hyperlink>
    </w:p>
    <w:p>
      <w:pPr>
        <w:numPr>
          <w:ilvl w:val="0"/>
          <w:numId w:val="1025"/>
        </w:numPr>
        <w:pStyle w:val="Compact"/>
      </w:pPr>
      <w:hyperlink r:id="rId73">
        <w:hyperlink r:id="rId73">
          <w:r>
            <w:rPr>
              <w:rStyle w:val="Hyperlink"/>
            </w:rPr>
            <w:t xml:space="preserve">Source link</w:t>
          </w:r>
        </w:hyperlink>
      </w:hyperlink>
    </w:p>
    <w:p>
      <w:pPr>
        <w:numPr>
          <w:ilvl w:val="0"/>
          <w:numId w:val="1025"/>
        </w:numPr>
        <w:pStyle w:val="Compact"/>
      </w:pPr>
      <w:hyperlink r:id="rId74">
        <w:hyperlink r:id="rId74">
          <w:r>
            <w:rPr>
              <w:rStyle w:val="Hyperlink"/>
            </w:rPr>
            <w:t xml:space="preserve">Source link</w:t>
          </w:r>
        </w:hyperlink>
      </w:hyperlink>
    </w:p>
    <w:p>
      <w:pPr>
        <w:numPr>
          <w:ilvl w:val="0"/>
          <w:numId w:val="1025"/>
        </w:numPr>
        <w:pStyle w:val="Compact"/>
      </w:pPr>
      <w:hyperlink r:id="rId75">
        <w:hyperlink r:id="rId75">
          <w:r>
            <w:rPr>
              <w:rStyle w:val="Hyperlink"/>
            </w:rPr>
            <w:t xml:space="preserve">Source link</w:t>
          </w:r>
        </w:hyperlink>
      </w:hyperlink>
    </w:p>
    <w:bookmarkEnd w:id="76"/>
    <w:bookmarkStart w:id="77" w:name="aviso-importante"/>
    <w:p>
      <w:pPr>
        <w:pStyle w:val="Heading2"/>
      </w:pPr>
      <w:r>
        <w:t xml:space="preserve">Aviso importante</w:t>
      </w:r>
    </w:p>
    <w:p>
      <w:pPr>
        <w:pStyle w:val="FirstParagraph"/>
      </w:pPr>
      <w:r>
        <w:t xml:space="preserve">Este guia fornece informações gerais para educação e planejamento de carreira. Ele não garante emprego, renda, admissão, financiamento, certificação, licenciamento, promoção, colocação em aprendizagem ou qualquer outro resultado. Os requisitos variam conforme jurisdição, empregador, tipo de estabelecimento e momento. Sempre confirme os requisitos atuais com o empregador e a autoridade governamental competente.</w:t>
      </w:r>
    </w:p>
    <w:bookmarkEnd w:id="77"/>
    <w:bookmarkStart w:id="78" w:name="limite-de-garantia"/>
    <w:p>
      <w:pPr>
        <w:pStyle w:val="Heading2"/>
      </w:pPr>
      <w:r>
        <w:t xml:space="preserve">Limite de garantia</w:t>
      </w:r>
    </w:p>
    <w:p>
      <w:pPr>
        <w:pStyle w:val="FirstParagraph"/>
      </w:pPr>
      <w:r>
        <w:t xml:space="preserve">Este mestre de trabalho Versão 2 foi desenvolvido por meio de pesquisa e revisão editorial internas com assistência de máquina. Ele não constitui certificação humana independente, certificação profissional de segurança dos alimentos, certificação profissional de tradução, revisão jurídica, certificação de acessibilidade, acreditação, orientação de licenciamento ou aprovação regulatória.</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betowa.sena.edu.co/oferta/emprendedor-en-tecnicas-de-mesa-y-bar-para-el-servicio-de-alimentos-y-bebidas?programId=66655" TargetMode="External" /><Relationship Type="http://schemas.openxmlformats.org/officeDocument/2006/relationships/hyperlink" Id="rId73" Target="https://betowa.sena.edu.co/oferta/servicio-de-restaurante-y-bar?modality=P&amp;programId=137214" TargetMode="External" /><Relationship Type="http://schemas.openxmlformats.org/officeDocument/2006/relationships/hyperlink" Id="rId64" Target="https://www.bls.gov/ooh/management/food-service-managers.htm" TargetMode="External" /><Relationship Type="http://schemas.openxmlformats.org/officeDocument/2006/relationships/hyperlink" Id="rId75" Target="https://www.careeronestop.org/LocalHelp/EmploymentAndTraining/find-WIOA-training-programs.aspx" TargetMode="External" /><Relationship Type="http://schemas.openxmlformats.org/officeDocument/2006/relationships/hyperlink" Id="rId68" Target="https://www.fda.gov/food/fda-food-code/food-code-2022" TargetMode="External" /><Relationship Type="http://schemas.openxmlformats.org/officeDocument/2006/relationships/hyperlink" Id="rId69" Target="https://www.fda.gov/food/hfp-constituent-updates/fda-releases-supplement-2022-food-code" TargetMode="External" /><Relationship Type="http://schemas.openxmlformats.org/officeDocument/2006/relationships/hyperlink" Id="rId67" Target="https://www.fda.gov/food/retail-food-protection/fda-food-code" TargetMode="External" /><Relationship Type="http://schemas.openxmlformats.org/officeDocument/2006/relationships/hyperlink" Id="rId72" Target="https://www.jobbank.gc.ca/marketreport/requirements/2031/ca" TargetMode="External" /><Relationship Type="http://schemas.openxmlformats.org/officeDocument/2006/relationships/hyperlink" Id="rId70" Target="https://www.jobbank.gc.ca/marketreport/summary-occupation/2031/ca" TargetMode="External" /><Relationship Type="http://schemas.openxmlformats.org/officeDocument/2006/relationships/hyperlink" Id="rId71" Target="https://www.jobbank.gc.ca/wagereport/occupation/2025?wbdisable=true" TargetMode="External" /><Relationship Type="http://schemas.openxmlformats.org/officeDocument/2006/relationships/hyperlink" Id="rId63" Target="https://www.onetonline.org/link/localtrends/11-9051.00" TargetMode="External" /><Relationship Type="http://schemas.openxmlformats.org/officeDocument/2006/relationships/hyperlink" Id="rId62" Target="https://www.onetonline.org/link/localwages/11-9051.00" TargetMode="External" /><Relationship Type="http://schemas.openxmlformats.org/officeDocument/2006/relationships/hyperlink" Id="rId61" Target="https://www.onetonline.org/link/summary/11-9051.00" TargetMode="External" /><Relationship Type="http://schemas.openxmlformats.org/officeDocument/2006/relationships/hyperlink" Id="rId65" Target="https://www.salary.com/research/salary/position/restaurant-supervisor-salary" TargetMode="External" /><Relationship Type="http://schemas.openxmlformats.org/officeDocument/2006/relationships/hyperlink" Id="rId66" Target="https://www.ziprecruiter.com/Salaries/Restaurant-Supervisor-Salary" TargetMode="External" /></Relationships>
</file>

<file path=word/_rels/footnotes.xml.rels><?xml version="1.0" encoding="UTF-8"?><Relationships xmlns="http://schemas.openxmlformats.org/package/2006/relationships"><Relationship Type="http://schemas.openxmlformats.org/officeDocument/2006/relationships/hyperlink" Id="rId74" Target="https://betowa.sena.edu.co/oferta/emprendedor-en-tecnicas-de-mesa-y-bar-para-el-servicio-de-alimentos-y-bebidas?programId=66655" TargetMode="External" /><Relationship Type="http://schemas.openxmlformats.org/officeDocument/2006/relationships/hyperlink" Id="rId73" Target="https://betowa.sena.edu.co/oferta/servicio-de-restaurante-y-bar?modality=P&amp;programId=137214" TargetMode="External" /><Relationship Type="http://schemas.openxmlformats.org/officeDocument/2006/relationships/hyperlink" Id="rId64" Target="https://www.bls.gov/ooh/management/food-service-managers.htm" TargetMode="External" /><Relationship Type="http://schemas.openxmlformats.org/officeDocument/2006/relationships/hyperlink" Id="rId75" Target="https://www.careeronestop.org/LocalHelp/EmploymentAndTraining/find-WIOA-training-programs.aspx" TargetMode="External" /><Relationship Type="http://schemas.openxmlformats.org/officeDocument/2006/relationships/hyperlink" Id="rId68" Target="https://www.fda.gov/food/fda-food-code/food-code-2022" TargetMode="External" /><Relationship Type="http://schemas.openxmlformats.org/officeDocument/2006/relationships/hyperlink" Id="rId69" Target="https://www.fda.gov/food/hfp-constituent-updates/fda-releases-supplement-2022-food-code" TargetMode="External" /><Relationship Type="http://schemas.openxmlformats.org/officeDocument/2006/relationships/hyperlink" Id="rId67" Target="https://www.fda.gov/food/retail-food-protection/fda-food-code" TargetMode="External" /><Relationship Type="http://schemas.openxmlformats.org/officeDocument/2006/relationships/hyperlink" Id="rId72" Target="https://www.jobbank.gc.ca/marketreport/requirements/2031/ca" TargetMode="External" /><Relationship Type="http://schemas.openxmlformats.org/officeDocument/2006/relationships/hyperlink" Id="rId70" Target="https://www.jobbank.gc.ca/marketreport/summary-occupation/2031/ca" TargetMode="External" /><Relationship Type="http://schemas.openxmlformats.org/officeDocument/2006/relationships/hyperlink" Id="rId71" Target="https://www.jobbank.gc.ca/wagereport/occupation/2025?wbdisable=true" TargetMode="External" /><Relationship Type="http://schemas.openxmlformats.org/officeDocument/2006/relationships/hyperlink" Id="rId63" Target="https://www.onetonline.org/link/localtrends/11-9051.00" TargetMode="External" /><Relationship Type="http://schemas.openxmlformats.org/officeDocument/2006/relationships/hyperlink" Id="rId62" Target="https://www.onetonline.org/link/localwages/11-9051.00" TargetMode="External" /><Relationship Type="http://schemas.openxmlformats.org/officeDocument/2006/relationships/hyperlink" Id="rId61" Target="https://www.onetonline.org/link/summary/11-9051.00" TargetMode="External" /><Relationship Type="http://schemas.openxmlformats.org/officeDocument/2006/relationships/hyperlink" Id="rId65" Target="https://www.salary.com/research/salary/position/restaurant-supervisor-salary" TargetMode="External" /><Relationship Type="http://schemas.openxmlformats.org/officeDocument/2006/relationships/hyperlink" Id="rId66" Target="https://www.ziprecruiter.com/Salaries/Restaurant-Superviso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2026-08-21T00:38:05Z</dcterms:created>
  <dcterms:modified xsi:type="dcterms:W3CDTF">2026-08-21T00:38:05Z</dcterms:modified>
</cp:coreProperties>
</file>

<file path=docProps/custom.xml><?xml version="1.0" encoding="utf-8"?>
<Properties xmlns="http://schemas.openxmlformats.org/officeDocument/2006/custom-properties" xmlns:vt="http://schemas.openxmlformats.org/officeDocument/2006/docPropsVTypes"/>
</file>