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1ce695f7a63f54faacea680548ed943f59c22a7"/>
    <w:p>
      <w:pPr>
        <w:pStyle w:val="Heading1"/>
      </w:pPr>
      <w:r>
        <w:t xml:space="preserve">Guia de Oportunidades ao Longo da Vida 67 — Cozinheiro(a) e Especialista Culinário(a)</w:t>
      </w:r>
    </w:p>
    <w:p>
      <w:pPr>
        <w:pStyle w:val="FirstParagraph"/>
      </w:pPr>
      <w:r>
        <w:rPr>
          <w:bCs/>
          <w:b/>
        </w:rPr>
        <w:t xml:space="preserve">Versão:</w:t>
      </w:r>
      <w:r>
        <w:t xml:space="preserve"> </w:t>
      </w:r>
      <w:r>
        <w:t xml:space="preserve">2.0, mestre de trabalho controlado</w:t>
      </w:r>
      <w:r>
        <w:br/>
      </w:r>
      <w:r>
        <w:rPr>
          <w:bCs/>
          <w:b/>
        </w:rPr>
        <w:t xml:space="preserve">Idioma:</w:t>
      </w:r>
      <w:r>
        <w:t xml:space="preserve"> </w:t>
      </w:r>
      <w:r>
        <w:t xml:space="preserve">português brasileiro (</w:t>
      </w:r>
      <w:r>
        <w:rPr>
          <w:rStyle w:val="VerbatimChar"/>
        </w:rPr>
        <w:t xml:space="preserve">pt-BR</w:t>
      </w:r>
      <w:r>
        <w:t xml:space="preserve">)</w:t>
      </w:r>
      <w:r>
        <w:br/>
      </w:r>
      <w:r>
        <w:rPr>
          <w:bCs/>
          <w:b/>
        </w:rPr>
        <w:t xml:space="preserve">Referência ocupacional:</w:t>
      </w:r>
      <w:r>
        <w:t xml:space="preserve"> </w:t>
      </w:r>
      <w:r>
        <w:t xml:space="preserve">O*NET-SOC 35-2014.00 — Cooks, Restaurant</w:t>
      </w:r>
      <w:r>
        <w:br/>
      </w:r>
      <w:r>
        <w:rPr>
          <w:bCs/>
          <w:b/>
        </w:rPr>
        <w:t xml:space="preserve">Comparação com o Canadá:</w:t>
      </w:r>
      <w:r>
        <w:t xml:space="preserve"> </w:t>
      </w:r>
      <w:r>
        <w:t xml:space="preserve">NOC 63200 — Cooks</w:t>
      </w:r>
      <w:r>
        <w:br/>
      </w:r>
      <w:r>
        <w:rPr>
          <w:bCs/>
          <w:b/>
        </w:rPr>
        <w:t xml:space="preserve">Data da revisão:</w:t>
      </w:r>
      <w:r>
        <w:t xml:space="preserve"> </w:t>
      </w:r>
      <w:r>
        <w:t xml:space="preserve">2026-08-20</w:t>
      </w:r>
    </w:p>
    <w:bookmarkStart w:id="20" w:name="o-que-é-esta-carreira"/>
    <w:p>
      <w:pPr>
        <w:pStyle w:val="Heading2"/>
      </w:pPr>
      <w:r>
        <w:t xml:space="preserve">O que é esta carreira</w:t>
      </w:r>
    </w:p>
    <w:p>
      <w:pPr>
        <w:pStyle w:val="FirstParagraph"/>
      </w:pPr>
      <w:r>
        <w:t xml:space="preserve">Um(a) cozinheiro(a) ou especialista culinário(a) prepara, tempera, cozinha, porciona e apresenta alimentos em restaurantes, hotéis, cafeterias, hospitais, escolas, operações de catering, acampamentos, cozinhas centrais e ambientes semelhantes. O trabalho pode incluir mise en place, seguimento de receitas, verificação de frescor, rotação de estoque, monitoramento de temperaturas, limpeza e higienização das áreas de trabalho, uso de equipamentos de cozinha profissional, recebimento de suprimentos dentro da autoridade delegada e coordenação de tarefas rotineiras de cozinha.</w:t>
      </w:r>
    </w:p>
    <w:p>
      <w:pPr>
        <w:pStyle w:val="BodyText"/>
      </w:pPr>
      <w:r>
        <w:t xml:space="preserve">O título</w:t>
      </w:r>
      <w:r>
        <w:t xml:space="preserve"> </w:t>
      </w:r>
      <w:r>
        <w:rPr>
          <w:bCs/>
          <w:b/>
        </w:rPr>
        <w:t xml:space="preserve">especialista culinário(a)</w:t>
      </w:r>
      <w:r>
        <w:t xml:space="preserve"> </w:t>
      </w:r>
      <w:r>
        <w:t xml:space="preserve">não é padronizado. Pode descrever um(a) cozinheiro(a) de linha, de pré-preparo, de banquetes, de produção, institucional ou outra função de preparação de alimentos. Não significa automaticamente chef, chefe de cozinha, gerente de cozinha, gerente de serviços de alimentação, nutricionista, dietista ou outra função de maior autoridade ou regulamentada.</w:t>
      </w:r>
    </w:p>
    <w:p>
      <w:pPr>
        <w:pStyle w:val="BodyText"/>
      </w:pPr>
      <w:r>
        <w:t xml:space="preserve">Este guia usa</w:t>
      </w:r>
      <w:r>
        <w:t xml:space="preserve"> </w:t>
      </w:r>
      <w:r>
        <w:rPr>
          <w:bCs/>
          <w:b/>
        </w:rPr>
        <w:t xml:space="preserve">O*NET-SOC 35-2014.00 — Cooks, Restaurant</w:t>
      </w:r>
      <w:r>
        <w:t xml:space="preserve"> </w:t>
      </w:r>
      <w:r>
        <w:t xml:space="preserve">como referência ocupacional principal dos Estados Unidos, mantendo claramente diferenciados os caminhos mais amplos de cozinha e os títulos específicos de cada empregador.</w:t>
      </w:r>
    </w:p>
    <w:bookmarkEnd w:id="20"/>
    <w:bookmarkStart w:id="21" w:name="X2c05fbae5babdb3d1dd0f664c780b0c474b0096"/>
    <w:p>
      <w:pPr>
        <w:pStyle w:val="Heading2"/>
      </w:pPr>
      <w:r>
        <w:t xml:space="preserve">Por que esta função pode ser uma oportunidade</w:t>
      </w:r>
    </w:p>
    <w:p>
      <w:pPr>
        <w:pStyle w:val="FirstParagraph"/>
      </w:pPr>
      <w:r>
        <w:t xml:space="preserve">A cozinha pode oferecer uma porta de entrada acessível para hotelaria e serviços de alimentação porque muitos empregadores valorizam habilidade prática, confiabilidade, disciplina em segurança dos alimentos, rapidez, trabalho em equipe e consistência tanto quanto educação formal. Muitas pessoas começam em preparação de alimentos, lavagem de louça, atendimento de balcão ou funções iniciais de cozinha e avançam por meio de treinamento cruzado e competência demonstrada.</w:t>
      </w:r>
    </w:p>
    <w:p>
      <w:pPr>
        <w:pStyle w:val="BodyText"/>
      </w:pPr>
      <w:r>
        <w:t xml:space="preserve">A área pode ser adequada para quem gosta de trabalho manual, resultados visíveis, repetição com espaço para aperfeiçoamento do ofício, trabalho em equipe e aprendizado pela prática. A experiência pode ser transferida para catering, cozinhas institucionais, hotéis, cozinhas de produção, operações de restaurante, treinamento culinário ou funções de supervisão.</w:t>
      </w:r>
    </w:p>
    <w:p>
      <w:pPr>
        <w:pStyle w:val="BodyText"/>
      </w:pPr>
      <w:r>
        <w:t xml:space="preserve">O trabalho também pode ser exigente. Cozinheiros podem permanecer em pé por longos períodos e trabalhar próximos de calor, vapor, ferramentas cortantes, óleo quente, recipientes pesados, pisos escorregadios, ruído, pressão de tempo, noites, fins de semana, feriados e escalas variáveis.</w:t>
      </w:r>
    </w:p>
    <w:bookmarkEnd w:id="21"/>
    <w:bookmarkStart w:id="22" w:name="responsabilidades-típicas"/>
    <w:p>
      <w:pPr>
        <w:pStyle w:val="Heading2"/>
      </w:pPr>
      <w:r>
        <w:t xml:space="preserve">Responsabilidades típicas</w:t>
      </w:r>
    </w:p>
    <w:p>
      <w:pPr>
        <w:pStyle w:val="FirstParagraph"/>
      </w:pPr>
      <w:r>
        <w:t xml:space="preserve">Um(a) cozinheiro(a) ou especialista culinário(a) pode:</w:t>
      </w:r>
    </w:p>
    <w:p>
      <w:pPr>
        <w:numPr>
          <w:ilvl w:val="0"/>
          <w:numId w:val="1001"/>
        </w:numPr>
        <w:pStyle w:val="Compact"/>
      </w:pPr>
      <w:r>
        <w:t xml:space="preserve">revisar listas de pré-preparo, receitas e necessidades de produção;</w:t>
      </w:r>
    </w:p>
    <w:p>
      <w:pPr>
        <w:numPr>
          <w:ilvl w:val="0"/>
          <w:numId w:val="1001"/>
        </w:numPr>
        <w:pStyle w:val="Compact"/>
      </w:pPr>
      <w:r>
        <w:t xml:space="preserve">reunir e medir ingredientes;</w:t>
      </w:r>
    </w:p>
    <w:p>
      <w:pPr>
        <w:numPr>
          <w:ilvl w:val="0"/>
          <w:numId w:val="1001"/>
        </w:numPr>
        <w:pStyle w:val="Compact"/>
      </w:pPr>
      <w:r>
        <w:t xml:space="preserve">lavar, cortar, aparar, porcionar, temperar e preparar alimentos;</w:t>
      </w:r>
    </w:p>
    <w:p>
      <w:pPr>
        <w:numPr>
          <w:ilvl w:val="0"/>
          <w:numId w:val="1001"/>
        </w:numPr>
        <w:pStyle w:val="Compact"/>
      </w:pPr>
      <w:r>
        <w:t xml:space="preserve">operar fornos, grelhas, salamandras, fritadeiras, equipamentos a vapor, misturadores, fatiadores e outras ferramentas aprovadas após treinamento;</w:t>
      </w:r>
    </w:p>
    <w:p>
      <w:pPr>
        <w:numPr>
          <w:ilvl w:val="0"/>
          <w:numId w:val="1001"/>
        </w:numPr>
        <w:pStyle w:val="Compact"/>
      </w:pPr>
      <w:r>
        <w:t xml:space="preserve">cozinhar alimentos segundo os padrões exigidos e monitorar controles de tempo e temperatura;</w:t>
      </w:r>
    </w:p>
    <w:p>
      <w:pPr>
        <w:numPr>
          <w:ilvl w:val="0"/>
          <w:numId w:val="1001"/>
        </w:numPr>
        <w:pStyle w:val="Compact"/>
      </w:pPr>
      <w:r>
        <w:t xml:space="preserve">porcionar e empratar de forma consistente;</w:t>
      </w:r>
    </w:p>
    <w:p>
      <w:pPr>
        <w:numPr>
          <w:ilvl w:val="0"/>
          <w:numId w:val="1001"/>
        </w:numPr>
        <w:pStyle w:val="Compact"/>
      </w:pPr>
      <w:r>
        <w:t xml:space="preserve">verificar frescor, etiquetas de data e rotação de estoque;</w:t>
      </w:r>
    </w:p>
    <w:p>
      <w:pPr>
        <w:numPr>
          <w:ilvl w:val="0"/>
          <w:numId w:val="1001"/>
        </w:numPr>
        <w:pStyle w:val="Compact"/>
      </w:pPr>
      <w:r>
        <w:t xml:space="preserve">receber ou armazenar suprimentos dentro da autoridade delegada;</w:t>
      </w:r>
    </w:p>
    <w:p>
      <w:pPr>
        <w:numPr>
          <w:ilvl w:val="0"/>
          <w:numId w:val="1001"/>
        </w:numPr>
        <w:pStyle w:val="Compact"/>
      </w:pPr>
      <w:r>
        <w:t xml:space="preserve">manter áreas de trabalho limpas e higienizadas;</w:t>
      </w:r>
    </w:p>
    <w:p>
      <w:pPr>
        <w:numPr>
          <w:ilvl w:val="0"/>
          <w:numId w:val="1001"/>
        </w:numPr>
        <w:pStyle w:val="Compact"/>
      </w:pPr>
      <w:r>
        <w:t xml:space="preserve">seguir procedimentos de comunicação de alérgenos e prevenção de contato cruzado;</w:t>
      </w:r>
    </w:p>
    <w:p>
      <w:pPr>
        <w:numPr>
          <w:ilvl w:val="0"/>
          <w:numId w:val="1001"/>
        </w:numPr>
        <w:pStyle w:val="Compact"/>
      </w:pPr>
      <w:r>
        <w:t xml:space="preserve">documentar temperaturas, desperdícios, faltas ou incidentes quando exigido;</w:t>
      </w:r>
    </w:p>
    <w:p>
      <w:pPr>
        <w:numPr>
          <w:ilvl w:val="0"/>
          <w:numId w:val="1001"/>
        </w:numPr>
        <w:pStyle w:val="Compact"/>
      </w:pPr>
      <w:r>
        <w:t xml:space="preserve">coordenar trabalho rotineiro com outras pessoas da cozinha e do atendimento;</w:t>
      </w:r>
    </w:p>
    <w:p>
      <w:pPr>
        <w:numPr>
          <w:ilvl w:val="0"/>
          <w:numId w:val="1001"/>
        </w:numPr>
        <w:pStyle w:val="Compact"/>
      </w:pPr>
      <w:r>
        <w:t xml:space="preserve">relatar problemas de equipamentos, segurança dos alimentos, pessoal ou manutenção ao supervisor designado.</w:t>
      </w:r>
    </w:p>
    <w:bookmarkEnd w:id="22"/>
    <w:bookmarkStart w:id="23" w:name="limites-de-autoridade"/>
    <w:p>
      <w:pPr>
        <w:pStyle w:val="Heading2"/>
      </w:pPr>
      <w:r>
        <w:t xml:space="preserve">Limites de autoridade</w:t>
      </w:r>
    </w:p>
    <w:p>
      <w:pPr>
        <w:pStyle w:val="FirstParagraph"/>
      </w:pPr>
      <w:r>
        <w:t xml:space="preserve">Não presuma que um(a) cozinheiro(a) ou especialista culinário(a) possa, de forma independente:</w:t>
      </w:r>
    </w:p>
    <w:p>
      <w:pPr>
        <w:numPr>
          <w:ilvl w:val="0"/>
          <w:numId w:val="1002"/>
        </w:numPr>
        <w:pStyle w:val="Compact"/>
      </w:pPr>
      <w:r>
        <w:t xml:space="preserve">diagnosticar alergias ou condições médicas;</w:t>
      </w:r>
    </w:p>
    <w:p>
      <w:pPr>
        <w:numPr>
          <w:ilvl w:val="0"/>
          <w:numId w:val="1002"/>
        </w:numPr>
        <w:pStyle w:val="Compact"/>
      </w:pPr>
      <w:r>
        <w:t xml:space="preserve">elaborar dietas terapêuticas sem autoridade clínica qualificada;</w:t>
      </w:r>
    </w:p>
    <w:p>
      <w:pPr>
        <w:numPr>
          <w:ilvl w:val="0"/>
          <w:numId w:val="1002"/>
        </w:numPr>
        <w:pStyle w:val="Compact"/>
      </w:pPr>
      <w:r>
        <w:t xml:space="preserve">declarar um alimento seguro quando os controles exigidos não foram cumpridos;</w:t>
      </w:r>
    </w:p>
    <w:p>
      <w:pPr>
        <w:numPr>
          <w:ilvl w:val="0"/>
          <w:numId w:val="1002"/>
        </w:numPr>
        <w:pStyle w:val="Compact"/>
      </w:pPr>
      <w:r>
        <w:t xml:space="preserve">ignorar requisitos de segurança dos alimentos do empregador ou da autoridade sanitária;</w:t>
      </w:r>
    </w:p>
    <w:p>
      <w:pPr>
        <w:numPr>
          <w:ilvl w:val="0"/>
          <w:numId w:val="1002"/>
        </w:numPr>
        <w:pStyle w:val="Compact"/>
      </w:pPr>
      <w:r>
        <w:t xml:space="preserve">contratar, demitir, suspender ou aplicar disciplina formal a empregados;</w:t>
      </w:r>
    </w:p>
    <w:p>
      <w:pPr>
        <w:numPr>
          <w:ilvl w:val="0"/>
          <w:numId w:val="1002"/>
        </w:numPr>
        <w:pStyle w:val="Compact"/>
      </w:pPr>
      <w:r>
        <w:t xml:space="preserve">assinar contratos com fornecedores ou prestadores de serviços;</w:t>
      </w:r>
    </w:p>
    <w:p>
      <w:pPr>
        <w:numPr>
          <w:ilvl w:val="0"/>
          <w:numId w:val="1002"/>
        </w:numPr>
        <w:pStyle w:val="Compact"/>
      </w:pPr>
      <w:r>
        <w:t xml:space="preserve">aprovar compras importantes ou despesas de capital;</w:t>
      </w:r>
    </w:p>
    <w:p>
      <w:pPr>
        <w:numPr>
          <w:ilvl w:val="0"/>
          <w:numId w:val="1002"/>
        </w:numPr>
        <w:pStyle w:val="Compact"/>
      </w:pPr>
      <w:r>
        <w:t xml:space="preserve">alterar registros de folha ou jornada fora de procedimentos autorizados;</w:t>
      </w:r>
    </w:p>
    <w:p>
      <w:pPr>
        <w:numPr>
          <w:ilvl w:val="0"/>
          <w:numId w:val="1002"/>
        </w:numPr>
        <w:pStyle w:val="Compact"/>
      </w:pPr>
      <w:r>
        <w:t xml:space="preserve">acessar sem restrição informações de empregados, clientes, pagamentos ou do negócio;</w:t>
      </w:r>
    </w:p>
    <w:p>
      <w:pPr>
        <w:numPr>
          <w:ilvl w:val="0"/>
          <w:numId w:val="1002"/>
        </w:numPr>
        <w:pStyle w:val="Compact"/>
      </w:pPr>
      <w:r>
        <w:t xml:space="preserve">representar o empregador perante órgãos reguladores sem designação formal;</w:t>
      </w:r>
    </w:p>
    <w:p>
      <w:pPr>
        <w:numPr>
          <w:ilvl w:val="0"/>
          <w:numId w:val="1002"/>
        </w:numPr>
        <w:pStyle w:val="Compact"/>
      </w:pPr>
      <w:r>
        <w:t xml:space="preserve">ocultar lesões, incidentes de segurança dos alimentos, assédio, furto ou outros eventos que devam ser reportados.</w:t>
      </w:r>
    </w:p>
    <w:p>
      <w:pPr>
        <w:pStyle w:val="FirstParagraph"/>
      </w:pPr>
      <w:r>
        <w:t xml:space="preserve">Quando a autoridade não estiver clara, encaminhe a questão ao supervisor ou gerente designado.</w:t>
      </w:r>
    </w:p>
    <w:bookmarkEnd w:id="23"/>
    <w:bookmarkStart w:id="24" w:name="ambiente-de-trabalho-e-segurança"/>
    <w:p>
      <w:pPr>
        <w:pStyle w:val="Heading2"/>
      </w:pPr>
      <w:r>
        <w:t xml:space="preserve">Ambiente de trabalho e segurança</w:t>
      </w:r>
    </w:p>
    <w:p>
      <w:pPr>
        <w:pStyle w:val="FirstParagraph"/>
      </w:pPr>
      <w:r>
        <w:t xml:space="preserve">O trabalho de cozinha normalmente envolve superfícies quentes, vapor, óleo quente, facas, fatiadores, misturadores, fornos, levantamento de cargas, movimentos repetitivos, pisos escorregadios, áreas congestionadas e demandas urgentes de serviço.</w:t>
      </w:r>
    </w:p>
    <w:p>
      <w:pPr>
        <w:pStyle w:val="BodyText"/>
      </w:pPr>
      <w:r>
        <w:t xml:space="preserve">Siga o treinamento e os procedimentos do empregador para:</w:t>
      </w:r>
    </w:p>
    <w:p>
      <w:pPr>
        <w:numPr>
          <w:ilvl w:val="0"/>
          <w:numId w:val="1003"/>
        </w:numPr>
        <w:pStyle w:val="Compact"/>
      </w:pPr>
      <w:r>
        <w:t xml:space="preserve">prevenção de queimaduras e escaldaduras;</w:t>
      </w:r>
    </w:p>
    <w:p>
      <w:pPr>
        <w:numPr>
          <w:ilvl w:val="0"/>
          <w:numId w:val="1003"/>
        </w:numPr>
        <w:pStyle w:val="Compact"/>
      </w:pPr>
      <w:r>
        <w:t xml:space="preserve">segurança com facas e fatiadores;</w:t>
      </w:r>
    </w:p>
    <w:p>
      <w:pPr>
        <w:numPr>
          <w:ilvl w:val="0"/>
          <w:numId w:val="1003"/>
        </w:numPr>
        <w:pStyle w:val="Compact"/>
      </w:pPr>
      <w:r>
        <w:t xml:space="preserve">proteções de máquinas e procedimentos de bloqueio quando aplicável;</w:t>
      </w:r>
    </w:p>
    <w:p>
      <w:pPr>
        <w:numPr>
          <w:ilvl w:val="0"/>
          <w:numId w:val="1003"/>
        </w:numPr>
        <w:pStyle w:val="Compact"/>
      </w:pPr>
      <w:r>
        <w:t xml:space="preserve">levantamento e transporte seguros;</w:t>
      </w:r>
    </w:p>
    <w:p>
      <w:pPr>
        <w:numPr>
          <w:ilvl w:val="0"/>
          <w:numId w:val="1003"/>
        </w:numPr>
        <w:pStyle w:val="Compact"/>
      </w:pPr>
      <w:r>
        <w:t xml:space="preserve">resposta a derramamentos e uso de calçados antiderrapantes;</w:t>
      </w:r>
    </w:p>
    <w:p>
      <w:pPr>
        <w:numPr>
          <w:ilvl w:val="0"/>
          <w:numId w:val="1003"/>
        </w:numPr>
        <w:pStyle w:val="Compact"/>
      </w:pPr>
      <w:r>
        <w:t xml:space="preserve">prevenção de incêndios e resposta a emergências;</w:t>
      </w:r>
    </w:p>
    <w:p>
      <w:pPr>
        <w:numPr>
          <w:ilvl w:val="0"/>
          <w:numId w:val="1003"/>
        </w:numPr>
        <w:pStyle w:val="Compact"/>
      </w:pPr>
      <w:r>
        <w:t xml:space="preserve">equipamentos de proteção individual;</w:t>
      </w:r>
    </w:p>
    <w:p>
      <w:pPr>
        <w:numPr>
          <w:ilvl w:val="0"/>
          <w:numId w:val="1003"/>
        </w:numPr>
        <w:pStyle w:val="Compact"/>
      </w:pPr>
      <w:r>
        <w:t xml:space="preserve">manuseio de produtos químicos e saneantes;</w:t>
      </w:r>
    </w:p>
    <w:p>
      <w:pPr>
        <w:numPr>
          <w:ilvl w:val="0"/>
          <w:numId w:val="1003"/>
        </w:numPr>
        <w:pStyle w:val="Compact"/>
      </w:pPr>
      <w:r>
        <w:t xml:space="preserve">relato de lesões, quase acidentes, defeitos de equipamentos e condições inseguras.</w:t>
      </w:r>
    </w:p>
    <w:p>
      <w:pPr>
        <w:pStyle w:val="FirstParagraph"/>
      </w:pPr>
      <w:r>
        <w:t xml:space="preserve">Nunca contorne um controle de segurança dos alimentos ou segurança do trabalho para aumentar a velocidade ou a produção.</w:t>
      </w:r>
    </w:p>
    <w:bookmarkEnd w:id="24"/>
    <w:bookmarkStart w:id="28" w:name="Xec39930e61c04b9d0dfa2da01ff9d27d1f62e1a"/>
    <w:p>
      <w:pPr>
        <w:pStyle w:val="Heading2"/>
      </w:pPr>
      <w:r>
        <w:t xml:space="preserve">Habilidades valorizadas pelos empregadores</w:t>
      </w:r>
    </w:p>
    <w:bookmarkStart w:id="25" w:name="habilidades-de-cozinha"/>
    <w:p>
      <w:pPr>
        <w:pStyle w:val="Heading3"/>
      </w:pPr>
      <w:r>
        <w:t xml:space="preserve">Habilidades de cozinha</w:t>
      </w:r>
    </w:p>
    <w:p>
      <w:pPr>
        <w:numPr>
          <w:ilvl w:val="0"/>
          <w:numId w:val="1004"/>
        </w:numPr>
        <w:pStyle w:val="Compact"/>
      </w:pPr>
      <w:r>
        <w:t xml:space="preserve">manuseio de facas após treinamento;</w:t>
      </w:r>
    </w:p>
    <w:p>
      <w:pPr>
        <w:numPr>
          <w:ilvl w:val="0"/>
          <w:numId w:val="1004"/>
        </w:numPr>
        <w:pStyle w:val="Compact"/>
      </w:pPr>
      <w:r>
        <w:t xml:space="preserve">mise en place;</w:t>
      </w:r>
    </w:p>
    <w:p>
      <w:pPr>
        <w:numPr>
          <w:ilvl w:val="0"/>
          <w:numId w:val="1004"/>
        </w:numPr>
        <w:pStyle w:val="Compact"/>
      </w:pPr>
      <w:r>
        <w:t xml:space="preserve">leitura de receitas;</w:t>
      </w:r>
    </w:p>
    <w:p>
      <w:pPr>
        <w:numPr>
          <w:ilvl w:val="0"/>
          <w:numId w:val="1004"/>
        </w:numPr>
        <w:pStyle w:val="Compact"/>
      </w:pPr>
      <w:r>
        <w:t xml:space="preserve">medição e pesagem;</w:t>
      </w:r>
    </w:p>
    <w:p>
      <w:pPr>
        <w:numPr>
          <w:ilvl w:val="0"/>
          <w:numId w:val="1004"/>
        </w:numPr>
        <w:pStyle w:val="Compact"/>
      </w:pPr>
      <w:r>
        <w:t xml:space="preserve">grelhar, assar, fritar, cozinhar no vapor, saltear e outros métodos aplicáveis;</w:t>
      </w:r>
    </w:p>
    <w:p>
      <w:pPr>
        <w:numPr>
          <w:ilvl w:val="0"/>
          <w:numId w:val="1004"/>
        </w:numPr>
        <w:pStyle w:val="Compact"/>
      </w:pPr>
      <w:r>
        <w:t xml:space="preserve">controle de porções;</w:t>
      </w:r>
    </w:p>
    <w:p>
      <w:pPr>
        <w:numPr>
          <w:ilvl w:val="0"/>
          <w:numId w:val="1004"/>
        </w:numPr>
        <w:pStyle w:val="Compact"/>
      </w:pPr>
      <w:r>
        <w:t xml:space="preserve">apresentação dos alimentos;</w:t>
      </w:r>
    </w:p>
    <w:p>
      <w:pPr>
        <w:numPr>
          <w:ilvl w:val="0"/>
          <w:numId w:val="1004"/>
        </w:numPr>
        <w:pStyle w:val="Compact"/>
      </w:pPr>
      <w:r>
        <w:t xml:space="preserve">monitoramento de temperaturas;</w:t>
      </w:r>
    </w:p>
    <w:p>
      <w:pPr>
        <w:numPr>
          <w:ilvl w:val="0"/>
          <w:numId w:val="1004"/>
        </w:numPr>
        <w:pStyle w:val="Compact"/>
      </w:pPr>
      <w:r>
        <w:t xml:space="preserve">rotação de estoque;</w:t>
      </w:r>
    </w:p>
    <w:p>
      <w:pPr>
        <w:numPr>
          <w:ilvl w:val="0"/>
          <w:numId w:val="1004"/>
        </w:numPr>
        <w:pStyle w:val="Compact"/>
      </w:pPr>
      <w:r>
        <w:t xml:space="preserve">limpeza e higienização.</w:t>
      </w:r>
    </w:p>
    <w:bookmarkEnd w:id="25"/>
    <w:bookmarkStart w:id="26" w:name="hábitos-de-trabalho"/>
    <w:p>
      <w:pPr>
        <w:pStyle w:val="Heading3"/>
      </w:pPr>
      <w:r>
        <w:t xml:space="preserve">Hábitos de trabalho</w:t>
      </w:r>
    </w:p>
    <w:p>
      <w:pPr>
        <w:numPr>
          <w:ilvl w:val="0"/>
          <w:numId w:val="1005"/>
        </w:numPr>
        <w:pStyle w:val="Compact"/>
      </w:pPr>
      <w:r>
        <w:t xml:space="preserve">confiabilidade e pontualidade;</w:t>
      </w:r>
    </w:p>
    <w:p>
      <w:pPr>
        <w:numPr>
          <w:ilvl w:val="0"/>
          <w:numId w:val="1005"/>
        </w:numPr>
        <w:pStyle w:val="Compact"/>
      </w:pPr>
      <w:r>
        <w:t xml:space="preserve">atenção aos detalhes;</w:t>
      </w:r>
    </w:p>
    <w:p>
      <w:pPr>
        <w:numPr>
          <w:ilvl w:val="0"/>
          <w:numId w:val="1005"/>
        </w:numPr>
        <w:pStyle w:val="Compact"/>
      </w:pPr>
      <w:r>
        <w:t xml:space="preserve">capacidade de trabalhar sob pressão;</w:t>
      </w:r>
    </w:p>
    <w:p>
      <w:pPr>
        <w:numPr>
          <w:ilvl w:val="0"/>
          <w:numId w:val="1005"/>
        </w:numPr>
        <w:pStyle w:val="Compact"/>
      </w:pPr>
      <w:r>
        <w:t xml:space="preserve">trabalho em equipe;</w:t>
      </w:r>
    </w:p>
    <w:p>
      <w:pPr>
        <w:numPr>
          <w:ilvl w:val="0"/>
          <w:numId w:val="1005"/>
        </w:numPr>
        <w:pStyle w:val="Compact"/>
      </w:pPr>
      <w:r>
        <w:t xml:space="preserve">hábitos de trabalho limpos;</w:t>
      </w:r>
    </w:p>
    <w:p>
      <w:pPr>
        <w:numPr>
          <w:ilvl w:val="0"/>
          <w:numId w:val="1005"/>
        </w:numPr>
        <w:pStyle w:val="Compact"/>
      </w:pPr>
      <w:r>
        <w:t xml:space="preserve">capacidade de seguir procedimentos padronizados;</w:t>
      </w:r>
    </w:p>
    <w:p>
      <w:pPr>
        <w:numPr>
          <w:ilvl w:val="0"/>
          <w:numId w:val="1005"/>
        </w:numPr>
        <w:pStyle w:val="Compact"/>
      </w:pPr>
      <w:r>
        <w:t xml:space="preserve">disposição para aprender várias estações;</w:t>
      </w:r>
    </w:p>
    <w:p>
      <w:pPr>
        <w:numPr>
          <w:ilvl w:val="0"/>
          <w:numId w:val="1005"/>
        </w:numPr>
        <w:pStyle w:val="Compact"/>
      </w:pPr>
      <w:r>
        <w:t xml:space="preserve">comunicação calma durante períodos de maior movimento.</w:t>
      </w:r>
    </w:p>
    <w:bookmarkEnd w:id="26"/>
    <w:bookmarkStart w:id="27" w:name="consciência-de-negócio"/>
    <w:p>
      <w:pPr>
        <w:pStyle w:val="Heading3"/>
      </w:pPr>
      <w:r>
        <w:t xml:space="preserve">Consciência de negócio</w:t>
      </w:r>
    </w:p>
    <w:p>
      <w:pPr>
        <w:numPr>
          <w:ilvl w:val="0"/>
          <w:numId w:val="1006"/>
        </w:numPr>
        <w:pStyle w:val="Compact"/>
      </w:pPr>
      <w:r>
        <w:t xml:space="preserve">redução de desperdício;</w:t>
      </w:r>
    </w:p>
    <w:p>
      <w:pPr>
        <w:numPr>
          <w:ilvl w:val="0"/>
          <w:numId w:val="1006"/>
        </w:numPr>
        <w:pStyle w:val="Compact"/>
      </w:pPr>
      <w:r>
        <w:t xml:space="preserve">atenção ao estoque;</w:t>
      </w:r>
    </w:p>
    <w:p>
      <w:pPr>
        <w:numPr>
          <w:ilvl w:val="0"/>
          <w:numId w:val="1006"/>
        </w:numPr>
        <w:pStyle w:val="Compact"/>
      </w:pPr>
      <w:r>
        <w:t xml:space="preserve">consistência de rendimento e porções;</w:t>
      </w:r>
    </w:p>
    <w:p>
      <w:pPr>
        <w:numPr>
          <w:ilvl w:val="0"/>
          <w:numId w:val="1006"/>
        </w:numPr>
        <w:pStyle w:val="Compact"/>
      </w:pPr>
      <w:r>
        <w:t xml:space="preserve">noções básicas de custos;</w:t>
      </w:r>
    </w:p>
    <w:p>
      <w:pPr>
        <w:numPr>
          <w:ilvl w:val="0"/>
          <w:numId w:val="1006"/>
        </w:numPr>
        <w:pStyle w:val="Compact"/>
      </w:pPr>
      <w:r>
        <w:t xml:space="preserve">planejamento de produção;</w:t>
      </w:r>
    </w:p>
    <w:p>
      <w:pPr>
        <w:numPr>
          <w:ilvl w:val="0"/>
          <w:numId w:val="1006"/>
        </w:numPr>
        <w:pStyle w:val="Compact"/>
      </w:pPr>
      <w:r>
        <w:t xml:space="preserve">compreensão de como qualidade dos alimentos e velocidade do serviço afetam a experiência do cliente.</w:t>
      </w:r>
    </w:p>
    <w:bookmarkEnd w:id="27"/>
    <w:bookmarkEnd w:id="28"/>
    <w:bookmarkStart w:id="29" w:name="Xa94d008b93735fa2d2345d4a8939e7673411aad"/>
    <w:p>
      <w:pPr>
        <w:pStyle w:val="Heading2"/>
      </w:pPr>
      <w:r>
        <w:t xml:space="preserve">Educação e caminhos de entrada — Estados Unidos</w:t>
      </w:r>
    </w:p>
    <w:p>
      <w:pPr>
        <w:pStyle w:val="FirstParagraph"/>
      </w:pPr>
      <w:r>
        <w:t xml:space="preserve">Muitas funções de cozinha podem ser iniciadas com ensino médio ou menos, dependendo do empregador, seguido de treinamento no trabalho. Escola culinária formal não é um requisito universal.</w:t>
      </w:r>
    </w:p>
    <w:p>
      <w:pPr>
        <w:pStyle w:val="BodyText"/>
      </w:pPr>
      <w:r>
        <w:t xml:space="preserve">Uma progressão prática e de baixo custo pode ser:</w:t>
      </w:r>
    </w:p>
    <w:p>
      <w:pPr>
        <w:numPr>
          <w:ilvl w:val="0"/>
          <w:numId w:val="1007"/>
        </w:numPr>
        <w:pStyle w:val="Compact"/>
      </w:pPr>
      <w:r>
        <w:t xml:space="preserve">adquirir experiência inicial em serviços de alimentação;</w:t>
      </w:r>
    </w:p>
    <w:p>
      <w:pPr>
        <w:numPr>
          <w:ilvl w:val="0"/>
          <w:numId w:val="1007"/>
        </w:numPr>
        <w:pStyle w:val="Compact"/>
      </w:pPr>
      <w:r>
        <w:t xml:space="preserve">aprender higiene, saneamento, manipulação de alimentos e uso seguro de equipamentos;</w:t>
      </w:r>
    </w:p>
    <w:p>
      <w:pPr>
        <w:numPr>
          <w:ilvl w:val="0"/>
          <w:numId w:val="1007"/>
        </w:numPr>
        <w:pStyle w:val="Compact"/>
      </w:pPr>
      <w:r>
        <w:t xml:space="preserve">tornar-se confiável em uma estação;</w:t>
      </w:r>
    </w:p>
    <w:p>
      <w:pPr>
        <w:numPr>
          <w:ilvl w:val="0"/>
          <w:numId w:val="1007"/>
        </w:numPr>
        <w:pStyle w:val="Compact"/>
      </w:pPr>
      <w:r>
        <w:t xml:space="preserve">fazer treinamento cruzado em estações adicionais;</w:t>
      </w:r>
    </w:p>
    <w:p>
      <w:pPr>
        <w:numPr>
          <w:ilvl w:val="0"/>
          <w:numId w:val="1007"/>
        </w:numPr>
        <w:pStyle w:val="Compact"/>
      </w:pPr>
      <w:r>
        <w:t xml:space="preserve">aprender estoque, planejamento de pré-preparo e controle de porções;</w:t>
      </w:r>
    </w:p>
    <w:p>
      <w:pPr>
        <w:numPr>
          <w:ilvl w:val="0"/>
          <w:numId w:val="1007"/>
        </w:numPr>
        <w:pStyle w:val="Compact"/>
      </w:pPr>
      <w:r>
        <w:t xml:space="preserve">concluir o treinamento de segurança dos alimentos exigido pelo empregador;</w:t>
      </w:r>
    </w:p>
    <w:p>
      <w:pPr>
        <w:numPr>
          <w:ilvl w:val="0"/>
          <w:numId w:val="1007"/>
        </w:numPr>
        <w:pStyle w:val="Compact"/>
      </w:pPr>
      <w:r>
        <w:t xml:space="preserve">buscar aprendizagem registrada, faculdade comunitária, formação técnica ou treinamento culinário apoiado pelo empregador apenas quando isso melhorar o acesso à função seguinte.</w:t>
      </w:r>
    </w:p>
    <w:p>
      <w:pPr>
        <w:pStyle w:val="FirstParagraph"/>
      </w:pPr>
      <w:r>
        <w:t xml:space="preserve">O*NET lista títulos de exemplo de Registered Apprenticeship, incluindo</w:t>
      </w:r>
      <w:r>
        <w:t xml:space="preserve"> </w:t>
      </w:r>
      <w:r>
        <w:rPr>
          <w:bCs/>
          <w:b/>
        </w:rPr>
        <w:t xml:space="preserve">Chef de Partie (Cook Hotel &amp; Restaurant)</w:t>
      </w:r>
      <w:r>
        <w:t xml:space="preserve">,</w:t>
      </w:r>
      <w:r>
        <w:t xml:space="preserve"> </w:t>
      </w:r>
      <w:r>
        <w:rPr>
          <w:bCs/>
          <w:b/>
        </w:rPr>
        <w:t xml:space="preserve">Cook</w:t>
      </w:r>
      <w:r>
        <w:t xml:space="preserve">,</w:t>
      </w:r>
      <w:r>
        <w:t xml:space="preserve"> </w:t>
      </w:r>
      <w:r>
        <w:rPr>
          <w:bCs/>
          <w:b/>
        </w:rPr>
        <w:t xml:space="preserve">Cook (Hotel &amp; Restaurant)</w:t>
      </w:r>
      <w:r>
        <w:t xml:space="preserve"> </w:t>
      </w:r>
      <w:r>
        <w:t xml:space="preserve">e</w:t>
      </w:r>
      <w:r>
        <w:t xml:space="preserve"> </w:t>
      </w:r>
      <w:r>
        <w:rPr>
          <w:bCs/>
          <w:b/>
        </w:rPr>
        <w:t xml:space="preserve">Production Cook</w:t>
      </w:r>
      <w:r>
        <w:t xml:space="preserve">. A disponibilidade depende da localidade e do empregador; aprendizagem registrada não é um requisito universal.</w:t>
      </w:r>
    </w:p>
    <w:bookmarkEnd w:id="29"/>
    <w:bookmarkStart w:id="30" w:name="Xf42482eaa0c66690e5ff89f832f944a4c58a8ac"/>
    <w:p>
      <w:pPr>
        <w:pStyle w:val="Heading2"/>
      </w:pPr>
      <w:r>
        <w:t xml:space="preserve">Certificação de segurança dos alimentos e verificação de jurisdição</w:t>
      </w:r>
    </w:p>
    <w:p>
      <w:pPr>
        <w:pStyle w:val="FirstParagraph"/>
      </w:pPr>
      <w:r>
        <w:t xml:space="preserve">A FDA publica o</w:t>
      </w:r>
      <w:r>
        <w:t xml:space="preserve"> </w:t>
      </w:r>
      <w:r>
        <w:rPr>
          <w:bCs/>
          <w:b/>
        </w:rPr>
        <w:t xml:space="preserve">Food Code 2022</w:t>
      </w:r>
      <w:r>
        <w:t xml:space="preserve">, com suplemento de 2024, como modelo para segurança no varejo e serviços de alimentação. Não é uma única lei nacional para todos os restaurantes. Autoridades estaduais, locais, tribais, territoriais e outras decidem como adotar e aplicar suas disposições.</w:t>
      </w:r>
    </w:p>
    <w:p>
      <w:pPr>
        <w:pStyle w:val="BodyText"/>
      </w:pPr>
      <w:r>
        <w:t xml:space="preserve">Antes de pagar por curso ou exame de manipulador de alimentos, gerente de proteção de alimentos, alérgenos ou outro tema, verifique:</w:t>
      </w:r>
    </w:p>
    <w:p>
      <w:pPr>
        <w:numPr>
          <w:ilvl w:val="0"/>
          <w:numId w:val="1008"/>
        </w:numPr>
        <w:pStyle w:val="Compact"/>
      </w:pPr>
      <w:r>
        <w:t xml:space="preserve">o requisito real da autoridade sanitária competente;</w:t>
      </w:r>
    </w:p>
    <w:p>
      <w:pPr>
        <w:numPr>
          <w:ilvl w:val="0"/>
          <w:numId w:val="1008"/>
        </w:numPr>
        <w:pStyle w:val="Compact"/>
      </w:pPr>
      <w:r>
        <w:t xml:space="preserve">quais credenciais o empregador aceita;</w:t>
      </w:r>
    </w:p>
    <w:p>
      <w:pPr>
        <w:numPr>
          <w:ilvl w:val="0"/>
          <w:numId w:val="1008"/>
        </w:numPr>
        <w:pStyle w:val="Compact"/>
      </w:pPr>
      <w:r>
        <w:t xml:space="preserve">se a função exige pessoalmente essa credencial;</w:t>
      </w:r>
    </w:p>
    <w:p>
      <w:pPr>
        <w:numPr>
          <w:ilvl w:val="0"/>
          <w:numId w:val="1008"/>
        </w:numPr>
        <w:pStyle w:val="Compact"/>
      </w:pPr>
      <w:r>
        <w:t xml:space="preserve">se o empregador paga treinamento ou taxas de exame;</w:t>
      </w:r>
    </w:p>
    <w:p>
      <w:pPr>
        <w:numPr>
          <w:ilvl w:val="0"/>
          <w:numId w:val="1008"/>
        </w:numPr>
        <w:pStyle w:val="Compact"/>
      </w:pPr>
      <w:r>
        <w:t xml:space="preserve">requisitos de renovação;</w:t>
      </w:r>
    </w:p>
    <w:p>
      <w:pPr>
        <w:numPr>
          <w:ilvl w:val="0"/>
          <w:numId w:val="1008"/>
        </w:numPr>
        <w:pStyle w:val="Compact"/>
      </w:pPr>
      <w:r>
        <w:t xml:space="preserve">se um curso específico do empregador é suficiente para as tarefas atribuídas.</w:t>
      </w:r>
    </w:p>
    <w:bookmarkEnd w:id="30"/>
    <w:bookmarkStart w:id="31" w:name="Xa6b517fe4af1b6b4c0b7bc0220639981161b1ef"/>
    <w:p>
      <w:pPr>
        <w:pStyle w:val="Heading2"/>
      </w:pPr>
      <w:r>
        <w:t xml:space="preserve">Segurança dos alimentos e conscientização sobre alérgenos</w:t>
      </w:r>
    </w:p>
    <w:p>
      <w:pPr>
        <w:pStyle w:val="FirstParagraph"/>
      </w:pPr>
      <w:r>
        <w:t xml:space="preserve">Siga as regras aplicáveis e os procedimentos do empregador para:</w:t>
      </w:r>
    </w:p>
    <w:p>
      <w:pPr>
        <w:numPr>
          <w:ilvl w:val="0"/>
          <w:numId w:val="1009"/>
        </w:numPr>
        <w:pStyle w:val="Compact"/>
      </w:pPr>
      <w:r>
        <w:t xml:space="preserve">lavagem das mãos e higiene;</w:t>
      </w:r>
    </w:p>
    <w:p>
      <w:pPr>
        <w:numPr>
          <w:ilvl w:val="0"/>
          <w:numId w:val="1009"/>
        </w:numPr>
        <w:pStyle w:val="Compact"/>
      </w:pPr>
      <w:r>
        <w:t xml:space="preserve">relato de doenças de empregados;</w:t>
      </w:r>
    </w:p>
    <w:p>
      <w:pPr>
        <w:numPr>
          <w:ilvl w:val="0"/>
          <w:numId w:val="1009"/>
        </w:numPr>
        <w:pStyle w:val="Compact"/>
      </w:pPr>
      <w:r>
        <w:t xml:space="preserve">recebimento e armazenamento;</w:t>
      </w:r>
    </w:p>
    <w:p>
      <w:pPr>
        <w:numPr>
          <w:ilvl w:val="0"/>
          <w:numId w:val="1009"/>
        </w:numPr>
        <w:pStyle w:val="Compact"/>
      </w:pPr>
      <w:r>
        <w:t xml:space="preserve">controle de tempo e temperatura;</w:t>
      </w:r>
    </w:p>
    <w:p>
      <w:pPr>
        <w:numPr>
          <w:ilvl w:val="0"/>
          <w:numId w:val="1009"/>
        </w:numPr>
        <w:pStyle w:val="Compact"/>
      </w:pPr>
      <w:r>
        <w:t xml:space="preserve">prevenção de contaminação cruzada;</w:t>
      </w:r>
    </w:p>
    <w:p>
      <w:pPr>
        <w:numPr>
          <w:ilvl w:val="0"/>
          <w:numId w:val="1009"/>
        </w:numPr>
        <w:pStyle w:val="Compact"/>
      </w:pPr>
      <w:r>
        <w:t xml:space="preserve">limpeza e higienização;</w:t>
      </w:r>
    </w:p>
    <w:p>
      <w:pPr>
        <w:numPr>
          <w:ilvl w:val="0"/>
          <w:numId w:val="1009"/>
        </w:numPr>
        <w:pStyle w:val="Compact"/>
      </w:pPr>
      <w:r>
        <w:t xml:space="preserve">rotulagem e rotação de estoque;</w:t>
      </w:r>
    </w:p>
    <w:p>
      <w:pPr>
        <w:numPr>
          <w:ilvl w:val="0"/>
          <w:numId w:val="1009"/>
        </w:numPr>
        <w:pStyle w:val="Compact"/>
      </w:pPr>
      <w:r>
        <w:t xml:space="preserve">comunicação de alérgenos e controles de contato cruzado;</w:t>
      </w:r>
    </w:p>
    <w:p>
      <w:pPr>
        <w:numPr>
          <w:ilvl w:val="0"/>
          <w:numId w:val="1009"/>
        </w:numPr>
        <w:pStyle w:val="Compact"/>
      </w:pPr>
      <w:r>
        <w:t xml:space="preserve">controle de pragas;</w:t>
      </w:r>
    </w:p>
    <w:p>
      <w:pPr>
        <w:numPr>
          <w:ilvl w:val="0"/>
          <w:numId w:val="1009"/>
        </w:numPr>
        <w:pStyle w:val="Compact"/>
      </w:pPr>
      <w:r>
        <w:t xml:space="preserve">manejo de resíduos;</w:t>
      </w:r>
    </w:p>
    <w:p>
      <w:pPr>
        <w:numPr>
          <w:ilvl w:val="0"/>
          <w:numId w:val="1009"/>
        </w:numPr>
        <w:pStyle w:val="Compact"/>
      </w:pPr>
      <w:r>
        <w:t xml:space="preserve">escalonamento de incidentes.</w:t>
      </w:r>
    </w:p>
    <w:p>
      <w:pPr>
        <w:pStyle w:val="FirstParagraph"/>
      </w:pPr>
      <w:r>
        <w:t xml:space="preserve">Não diagnostique alergias nem faça afirmações médicas. Use informações aprovadas sobre ingredientes, receitas e preparo e encaminhe dúvidas em vez de adivinhar.</w:t>
      </w:r>
    </w:p>
    <w:bookmarkEnd w:id="31"/>
    <w:bookmarkStart w:id="32" w:name="caminho-no-canadá"/>
    <w:p>
      <w:pPr>
        <w:pStyle w:val="Heading2"/>
      </w:pPr>
      <w:r>
        <w:t xml:space="preserve">Caminho no Canadá</w:t>
      </w:r>
    </w:p>
    <w:p>
      <w:pPr>
        <w:pStyle w:val="FirstParagraph"/>
      </w:pPr>
      <w:r>
        <w:t xml:space="preserve">A referência canadense mais próxima é</w:t>
      </w:r>
      <w:r>
        <w:t xml:space="preserve"> </w:t>
      </w:r>
      <w:r>
        <w:rPr>
          <w:bCs/>
          <w:b/>
        </w:rPr>
        <w:t xml:space="preserve">NOC 63200 — Cooks</w:t>
      </w:r>
      <w:r>
        <w:t xml:space="preserve">. Job Bank descreve cozinheiros como profissionais que preparam e cozinham uma ampla variedade de alimentos em restaurantes, hotéis, hospitais, instituições de saúde, cozinhas centrais, instituições educacionais, navios, acampamentos e ambientes semelhantes. Aprendizes estão incluídos no grupo ocupacional.</w:t>
      </w:r>
    </w:p>
    <w:p>
      <w:pPr>
        <w:pStyle w:val="BodyText"/>
      </w:pPr>
      <w:r>
        <w:t xml:space="preserve">Job Bank informa que normalmente é exigido ensino médio e que pode ser necessário um programa de aprendizagem de cozinheiro de três anos, um curso de faculdade ou outro programa de culinária/segurança dos alimentos, ou vários anos de experiência em cozinha comercial. A certificação do ofício está disponível, mas é voluntária nas províncias e territórios, e cozinheiros qualificados podem buscar o selo Red Seal após o exame interprovincial.</w:t>
      </w:r>
    </w:p>
    <w:p>
      <w:pPr>
        <w:pStyle w:val="BodyText"/>
      </w:pPr>
      <w:r>
        <w:t xml:space="preserve">Os requisitos variam conforme província, território, empregador e tipo de estabelecimento. Verifique o caminho local real antes de pagar por treinamento.</w:t>
      </w:r>
    </w:p>
    <w:bookmarkEnd w:id="32"/>
    <w:bookmarkStart w:id="35" w:name="caminho-na-colômbia"/>
    <w:p>
      <w:pPr>
        <w:pStyle w:val="Heading2"/>
      </w:pPr>
      <w:r>
        <w:t xml:space="preserve">Caminho na Colômbia</w:t>
      </w:r>
    </w:p>
    <w:p>
      <w:pPr>
        <w:pStyle w:val="FirstParagraph"/>
      </w:pPr>
      <w:r>
        <w:t xml:space="preserve">O SENA Betowa oferece caminhos públicos relevantes para entrada e progressão.</w:t>
      </w:r>
    </w:p>
    <w:bookmarkStart w:id="33" w:name="cocina--técnico"/>
    <w:p>
      <w:pPr>
        <w:pStyle w:val="Heading3"/>
      </w:pPr>
      <w:r>
        <w:t xml:space="preserve">COCINA — Técnico</w:t>
      </w:r>
    </w:p>
    <w:p>
      <w:pPr>
        <w:pStyle w:val="FirstParagraph"/>
      </w:pPr>
      <w:r>
        <w:t xml:space="preserve">Informações atuais do SENA Betowa listam</w:t>
      </w:r>
      <w:r>
        <w:t xml:space="preserve"> </w:t>
      </w:r>
      <w:r>
        <w:rPr>
          <w:bCs/>
          <w:b/>
        </w:rPr>
        <w:t xml:space="preserve">COCINA</w:t>
      </w:r>
      <w:r>
        <w:t xml:space="preserve"> </w:t>
      </w:r>
      <w:r>
        <w:t xml:space="preserve">como programa</w:t>
      </w:r>
      <w:r>
        <w:t xml:space="preserve"> </w:t>
      </w:r>
      <w:r>
        <w:rPr>
          <w:bCs/>
          <w:b/>
        </w:rPr>
        <w:t xml:space="preserve">Técnico</w:t>
      </w:r>
      <w:r>
        <w:t xml:space="preserve"> </w:t>
      </w:r>
      <w:r>
        <w:t xml:space="preserve">de formação titulada (</w:t>
      </w:r>
      <w:r>
        <w:rPr>
          <w:rStyle w:val="VerbatimChar"/>
        </w:rPr>
        <w:t xml:space="preserve">Titulada</w:t>
      </w:r>
      <w:r>
        <w:t xml:space="preserve">), presencial, com duração de</w:t>
      </w:r>
      <w:r>
        <w:t xml:space="preserve"> </w:t>
      </w:r>
      <w:r>
        <w:rPr>
          <w:bCs/>
          <w:b/>
        </w:rPr>
        <w:t xml:space="preserve">2,200 horas</w:t>
      </w:r>
      <w:r>
        <w:t xml:space="preserve">. O programa se concentra no recebimento e manuseio de matérias-primas, preparação de alimentos, padrões de qualidade e apoio a operações de serviços de alimentação sob parâmetros de segurança dos alimentos.</w:t>
      </w:r>
    </w:p>
    <w:p>
      <w:pPr>
        <w:pStyle w:val="BodyText"/>
      </w:pPr>
      <w:r>
        <w:t xml:space="preserve">Verifique inscrições, localização, pré-requisitos e critérios de seleção diretamente no Betowa.</w:t>
      </w:r>
    </w:p>
    <w:bookmarkEnd w:id="33"/>
    <w:bookmarkStart w:id="34" w:name="cocina-básica-nivel-1"/>
    <w:p>
      <w:pPr>
        <w:pStyle w:val="Heading3"/>
      </w:pPr>
      <w:r>
        <w:t xml:space="preserve">COCINA BÁSICA NIVEL 1</w:t>
      </w:r>
    </w:p>
    <w:p>
      <w:pPr>
        <w:pStyle w:val="FirstParagraph"/>
      </w:pPr>
      <w:r>
        <w:t xml:space="preserve">O SENA Betowa lista</w:t>
      </w:r>
      <w:r>
        <w:t xml:space="preserve"> </w:t>
      </w:r>
      <w:r>
        <w:rPr>
          <w:bCs/>
          <w:b/>
        </w:rPr>
        <w:t xml:space="preserve">COCINA BÁSICA NIVEL 1</w:t>
      </w:r>
      <w:r>
        <w:t xml:space="preserve"> </w:t>
      </w:r>
      <w:r>
        <w:t xml:space="preserve">como curso complementar especial, presencial, com duração de</w:t>
      </w:r>
      <w:r>
        <w:t xml:space="preserve"> </w:t>
      </w:r>
      <w:r>
        <w:rPr>
          <w:bCs/>
          <w:b/>
        </w:rPr>
        <w:t xml:space="preserve">40 horas</w:t>
      </w:r>
      <w:r>
        <w:t xml:space="preserve">. Pode ser uma opção útil gratuita ou de menor custo onde estiver disponível.</w:t>
      </w:r>
    </w:p>
    <w:p>
      <w:pPr>
        <w:pStyle w:val="BodyText"/>
      </w:pPr>
      <w:r>
        <w:t xml:space="preserve">A conclusão não garante emprego, promoção, autorização em segurança dos alimentos ou status de chef.</w:t>
      </w:r>
    </w:p>
    <w:p>
      <w:pPr>
        <w:pStyle w:val="BodyText"/>
      </w:pPr>
      <w:r>
        <w:t xml:space="preserve">Este guia não apresenta uma referência salarial nacional para a Colômbia.</w:t>
      </w:r>
    </w:p>
    <w:bookmarkEnd w:id="34"/>
    <w:bookmarkEnd w:id="35"/>
    <w:bookmarkStart w:id="36" w:name="caminho-na-américa-latina"/>
    <w:p>
      <w:pPr>
        <w:pStyle w:val="Heading2"/>
      </w:pPr>
      <w:r>
        <w:t xml:space="preserve">Caminho na América Latina</w:t>
      </w:r>
    </w:p>
    <w:p>
      <w:pPr>
        <w:pStyle w:val="FirstParagraph"/>
      </w:pPr>
      <w:r>
        <w:t xml:space="preserve">A formação culinária varia amplamente na América Latina. Pontos de partida úteis incluem instituições nacionais de formação profissional, ministérios do trabalho ou educação, institutos públicos de turismo e hotelaria, academias de empregadores e instituições vinculadas à OIT/Cinterfor.</w:t>
      </w:r>
    </w:p>
    <w:p>
      <w:pPr>
        <w:pStyle w:val="BodyText"/>
      </w:pPr>
      <w:r>
        <w:t xml:space="preserve">Antes de se matricular, verifique:</w:t>
      </w:r>
    </w:p>
    <w:p>
      <w:pPr>
        <w:numPr>
          <w:ilvl w:val="0"/>
          <w:numId w:val="1010"/>
        </w:numPr>
        <w:pStyle w:val="Compact"/>
      </w:pPr>
      <w:r>
        <w:t xml:space="preserve">reconhecimento do provedor quando relevante;</w:t>
      </w:r>
    </w:p>
    <w:p>
      <w:pPr>
        <w:numPr>
          <w:ilvl w:val="0"/>
          <w:numId w:val="1010"/>
        </w:numPr>
        <w:pStyle w:val="Compact"/>
      </w:pPr>
      <w:r>
        <w:t xml:space="preserve">custo total, incluindo uniformes, facas, ferramentas, exames, transporte e ingredientes;</w:t>
      </w:r>
    </w:p>
    <w:p>
      <w:pPr>
        <w:numPr>
          <w:ilvl w:val="0"/>
          <w:numId w:val="1010"/>
        </w:numPr>
        <w:pStyle w:val="Compact"/>
      </w:pPr>
      <w:r>
        <w:t xml:space="preserve">requisitos de estágio ou prática;</w:t>
      </w:r>
    </w:p>
    <w:p>
      <w:pPr>
        <w:numPr>
          <w:ilvl w:val="0"/>
          <w:numId w:val="1010"/>
        </w:numPr>
        <w:pStyle w:val="Compact"/>
      </w:pPr>
      <w:r>
        <w:t xml:space="preserve">requisitos de manipulador de alimentos ou documentos de saúde;</w:t>
      </w:r>
    </w:p>
    <w:p>
      <w:pPr>
        <w:numPr>
          <w:ilvl w:val="0"/>
          <w:numId w:val="1010"/>
        </w:numPr>
        <w:pStyle w:val="Compact"/>
      </w:pPr>
      <w:r>
        <w:t xml:space="preserve">compatibilidade de horário com o trabalho;</w:t>
      </w:r>
    </w:p>
    <w:p>
      <w:pPr>
        <w:numPr>
          <w:ilvl w:val="0"/>
          <w:numId w:val="1010"/>
        </w:numPr>
        <w:pStyle w:val="Compact"/>
      </w:pPr>
      <w:r>
        <w:t xml:space="preserve">se a credencial é transferível para outro empregador ou região.</w:t>
      </w:r>
    </w:p>
    <w:bookmarkEnd w:id="36"/>
    <w:bookmarkStart w:id="37" w:name="X9fdee6ac71b7e725c016623a7e4c22ed9fbba75"/>
    <w:p>
      <w:pPr>
        <w:pStyle w:val="Heading2"/>
      </w:pPr>
      <w:r>
        <w:t xml:space="preserve">Estratégia de treinamento com prioridade para opções gratuitas</w:t>
      </w:r>
    </w:p>
    <w:p>
      <w:pPr>
        <w:pStyle w:val="FirstParagraph"/>
      </w:pPr>
      <w:r>
        <w:t xml:space="preserve">Antes de pagar por um programa culinário privado caro, verifique se o objetivo pode ser alcançado por meio de:</w:t>
      </w:r>
    </w:p>
    <w:p>
      <w:pPr>
        <w:numPr>
          <w:ilvl w:val="0"/>
          <w:numId w:val="1011"/>
        </w:numPr>
        <w:pStyle w:val="Compact"/>
      </w:pPr>
      <w:r>
        <w:t xml:space="preserve">integração ou treinamento cruzado pagos pelo empregador;</w:t>
      </w:r>
    </w:p>
    <w:p>
      <w:pPr>
        <w:numPr>
          <w:ilvl w:val="0"/>
          <w:numId w:val="1011"/>
        </w:numPr>
        <w:pStyle w:val="Compact"/>
      </w:pPr>
      <w:r>
        <w:t xml:space="preserve">treinamento de segurança dos alimentos pago;</w:t>
      </w:r>
    </w:p>
    <w:p>
      <w:pPr>
        <w:numPr>
          <w:ilvl w:val="0"/>
          <w:numId w:val="1011"/>
        </w:numPr>
        <w:pStyle w:val="Compact"/>
      </w:pPr>
      <w:r>
        <w:t xml:space="preserve">programas comunitários ou técnicos;</w:t>
      </w:r>
    </w:p>
    <w:p>
      <w:pPr>
        <w:numPr>
          <w:ilvl w:val="0"/>
          <w:numId w:val="1011"/>
        </w:numPr>
        <w:pStyle w:val="Compact"/>
      </w:pPr>
      <w:r>
        <w:rPr>
          <w:bCs/>
          <w:b/>
        </w:rPr>
        <w:t xml:space="preserve">CareerOneStop WIOA-Eligible Training Program Finder</w:t>
      </w:r>
      <w:r>
        <w:t xml:space="preserve"> </w:t>
      </w:r>
      <w:r>
        <w:t xml:space="preserve">para participantes elegíveis nos Estados Unidos;</w:t>
      </w:r>
    </w:p>
    <w:p>
      <w:pPr>
        <w:numPr>
          <w:ilvl w:val="0"/>
          <w:numId w:val="1011"/>
        </w:numPr>
        <w:pStyle w:val="Compact"/>
      </w:pPr>
      <w:r>
        <w:rPr>
          <w:bCs/>
          <w:b/>
        </w:rPr>
        <w:t xml:space="preserve">American Job Centers</w:t>
      </w:r>
      <w:r>
        <w:t xml:space="preserve"> </w:t>
      </w:r>
      <w:r>
        <w:t xml:space="preserve">locais;</w:t>
      </w:r>
    </w:p>
    <w:p>
      <w:pPr>
        <w:numPr>
          <w:ilvl w:val="0"/>
          <w:numId w:val="1011"/>
        </w:numPr>
        <w:pStyle w:val="Compact"/>
      </w:pPr>
      <w:r>
        <w:rPr>
          <w:bCs/>
          <w:b/>
        </w:rPr>
        <w:t xml:space="preserve">Apprenticeship.gov</w:t>
      </w:r>
      <w:r>
        <w:t xml:space="preserve"> </w:t>
      </w:r>
      <w:r>
        <w:t xml:space="preserve">para vagas reais de aprendizagem de cozinheiro;</w:t>
      </w:r>
    </w:p>
    <w:p>
      <w:pPr>
        <w:numPr>
          <w:ilvl w:val="0"/>
          <w:numId w:val="1011"/>
        </w:numPr>
        <w:pStyle w:val="Compact"/>
      </w:pPr>
      <w:r>
        <w:t xml:space="preserve">SENA Betowa na Colômbia;</w:t>
      </w:r>
    </w:p>
    <w:p>
      <w:pPr>
        <w:numPr>
          <w:ilvl w:val="0"/>
          <w:numId w:val="1011"/>
        </w:numPr>
        <w:pStyle w:val="Compact"/>
      </w:pPr>
      <w:r>
        <w:t xml:space="preserve">OIT/Cinterfor e instituições públicas nacionais de formação em outros países da América Latina.</w:t>
      </w:r>
    </w:p>
    <w:p>
      <w:pPr>
        <w:pStyle w:val="FirstParagraph"/>
      </w:pPr>
      <w:r>
        <w:t xml:space="preserve">Financiamento, admissão, colocação em aprendizagem, reembolso, certificação e emprego nunca são garantidos.</w:t>
      </w:r>
    </w:p>
    <w:bookmarkEnd w:id="37"/>
    <w:bookmarkStart w:id="41" w:name="remuneração--estados-unidos"/>
    <w:p>
      <w:pPr>
        <w:pStyle w:val="Heading2"/>
      </w:pPr>
      <w:r>
        <w:t xml:space="preserve">Remuneração — Estados Unidos</w:t>
      </w:r>
    </w:p>
    <w:bookmarkStart w:id="38" w:name="referência-oficial-de-cooks-restaurant"/>
    <w:p>
      <w:pPr>
        <w:pStyle w:val="Heading3"/>
      </w:pPr>
      <w:r>
        <w:t xml:space="preserve">Referência oficial de Cooks, Restaurant</w:t>
      </w:r>
    </w:p>
    <w:p>
      <w:pPr>
        <w:pStyle w:val="FirstParagraph"/>
      </w:pPr>
      <w:r>
        <w:t xml:space="preserve">O*NET informa atualmente dados salariais BLS de</w:t>
      </w:r>
      <w:r>
        <w:t xml:space="preserve"> </w:t>
      </w:r>
      <w:r>
        <w:rPr>
          <w:bCs/>
          <w:b/>
        </w:rPr>
        <w:t xml:space="preserve">2025</w:t>
      </w:r>
      <w:r>
        <w:t xml:space="preserve"> </w:t>
      </w:r>
      <w:r>
        <w:t xml:space="preserve">para</w:t>
      </w:r>
      <w:r>
        <w:t xml:space="preserve"> </w:t>
      </w:r>
      <w:r>
        <w:rPr>
          <w:bCs/>
          <w:b/>
        </w:rPr>
        <w:t xml:space="preserve">Cooks, Restaurant (</w:t>
      </w:r>
      <w:r>
        <w:rPr>
          <w:rStyle w:val="VerbatimChar"/>
          <w:bCs/>
          <w:b/>
        </w:rPr>
        <w:t xml:space="preserve">35-2014.00</w:t>
      </w:r>
      <w:r>
        <w:rPr>
          <w:bCs/>
          <w:b/>
        </w:rPr>
        <w:t xml:space="preserve">)</w:t>
      </w:r>
      <w:r>
        <w:t xml:space="preserve">:</w:t>
      </w:r>
    </w:p>
    <w:p>
      <w:pPr>
        <w:numPr>
          <w:ilvl w:val="0"/>
          <w:numId w:val="1012"/>
        </w:numPr>
        <w:pStyle w:val="Compact"/>
      </w:pPr>
      <w:r>
        <w:t xml:space="preserve">mediana por hora:</w:t>
      </w:r>
      <w:r>
        <w:t xml:space="preserve"> </w:t>
      </w:r>
      <w:r>
        <w:rPr>
          <w:bCs/>
          <w:b/>
        </w:rPr>
        <w:t xml:space="preserve">USD $17.98</w:t>
      </w:r>
      <w:r>
        <w:t xml:space="preserve">;</w:t>
      </w:r>
    </w:p>
    <w:p>
      <w:pPr>
        <w:numPr>
          <w:ilvl w:val="0"/>
          <w:numId w:val="1012"/>
        </w:numPr>
        <w:pStyle w:val="Compact"/>
      </w:pPr>
      <w:r>
        <w:t xml:space="preserve">mediana anual:</w:t>
      </w:r>
      <w:r>
        <w:t xml:space="preserve"> </w:t>
      </w:r>
      <w:r>
        <w:rPr>
          <w:bCs/>
          <w:b/>
        </w:rPr>
        <w:t xml:space="preserve">USD $37,390</w:t>
      </w:r>
      <w:r>
        <w:t xml:space="preserve">;</w:t>
      </w:r>
    </w:p>
    <w:p>
      <w:pPr>
        <w:numPr>
          <w:ilvl w:val="0"/>
          <w:numId w:val="1012"/>
        </w:numPr>
        <w:pStyle w:val="Compact"/>
      </w:pPr>
      <w:r>
        <w:t xml:space="preserve">percentil 25 anual:</w:t>
      </w:r>
      <w:r>
        <w:t xml:space="preserve"> </w:t>
      </w:r>
      <w:r>
        <w:rPr>
          <w:bCs/>
          <w:b/>
        </w:rPr>
        <w:t xml:space="preserve">USD $34,010</w:t>
      </w:r>
      <w:r>
        <w:t xml:space="preserve">;</w:t>
      </w:r>
    </w:p>
    <w:p>
      <w:pPr>
        <w:numPr>
          <w:ilvl w:val="0"/>
          <w:numId w:val="1012"/>
        </w:numPr>
        <w:pStyle w:val="Compact"/>
      </w:pPr>
      <w:r>
        <w:t xml:space="preserve">percentil 75 anual:</w:t>
      </w:r>
      <w:r>
        <w:t xml:space="preserve"> </w:t>
      </w:r>
      <w:r>
        <w:rPr>
          <w:bCs/>
          <w:b/>
        </w:rPr>
        <w:t xml:space="preserve">USD $44,620</w:t>
      </w:r>
      <w:r>
        <w:t xml:space="preserve">.</w:t>
      </w:r>
    </w:p>
    <w:p>
      <w:pPr>
        <w:pStyle w:val="FirstParagraph"/>
      </w:pPr>
      <w:r>
        <w:t xml:space="preserve">O*NET informa aproximadamente</w:t>
      </w:r>
      <w:r>
        <w:t xml:space="preserve"> </w:t>
      </w:r>
      <w:r>
        <w:rPr>
          <w:bCs/>
          <w:b/>
        </w:rPr>
        <w:t xml:space="preserve">1,460,200</w:t>
      </w:r>
      <w:r>
        <w:t xml:space="preserve"> </w:t>
      </w:r>
      <w:r>
        <w:t xml:space="preserve">cozinheiros de restaurante empregados em 2024, crescimento projetado de</w:t>
      </w:r>
      <w:r>
        <w:t xml:space="preserve"> </w:t>
      </w:r>
      <w:r>
        <w:rPr>
          <w:bCs/>
          <w:b/>
        </w:rPr>
        <w:t xml:space="preserve">7% ou mais</w:t>
      </w:r>
      <w:r>
        <w:t xml:space="preserve"> </w:t>
      </w:r>
      <w:r>
        <w:t xml:space="preserve">entre 2024–2034 e aproximadamente</w:t>
      </w:r>
      <w:r>
        <w:t xml:space="preserve"> </w:t>
      </w:r>
      <w:r>
        <w:rPr>
          <w:bCs/>
          <w:b/>
        </w:rPr>
        <w:t xml:space="preserve">250,700 vagas projetadas</w:t>
      </w:r>
      <w:r>
        <w:t xml:space="preserve"> </w:t>
      </w:r>
      <w:r>
        <w:t xml:space="preserve">durante esse período.</w:t>
      </w:r>
    </w:p>
    <w:bookmarkEnd w:id="38"/>
    <w:bookmarkStart w:id="39" w:name="comparação-mais-ampla-do-bls-para-cooks"/>
    <w:p>
      <w:pPr>
        <w:pStyle w:val="Heading3"/>
      </w:pPr>
      <w:r>
        <w:t xml:space="preserve">Comparação mais ampla do BLS para Cooks</w:t>
      </w:r>
    </w:p>
    <w:p>
      <w:pPr>
        <w:pStyle w:val="FirstParagraph"/>
      </w:pPr>
      <w:r>
        <w:t xml:space="preserve">O Occupational Outlook Handbook do BLS informa uma referência mais ampla de</w:t>
      </w:r>
      <w:r>
        <w:t xml:space="preserve"> </w:t>
      </w:r>
      <w:r>
        <w:rPr>
          <w:bCs/>
          <w:b/>
        </w:rPr>
        <w:t xml:space="preserve">Cooks</w:t>
      </w:r>
      <w:r>
        <w:t xml:space="preserve">, com remuneração mediana de</w:t>
      </w:r>
      <w:r>
        <w:t xml:space="preserve"> </w:t>
      </w:r>
      <w:r>
        <w:rPr>
          <w:bCs/>
          <w:b/>
        </w:rPr>
        <w:t xml:space="preserve">USD $35,760/ano ($17.19/hora)</w:t>
      </w:r>
      <w:r>
        <w:t xml:space="preserve">, aproximadamente</w:t>
      </w:r>
      <w:r>
        <w:t xml:space="preserve"> </w:t>
      </w:r>
      <w:r>
        <w:rPr>
          <w:bCs/>
          <w:b/>
        </w:rPr>
        <w:t xml:space="preserve">2,805,100</w:t>
      </w:r>
      <w:r>
        <w:t xml:space="preserve"> </w:t>
      </w:r>
      <w:r>
        <w:t xml:space="preserve">empregos, crescimento projetado de</w:t>
      </w:r>
      <w:r>
        <w:t xml:space="preserve"> </w:t>
      </w:r>
      <w:r>
        <w:rPr>
          <w:bCs/>
          <w:b/>
        </w:rPr>
        <w:t xml:space="preserve">5%</w:t>
      </w:r>
      <w:r>
        <w:t xml:space="preserve"> </w:t>
      </w:r>
      <w:r>
        <w:t xml:space="preserve">e aproximadamente</w:t>
      </w:r>
      <w:r>
        <w:t xml:space="preserve"> </w:t>
      </w:r>
      <w:r>
        <w:rPr>
          <w:bCs/>
          <w:b/>
        </w:rPr>
        <w:t xml:space="preserve">130,600 vagas por ano</w:t>
      </w:r>
      <w:r>
        <w:t xml:space="preserve">.</w:t>
      </w:r>
    </w:p>
    <w:p>
      <w:pPr>
        <w:pStyle w:val="BodyText"/>
      </w:pPr>
      <w:r>
        <w:t xml:space="preserve">O grupo do BLS cobre várias especialidades de cozinha, portanto seus números mais amplos não devem ser tratados como idênticos à referência específica do O*NET para Restaurant Cooks.</w:t>
      </w:r>
    </w:p>
    <w:bookmarkEnd w:id="39"/>
    <w:bookmarkStart w:id="40" w:name="estimativa-atual-não-governamental"/>
    <w:p>
      <w:pPr>
        <w:pStyle w:val="Heading3"/>
      </w:pPr>
      <w:r>
        <w:t xml:space="preserve">Estimativa atual não governamental</w:t>
      </w:r>
    </w:p>
    <w:p>
      <w:pPr>
        <w:pStyle w:val="FirstParagraph"/>
      </w:pPr>
      <w:r>
        <w:t xml:space="preserve">ZipRecruiter, em 4 de agosto de 2026, informa remuneração média de Cook de</w:t>
      </w:r>
      <w:r>
        <w:t xml:space="preserve"> </w:t>
      </w:r>
      <w:r>
        <w:rPr>
          <w:bCs/>
          <w:b/>
        </w:rPr>
        <w:t xml:space="preserve">USD $33,340/ano</w:t>
      </w:r>
      <w:r>
        <w:t xml:space="preserve">, aproximadamente</w:t>
      </w:r>
      <w:r>
        <w:t xml:space="preserve"> </w:t>
      </w:r>
      <w:r>
        <w:rPr>
          <w:bCs/>
          <w:b/>
        </w:rPr>
        <w:t xml:space="preserve">$16.03/hora</w:t>
      </w:r>
      <w:r>
        <w:t xml:space="preserve">, com faixa reportada entre os percentis 25 e 75 de</w:t>
      </w:r>
      <w:r>
        <w:t xml:space="preserve"> </w:t>
      </w:r>
      <w:r>
        <w:rPr>
          <w:bCs/>
          <w:b/>
        </w:rPr>
        <w:t xml:space="preserve">$28,000–$37,500</w:t>
      </w:r>
      <w:r>
        <w:t xml:space="preserve">.</w:t>
      </w:r>
    </w:p>
    <w:p>
      <w:pPr>
        <w:pStyle w:val="BodyText"/>
      </w:pPr>
      <w:r>
        <w:t xml:space="preserve">Esta é uma estimativa de mercado não governamental e não deve ser combinada por média com as estatísticas oficiais do O*NET/BLS.</w:t>
      </w:r>
    </w:p>
    <w:bookmarkEnd w:id="40"/>
    <w:bookmarkEnd w:id="41"/>
    <w:bookmarkStart w:id="42" w:name="remuneração--canadá"/>
    <w:p>
      <w:pPr>
        <w:pStyle w:val="Heading2"/>
      </w:pPr>
      <w:r>
        <w:t xml:space="preserve">Remuneração — Canadá</w:t>
      </w:r>
    </w:p>
    <w:p>
      <w:pPr>
        <w:pStyle w:val="FirstParagraph"/>
      </w:pPr>
      <w:r>
        <w:t xml:space="preserve">Dados salariais nacionais do Job Bank para</w:t>
      </w:r>
      <w:r>
        <w:t xml:space="preserve"> </w:t>
      </w:r>
      <w:r>
        <w:rPr>
          <w:bCs/>
          <w:b/>
        </w:rPr>
        <w:t xml:space="preserve">NOC 63200</w:t>
      </w:r>
      <w:r>
        <w:t xml:space="preserve">, atualizados em 19 de novembro de 2025 usando o período de referência 2023–2024 da Labour Force Survey, informam:</w:t>
      </w:r>
    </w:p>
    <w:p>
      <w:pPr>
        <w:numPr>
          <w:ilvl w:val="0"/>
          <w:numId w:val="1013"/>
        </w:numPr>
        <w:pStyle w:val="Compact"/>
      </w:pPr>
      <w:r>
        <w:t xml:space="preserve">baixo:</w:t>
      </w:r>
      <w:r>
        <w:t xml:space="preserve"> </w:t>
      </w:r>
      <w:r>
        <w:rPr>
          <w:bCs/>
          <w:b/>
        </w:rPr>
        <w:t xml:space="preserve">CAD $15.00/hora</w:t>
      </w:r>
      <w:r>
        <w:t xml:space="preserve">;</w:t>
      </w:r>
    </w:p>
    <w:p>
      <w:pPr>
        <w:numPr>
          <w:ilvl w:val="0"/>
          <w:numId w:val="1013"/>
        </w:numPr>
        <w:pStyle w:val="Compact"/>
      </w:pPr>
      <w:r>
        <w:t xml:space="preserve">mediana:</w:t>
      </w:r>
      <w:r>
        <w:t xml:space="preserve"> </w:t>
      </w:r>
      <w:r>
        <w:rPr>
          <w:bCs/>
          <w:b/>
        </w:rPr>
        <w:t xml:space="preserve">CAD $18.00/hora</w:t>
      </w:r>
      <w:r>
        <w:t xml:space="preserve">;</w:t>
      </w:r>
    </w:p>
    <w:p>
      <w:pPr>
        <w:numPr>
          <w:ilvl w:val="0"/>
          <w:numId w:val="1013"/>
        </w:numPr>
        <w:pStyle w:val="Compact"/>
      </w:pPr>
      <w:r>
        <w:t xml:space="preserve">alto:</w:t>
      </w:r>
      <w:r>
        <w:t xml:space="preserve"> </w:t>
      </w:r>
      <w:r>
        <w:rPr>
          <w:bCs/>
          <w:b/>
        </w:rPr>
        <w:t xml:space="preserve">CAD $25.00/hora</w:t>
      </w:r>
      <w:r>
        <w:t xml:space="preserve">.</w:t>
      </w:r>
    </w:p>
    <w:p>
      <w:pPr>
        <w:pStyle w:val="FirstParagraph"/>
      </w:pPr>
      <w:r>
        <w:t xml:space="preserve">A remuneração real varia por província, estabelecimento, escala, experiência, especialização e empregador.</w:t>
      </w:r>
    </w:p>
    <w:bookmarkEnd w:id="42"/>
    <w:bookmarkStart w:id="43" w:name="privacidade-e-informações-de-pagamento"/>
    <w:p>
      <w:pPr>
        <w:pStyle w:val="Heading2"/>
      </w:pPr>
      <w:r>
        <w:t xml:space="preserve">Privacidade e informações de pagamento</w:t>
      </w:r>
    </w:p>
    <w:p>
      <w:pPr>
        <w:pStyle w:val="FirstParagraph"/>
      </w:pPr>
      <w:r>
        <w:t xml:space="preserve">Sistemas de cozinha e restaurante podem conter informações de clientes, empregados, pagamentos, escalas, pedidos, plataformas de entrega, estoque e negócio. Use somente o acesso necessário para sua função.</w:t>
      </w:r>
    </w:p>
    <w:p>
      <w:pPr>
        <w:pStyle w:val="BodyText"/>
      </w:pPr>
      <w:r>
        <w:t xml:space="preserve">Boas práticas incluem:</w:t>
      </w:r>
    </w:p>
    <w:p>
      <w:pPr>
        <w:numPr>
          <w:ilvl w:val="0"/>
          <w:numId w:val="1014"/>
        </w:numPr>
        <w:pStyle w:val="Compact"/>
      </w:pPr>
      <w:r>
        <w:t xml:space="preserve">nunca compartilhar senhas ou credenciais de POS;</w:t>
      </w:r>
    </w:p>
    <w:p>
      <w:pPr>
        <w:numPr>
          <w:ilvl w:val="0"/>
          <w:numId w:val="1014"/>
        </w:numPr>
        <w:pStyle w:val="Compact"/>
      </w:pPr>
      <w:r>
        <w:t xml:space="preserve">bloquear terminais ao se afastar;</w:t>
      </w:r>
    </w:p>
    <w:p>
      <w:pPr>
        <w:numPr>
          <w:ilvl w:val="0"/>
          <w:numId w:val="1014"/>
        </w:numPr>
        <w:pStyle w:val="Compact"/>
      </w:pPr>
      <w:r>
        <w:t xml:space="preserve">evitar dispositivos pessoais para informações empresariais restritas, salvo aprovação;</w:t>
      </w:r>
    </w:p>
    <w:p>
      <w:pPr>
        <w:numPr>
          <w:ilvl w:val="0"/>
          <w:numId w:val="1014"/>
        </w:numPr>
        <w:pStyle w:val="Compact"/>
      </w:pPr>
      <w:r>
        <w:t xml:space="preserve">usar canais aprovados para escalas e informações de empregados;</w:t>
      </w:r>
    </w:p>
    <w:p>
      <w:pPr>
        <w:numPr>
          <w:ilvl w:val="0"/>
          <w:numId w:val="1014"/>
        </w:numPr>
        <w:pStyle w:val="Compact"/>
      </w:pPr>
      <w:r>
        <w:t xml:space="preserve">limitar relatórios impressos e descartá-los de forma segura;</w:t>
      </w:r>
    </w:p>
    <w:p>
      <w:pPr>
        <w:numPr>
          <w:ilvl w:val="0"/>
          <w:numId w:val="1014"/>
        </w:numPr>
        <w:pStyle w:val="Compact"/>
      </w:pPr>
      <w:r>
        <w:t xml:space="preserve">escalar suspeitas de phishing, fraude ou comprometimento de conta.</w:t>
      </w:r>
    </w:p>
    <w:bookmarkEnd w:id="43"/>
    <w:bookmarkStart w:id="44" w:name="cibersegurança"/>
    <w:p>
      <w:pPr>
        <w:pStyle w:val="Heading2"/>
      </w:pPr>
      <w:r>
        <w:t xml:space="preserve">Cibersegurança</w:t>
      </w:r>
    </w:p>
    <w:p>
      <w:pPr>
        <w:pStyle w:val="FirstParagraph"/>
      </w:pPr>
      <w:r>
        <w:t xml:space="preserve">Restaurantes usam cada vez mais sistemas POS em nuvem, pedidos online, plataformas de entrega, ferramentas digitais de estoque, sistemas de folha, portais de fornecedores, Wi-Fi e dispositivos móveis.</w:t>
      </w:r>
    </w:p>
    <w:p>
      <w:pPr>
        <w:pStyle w:val="BodyText"/>
      </w:pPr>
      <w:r>
        <w:t xml:space="preserve">Trate com cautela solicitações inesperadas de redefinição de senha, faturas, códigos QR, mudanças de pagamento, mensagens de fornecedores, mudanças de folha ou alterações de contas bancárias. Verifique solicitações incomuns por canais aprovados antes de agir.</w:t>
      </w:r>
    </w:p>
    <w:bookmarkEnd w:id="44"/>
    <w:bookmarkStart w:id="45" w:name="acessibilidade-e-inclusão"/>
    <w:p>
      <w:pPr>
        <w:pStyle w:val="Heading2"/>
      </w:pPr>
      <w:r>
        <w:t xml:space="preserve">Acessibilidade e inclusão</w:t>
      </w:r>
    </w:p>
    <w:p>
      <w:pPr>
        <w:pStyle w:val="FirstParagraph"/>
      </w:pPr>
      <w:r>
        <w:t xml:space="preserve">Apoie atendimento acessível e um ambiente de trabalho respeitoso de acordo com procedimentos do empregador e a legislação aplicável. Não faça suposições sobre as capacidades de clientes ou colegas. Encaminhe dúvidas sobre adaptações ao gerente designado ou ao processo de RH quando necessário.</w:t>
      </w:r>
    </w:p>
    <w:bookmarkEnd w:id="45"/>
    <w:bookmarkStart w:id="46" w:name="X0574f58216f514a118325c835d928e8c3e45adb"/>
    <w:p>
      <w:pPr>
        <w:pStyle w:val="Heading2"/>
      </w:pPr>
      <w:r>
        <w:t xml:space="preserve">Uso responsável de inteligência artificial</w:t>
      </w:r>
    </w:p>
    <w:p>
      <w:pPr>
        <w:pStyle w:val="FirstParagraph"/>
      </w:pPr>
      <w:r>
        <w:t xml:space="preserve">Ferramentas de IA podem ajudar a gerar ideias para receitas de prática, roteiros de treinamento, listas de pré-preparo, textos não sensíveis de cardápio, perguntas de estudo ou planos de carreira.</w:t>
      </w:r>
    </w:p>
    <w:p>
      <w:pPr>
        <w:pStyle w:val="BodyText"/>
      </w:pPr>
      <w:r>
        <w:t xml:space="preserve">Não insira</w:t>
      </w:r>
      <w:r>
        <w:t xml:space="preserve"> </w:t>
      </w:r>
      <w:r>
        <w:rPr>
          <w:bCs/>
          <w:b/>
        </w:rPr>
        <w:t xml:space="preserve">dados de cartões de pagamento, registros de empregados, informações pessoais de clientes, receitas não publicadas, dados empresariais, relatórios de incidentes, senhas, investigações internas ou outras informações restritas</w:t>
      </w:r>
      <w:r>
        <w:t xml:space="preserve"> </w:t>
      </w:r>
      <w:r>
        <w:t xml:space="preserve">em um sistema público de IA sem aprovação da organização.</w:t>
      </w:r>
    </w:p>
    <w:p>
      <w:pPr>
        <w:pStyle w:val="BodyText"/>
      </w:pPr>
      <w:r>
        <w:t xml:space="preserve">A IA não deve decidir de forma independente:</w:t>
      </w:r>
    </w:p>
    <w:p>
      <w:pPr>
        <w:numPr>
          <w:ilvl w:val="0"/>
          <w:numId w:val="1015"/>
        </w:numPr>
        <w:pStyle w:val="Compact"/>
      </w:pPr>
      <w:r>
        <w:t xml:space="preserve">se um alimento é seguro para servir;</w:t>
      </w:r>
    </w:p>
    <w:p>
      <w:pPr>
        <w:numPr>
          <w:ilvl w:val="0"/>
          <w:numId w:val="1015"/>
        </w:numPr>
        <w:pStyle w:val="Compact"/>
      </w:pPr>
      <w:r>
        <w:t xml:space="preserve">se um alérgeno está presente;</w:t>
      </w:r>
    </w:p>
    <w:p>
      <w:pPr>
        <w:numPr>
          <w:ilvl w:val="0"/>
          <w:numId w:val="1015"/>
        </w:numPr>
        <w:pStyle w:val="Compact"/>
      </w:pPr>
      <w:r>
        <w:t xml:space="preserve">se um cliente ou trabalhador tem uma condição médica;</w:t>
      </w:r>
    </w:p>
    <w:p>
      <w:pPr>
        <w:numPr>
          <w:ilvl w:val="0"/>
          <w:numId w:val="1015"/>
        </w:numPr>
        <w:pStyle w:val="Compact"/>
      </w:pPr>
      <w:r>
        <w:t xml:space="preserve">se uma exigência legal ou regulatória se aplica;</w:t>
      </w:r>
    </w:p>
    <w:p>
      <w:pPr>
        <w:numPr>
          <w:ilvl w:val="0"/>
          <w:numId w:val="1015"/>
        </w:numPr>
        <w:pStyle w:val="Compact"/>
      </w:pPr>
      <w:r>
        <w:t xml:space="preserve">se uma lesão ou incidente de segurança dos alimentos pode ser ignorado.</w:t>
      </w:r>
    </w:p>
    <w:p>
      <w:pPr>
        <w:pStyle w:val="FirstParagraph"/>
      </w:pPr>
      <w:r>
        <w:t xml:space="preserve">Revisão humana é obrigatória para receitas, cardápios, materiais de treinamento, escalas, rótulos, comunicações com clientes e decisões operacionais assistidas por IA.</w:t>
      </w:r>
    </w:p>
    <w:bookmarkEnd w:id="46"/>
    <w:bookmarkStart w:id="53" w:name="plano-inicial-de-12-semanas"/>
    <w:p>
      <w:pPr>
        <w:pStyle w:val="Heading2"/>
      </w:pPr>
      <w:r>
        <w:t xml:space="preserve">Plano inicial de 12 semanas</w:t>
      </w:r>
    </w:p>
    <w:bookmarkStart w:id="47" w:name="semanas-12--aprenda-a-operação"/>
    <w:p>
      <w:pPr>
        <w:pStyle w:val="Heading3"/>
      </w:pPr>
      <w:r>
        <w:t xml:space="preserve">Semanas 1–2 — Aprenda a operação</w:t>
      </w:r>
    </w:p>
    <w:p>
      <w:pPr>
        <w:numPr>
          <w:ilvl w:val="0"/>
          <w:numId w:val="1016"/>
        </w:numPr>
        <w:pStyle w:val="Compact"/>
      </w:pPr>
      <w:r>
        <w:t xml:space="preserve">Aprenda procedimentos de saneamento, emergência e comunicação de incidentes.</w:t>
      </w:r>
    </w:p>
    <w:p>
      <w:pPr>
        <w:numPr>
          <w:ilvl w:val="0"/>
          <w:numId w:val="1016"/>
        </w:numPr>
        <w:pStyle w:val="Compact"/>
      </w:pPr>
      <w:r>
        <w:t xml:space="preserve">Revise o layout da cozinha, estações, armazenamento e equipamentos.</w:t>
      </w:r>
    </w:p>
    <w:p>
      <w:pPr>
        <w:numPr>
          <w:ilvl w:val="0"/>
          <w:numId w:val="1016"/>
        </w:numPr>
        <w:pStyle w:val="Compact"/>
      </w:pPr>
      <w:r>
        <w:t xml:space="preserve">Aprenda limites de autoridade e rotas de escalonamento.</w:t>
      </w:r>
    </w:p>
    <w:bookmarkEnd w:id="47"/>
    <w:bookmarkStart w:id="48" w:name="Xbf8eebd469488728796b6a87329c873290422c2"/>
    <w:p>
      <w:pPr>
        <w:pStyle w:val="Heading3"/>
      </w:pPr>
      <w:r>
        <w:t xml:space="preserve">Semanas 3–4 — Desenvolva competência em uma estação</w:t>
      </w:r>
    </w:p>
    <w:p>
      <w:pPr>
        <w:numPr>
          <w:ilvl w:val="0"/>
          <w:numId w:val="1017"/>
        </w:numPr>
        <w:pStyle w:val="Compact"/>
      </w:pPr>
      <w:r>
        <w:t xml:space="preserve">Pratique mise en place e execução de receitas.</w:t>
      </w:r>
    </w:p>
    <w:p>
      <w:pPr>
        <w:numPr>
          <w:ilvl w:val="0"/>
          <w:numId w:val="1017"/>
        </w:numPr>
        <w:pStyle w:val="Compact"/>
      </w:pPr>
      <w:r>
        <w:t xml:space="preserve">Aprenda verificações de temperatura, rotulagem e rotação de estoque.</w:t>
      </w:r>
    </w:p>
    <w:p>
      <w:pPr>
        <w:numPr>
          <w:ilvl w:val="0"/>
          <w:numId w:val="1017"/>
        </w:numPr>
        <w:pStyle w:val="Compact"/>
      </w:pPr>
      <w:r>
        <w:t xml:space="preserve">Melhore rotinas de limpeza e fechamento.</w:t>
      </w:r>
    </w:p>
    <w:bookmarkEnd w:id="48"/>
    <w:bookmarkStart w:id="49" w:name="semanas-56--aumente-a-consistência"/>
    <w:p>
      <w:pPr>
        <w:pStyle w:val="Heading3"/>
      </w:pPr>
      <w:r>
        <w:t xml:space="preserve">Semanas 5–6 — Aumente a consistência</w:t>
      </w:r>
    </w:p>
    <w:p>
      <w:pPr>
        <w:numPr>
          <w:ilvl w:val="0"/>
          <w:numId w:val="1018"/>
        </w:numPr>
        <w:pStyle w:val="Compact"/>
      </w:pPr>
      <w:r>
        <w:t xml:space="preserve">Foque em controle de porções e qualidade repetível.</w:t>
      </w:r>
    </w:p>
    <w:p>
      <w:pPr>
        <w:numPr>
          <w:ilvl w:val="0"/>
          <w:numId w:val="1018"/>
        </w:numPr>
        <w:pStyle w:val="Compact"/>
      </w:pPr>
      <w:r>
        <w:t xml:space="preserve">Pratique comunicação durante períodos movimentados.</w:t>
      </w:r>
    </w:p>
    <w:p>
      <w:pPr>
        <w:numPr>
          <w:ilvl w:val="0"/>
          <w:numId w:val="1018"/>
        </w:numPr>
        <w:pStyle w:val="Compact"/>
      </w:pPr>
      <w:r>
        <w:t xml:space="preserve">Aprenda a relatar desperdícios e faltas.</w:t>
      </w:r>
    </w:p>
    <w:bookmarkEnd w:id="49"/>
    <w:bookmarkStart w:id="50" w:name="semanas-78--faça-treinamento-cruzado"/>
    <w:p>
      <w:pPr>
        <w:pStyle w:val="Heading3"/>
      </w:pPr>
      <w:r>
        <w:t xml:space="preserve">Semanas 7–8 — Faça treinamento cruzado</w:t>
      </w:r>
    </w:p>
    <w:p>
      <w:pPr>
        <w:numPr>
          <w:ilvl w:val="0"/>
          <w:numId w:val="1019"/>
        </w:numPr>
        <w:pStyle w:val="Compact"/>
      </w:pPr>
      <w:r>
        <w:t xml:space="preserve">Aprenda uma segunda estação ou função de produção.</w:t>
      </w:r>
    </w:p>
    <w:p>
      <w:pPr>
        <w:numPr>
          <w:ilvl w:val="0"/>
          <w:numId w:val="1019"/>
        </w:numPr>
        <w:pStyle w:val="Compact"/>
      </w:pPr>
      <w:r>
        <w:t xml:space="preserve">Pratique tarefas de recebimento ou estoque dentro de sua autoridade.</w:t>
      </w:r>
    </w:p>
    <w:p>
      <w:pPr>
        <w:numPr>
          <w:ilvl w:val="0"/>
          <w:numId w:val="1019"/>
        </w:numPr>
        <w:pStyle w:val="Compact"/>
      </w:pPr>
      <w:r>
        <w:t xml:space="preserve">Aprenda como o planejamento de pré-preparo apoia o fluxo do serviço.</w:t>
      </w:r>
    </w:p>
    <w:bookmarkEnd w:id="50"/>
    <w:bookmarkStart w:id="51" w:name="semanas-910--construa-evidências"/>
    <w:p>
      <w:pPr>
        <w:pStyle w:val="Heading3"/>
      </w:pPr>
      <w:r>
        <w:t xml:space="preserve">Semanas 9–10 — Construa evidências</w:t>
      </w:r>
    </w:p>
    <w:p>
      <w:pPr>
        <w:numPr>
          <w:ilvl w:val="0"/>
          <w:numId w:val="1020"/>
        </w:numPr>
        <w:pStyle w:val="Compact"/>
      </w:pPr>
      <w:r>
        <w:t xml:space="preserve">Documente treinamentos concluídos.</w:t>
      </w:r>
    </w:p>
    <w:p>
      <w:pPr>
        <w:numPr>
          <w:ilvl w:val="0"/>
          <w:numId w:val="1020"/>
        </w:numPr>
        <w:pStyle w:val="Compact"/>
      </w:pPr>
      <w:r>
        <w:t xml:space="preserve">Registre melhorias em velocidade, desperdício, consistência, organização ou segurança sem divulgar informações confidenciais.</w:t>
      </w:r>
    </w:p>
    <w:bookmarkEnd w:id="51"/>
    <w:bookmarkStart w:id="52" w:name="semanas-1112--prepare-se-para-avançar"/>
    <w:p>
      <w:pPr>
        <w:pStyle w:val="Heading3"/>
      </w:pPr>
      <w:r>
        <w:t xml:space="preserve">Semanas 11–12 — Prepare-se para avançar</w:t>
      </w:r>
    </w:p>
    <w:p>
      <w:pPr>
        <w:numPr>
          <w:ilvl w:val="0"/>
          <w:numId w:val="1021"/>
        </w:numPr>
        <w:pStyle w:val="Compact"/>
      </w:pPr>
      <w:r>
        <w:t xml:space="preserve">Pergunte o que diferencia sua função atual de lead cook, chef de partie ou funções de supervisão.</w:t>
      </w:r>
    </w:p>
    <w:p>
      <w:pPr>
        <w:numPr>
          <w:ilvl w:val="0"/>
          <w:numId w:val="1021"/>
        </w:numPr>
        <w:pStyle w:val="Compact"/>
      </w:pPr>
      <w:r>
        <w:t xml:space="preserve">Identifique habilidades ou credenciais faltantes.</w:t>
      </w:r>
    </w:p>
    <w:p>
      <w:pPr>
        <w:numPr>
          <w:ilvl w:val="0"/>
          <w:numId w:val="1021"/>
        </w:numPr>
        <w:pStyle w:val="Compact"/>
      </w:pPr>
      <w:r>
        <w:t xml:space="preserve">Peça feedback e candidate-se a oportunidades adequadas do próximo nível.</w:t>
      </w:r>
    </w:p>
    <w:bookmarkEnd w:id="52"/>
    <w:bookmarkEnd w:id="53"/>
    <w:bookmarkStart w:id="54" w:name="ideias-para-desenvolver-experiência"/>
    <w:p>
      <w:pPr>
        <w:pStyle w:val="Heading2"/>
      </w:pPr>
      <w:r>
        <w:t xml:space="preserve">Ideias para desenvolver experiência</w:t>
      </w:r>
    </w:p>
    <w:p>
      <w:pPr>
        <w:pStyle w:val="FirstParagraph"/>
      </w:pPr>
      <w:r>
        <w:t xml:space="preserve">Experiência útil pode vir de:</w:t>
      </w:r>
    </w:p>
    <w:p>
      <w:pPr>
        <w:numPr>
          <w:ilvl w:val="0"/>
          <w:numId w:val="1022"/>
        </w:numPr>
        <w:pStyle w:val="Compact"/>
      </w:pPr>
      <w:r>
        <w:t xml:space="preserve">dominar uma estação;</w:t>
      </w:r>
    </w:p>
    <w:p>
      <w:pPr>
        <w:numPr>
          <w:ilvl w:val="0"/>
          <w:numId w:val="1022"/>
        </w:numPr>
        <w:pStyle w:val="Compact"/>
      </w:pPr>
      <w:r>
        <w:t xml:space="preserve">treinar um novo empregado em uma tarefa rotineira;</w:t>
      </w:r>
    </w:p>
    <w:p>
      <w:pPr>
        <w:numPr>
          <w:ilvl w:val="0"/>
          <w:numId w:val="1022"/>
        </w:numPr>
        <w:pStyle w:val="Compact"/>
      </w:pPr>
      <w:r>
        <w:t xml:space="preserve">melhorar uma lista de pré-preparo ou fechamento;</w:t>
      </w:r>
    </w:p>
    <w:p>
      <w:pPr>
        <w:numPr>
          <w:ilvl w:val="0"/>
          <w:numId w:val="1022"/>
        </w:numPr>
        <w:pStyle w:val="Compact"/>
      </w:pPr>
      <w:r>
        <w:t xml:space="preserve">reduzir desperdício ou erros de estoque;</w:t>
      </w:r>
    </w:p>
    <w:p>
      <w:pPr>
        <w:numPr>
          <w:ilvl w:val="0"/>
          <w:numId w:val="1022"/>
        </w:numPr>
        <w:pStyle w:val="Compact"/>
      </w:pPr>
      <w:r>
        <w:t xml:space="preserve">apoiar uma inspeção de segurança dos alimentos;</w:t>
      </w:r>
    </w:p>
    <w:p>
      <w:pPr>
        <w:numPr>
          <w:ilvl w:val="0"/>
          <w:numId w:val="1022"/>
        </w:numPr>
        <w:pStyle w:val="Compact"/>
      </w:pPr>
      <w:r>
        <w:t xml:space="preserve">participar do lançamento de um cardápio;</w:t>
      </w:r>
    </w:p>
    <w:p>
      <w:pPr>
        <w:numPr>
          <w:ilvl w:val="0"/>
          <w:numId w:val="1022"/>
        </w:numPr>
        <w:pStyle w:val="Compact"/>
      </w:pPr>
      <w:r>
        <w:t xml:space="preserve">melhorar rotulagem ou rotação de estoque;</w:t>
      </w:r>
    </w:p>
    <w:p>
      <w:pPr>
        <w:numPr>
          <w:ilvl w:val="0"/>
          <w:numId w:val="1022"/>
        </w:numPr>
        <w:pStyle w:val="Compact"/>
      </w:pPr>
      <w:r>
        <w:t xml:space="preserve">ajudar a implementar novo processo de POS, estoque ou pedidos.</w:t>
      </w:r>
    </w:p>
    <w:p>
      <w:pPr>
        <w:pStyle w:val="FirstParagraph"/>
      </w:pPr>
      <w:r>
        <w:t xml:space="preserve">Descreva a ação e o resultado sem revelar informações confidenciais do empregador.</w:t>
      </w:r>
    </w:p>
    <w:bookmarkEnd w:id="54"/>
    <w:bookmarkStart w:id="55" w:name="progressão-de-carreira"/>
    <w:p>
      <w:pPr>
        <w:pStyle w:val="Heading2"/>
      </w:pPr>
      <w:r>
        <w:t xml:space="preserve">Progressão de carreira</w:t>
      </w:r>
    </w:p>
    <w:p>
      <w:pPr>
        <w:pStyle w:val="FirstParagraph"/>
      </w:pPr>
      <w:r>
        <w:t xml:space="preserve">Caminhos possíveis incluem:</w:t>
      </w:r>
    </w:p>
    <w:p>
      <w:pPr>
        <w:numPr>
          <w:ilvl w:val="0"/>
          <w:numId w:val="1023"/>
        </w:numPr>
        <w:pStyle w:val="Compact"/>
      </w:pPr>
      <w:r>
        <w:t xml:space="preserve">trabalhador(a) de preparação de alimentos ou auxiliar de cozinha;</w:t>
      </w:r>
    </w:p>
    <w:p>
      <w:pPr>
        <w:numPr>
          <w:ilvl w:val="0"/>
          <w:numId w:val="1023"/>
        </w:numPr>
        <w:pStyle w:val="Compact"/>
      </w:pPr>
      <w:r>
        <w:t xml:space="preserve">prep cook;</w:t>
      </w:r>
    </w:p>
    <w:p>
      <w:pPr>
        <w:numPr>
          <w:ilvl w:val="0"/>
          <w:numId w:val="1023"/>
        </w:numPr>
        <w:pStyle w:val="Compact"/>
      </w:pPr>
      <w:r>
        <w:t xml:space="preserve">line cook;</w:t>
      </w:r>
    </w:p>
    <w:p>
      <w:pPr>
        <w:numPr>
          <w:ilvl w:val="0"/>
          <w:numId w:val="1023"/>
        </w:numPr>
        <w:pStyle w:val="Compact"/>
      </w:pPr>
      <w:r>
        <w:t xml:space="preserve">cozinheiro(a) de restaurante;</w:t>
      </w:r>
    </w:p>
    <w:p>
      <w:pPr>
        <w:numPr>
          <w:ilvl w:val="0"/>
          <w:numId w:val="1023"/>
        </w:numPr>
        <w:pStyle w:val="Compact"/>
      </w:pPr>
      <w:r>
        <w:t xml:space="preserve">cozinheiro(a) de produção ou institucional;</w:t>
      </w:r>
    </w:p>
    <w:p>
      <w:pPr>
        <w:numPr>
          <w:ilvl w:val="0"/>
          <w:numId w:val="1023"/>
        </w:numPr>
        <w:pStyle w:val="Compact"/>
      </w:pPr>
      <w:r>
        <w:t xml:space="preserve">lead cook ou chef de partie;</w:t>
      </w:r>
    </w:p>
    <w:p>
      <w:pPr>
        <w:numPr>
          <w:ilvl w:val="0"/>
          <w:numId w:val="1023"/>
        </w:numPr>
        <w:pStyle w:val="Compact"/>
      </w:pPr>
      <w:r>
        <w:t xml:space="preserve">sous chef;</w:t>
      </w:r>
    </w:p>
    <w:p>
      <w:pPr>
        <w:numPr>
          <w:ilvl w:val="0"/>
          <w:numId w:val="1023"/>
        </w:numPr>
        <w:pStyle w:val="Compact"/>
      </w:pPr>
      <w:r>
        <w:t xml:space="preserve">chef ou chefe de cozinha;</w:t>
      </w:r>
    </w:p>
    <w:p>
      <w:pPr>
        <w:numPr>
          <w:ilvl w:val="0"/>
          <w:numId w:val="1023"/>
        </w:numPr>
        <w:pStyle w:val="Compact"/>
      </w:pPr>
      <w:r>
        <w:t xml:space="preserve">supervisor(a) de cozinha ou funções de gestão de serviços de alimentação quando qualificações e autoridade sustentarem a mudança.</w:t>
      </w:r>
    </w:p>
    <w:p>
      <w:pPr>
        <w:pStyle w:val="FirstParagraph"/>
      </w:pPr>
      <w:r>
        <w:t xml:space="preserve">A progressão não é automática e os títulos variam amplamente por empregador.</w:t>
      </w:r>
    </w:p>
    <w:bookmarkEnd w:id="55"/>
    <w:bookmarkStart w:id="56" w:name="Xaefeec02e889c51686bbbe2b92fce9462318e5c"/>
    <w:p>
      <w:pPr>
        <w:pStyle w:val="Heading2"/>
      </w:pPr>
      <w:r>
        <w:t xml:space="preserve">Antes de aceitar emprego ou programa de treinamento</w:t>
      </w:r>
    </w:p>
    <w:p>
      <w:pPr>
        <w:pStyle w:val="FirstParagraph"/>
      </w:pPr>
      <w:r>
        <w:t xml:space="preserve">Verifique:</w:t>
      </w:r>
    </w:p>
    <w:p>
      <w:pPr>
        <w:numPr>
          <w:ilvl w:val="0"/>
          <w:numId w:val="1024"/>
        </w:numPr>
        <w:pStyle w:val="Compact"/>
      </w:pPr>
      <w:r>
        <w:t xml:space="preserve">se a função é horista ou assalariada;</w:t>
      </w:r>
    </w:p>
    <w:p>
      <w:pPr>
        <w:numPr>
          <w:ilvl w:val="0"/>
          <w:numId w:val="1024"/>
        </w:numPr>
        <w:pStyle w:val="Compact"/>
      </w:pPr>
      <w:r>
        <w:t xml:space="preserve">horas semanais esperadas e regras de horas extras;</w:t>
      </w:r>
    </w:p>
    <w:p>
      <w:pPr>
        <w:numPr>
          <w:ilvl w:val="0"/>
          <w:numId w:val="1024"/>
        </w:numPr>
        <w:pStyle w:val="Compact"/>
      </w:pPr>
      <w:r>
        <w:t xml:space="preserve">expectativas de noites, fins de semana, feriados e turnos divididos;</w:t>
      </w:r>
    </w:p>
    <w:p>
      <w:pPr>
        <w:numPr>
          <w:ilvl w:val="0"/>
          <w:numId w:val="1024"/>
        </w:numPr>
        <w:pStyle w:val="Compact"/>
      </w:pPr>
      <w:r>
        <w:t xml:space="preserve">requisitos de credenciais de segurança dos alimentos;</w:t>
      </w:r>
    </w:p>
    <w:p>
      <w:pPr>
        <w:numPr>
          <w:ilvl w:val="0"/>
          <w:numId w:val="1024"/>
        </w:numPr>
        <w:pStyle w:val="Compact"/>
      </w:pPr>
      <w:r>
        <w:t xml:space="preserve">se custos de treinamento e exame são pagos pelo empregador;</w:t>
      </w:r>
    </w:p>
    <w:p>
      <w:pPr>
        <w:numPr>
          <w:ilvl w:val="0"/>
          <w:numId w:val="1024"/>
        </w:numPr>
        <w:pStyle w:val="Compact"/>
      </w:pPr>
      <w:r>
        <w:t xml:space="preserve">requisitos físicos;</w:t>
      </w:r>
    </w:p>
    <w:p>
      <w:pPr>
        <w:numPr>
          <w:ilvl w:val="0"/>
          <w:numId w:val="1024"/>
        </w:numPr>
        <w:pStyle w:val="Compact"/>
      </w:pPr>
      <w:r>
        <w:t xml:space="preserve">requisitos de ferramentas, uniforme, facas ou calçados;</w:t>
      </w:r>
    </w:p>
    <w:p>
      <w:pPr>
        <w:numPr>
          <w:ilvl w:val="0"/>
          <w:numId w:val="1024"/>
        </w:numPr>
        <w:pStyle w:val="Compact"/>
      </w:pPr>
      <w:r>
        <w:t xml:space="preserve">se o tempo de treinamento é remunerado;</w:t>
      </w:r>
    </w:p>
    <w:p>
      <w:pPr>
        <w:numPr>
          <w:ilvl w:val="0"/>
          <w:numId w:val="1024"/>
        </w:numPr>
        <w:pStyle w:val="Compact"/>
      </w:pPr>
      <w:r>
        <w:t xml:space="preserve">critérios de aprendizagem ou promoção;</w:t>
      </w:r>
    </w:p>
    <w:p>
      <w:pPr>
        <w:numPr>
          <w:ilvl w:val="0"/>
          <w:numId w:val="1024"/>
        </w:numPr>
        <w:pStyle w:val="Compact"/>
      </w:pPr>
      <w:r>
        <w:t xml:space="preserve">acesso a sistemas de escala, POS, pagamentos ou estoque;</w:t>
      </w:r>
    </w:p>
    <w:p>
      <w:pPr>
        <w:numPr>
          <w:ilvl w:val="0"/>
          <w:numId w:val="1024"/>
        </w:numPr>
        <w:pStyle w:val="Compact"/>
      </w:pPr>
      <w:r>
        <w:t xml:space="preserve">processo de adaptação;</w:t>
      </w:r>
    </w:p>
    <w:p>
      <w:pPr>
        <w:numPr>
          <w:ilvl w:val="0"/>
          <w:numId w:val="1024"/>
        </w:numPr>
        <w:pStyle w:val="Compact"/>
      </w:pPr>
      <w:r>
        <w:t xml:space="preserve">custo total da escola ou programa e se a credencial melhora o acesso ao emprego-alvo.</w:t>
      </w:r>
    </w:p>
    <w:bookmarkEnd w:id="56"/>
    <w:bookmarkStart w:id="74" w:name="lista-de-fontes-controladas"/>
    <w:p>
      <w:pPr>
        <w:pStyle w:val="Heading2"/>
      </w:pPr>
      <w:r>
        <w:t xml:space="preserve">Lista de fontes controladas</w:t>
      </w:r>
    </w:p>
    <w:p>
      <w:pPr>
        <w:numPr>
          <w:ilvl w:val="0"/>
          <w:numId w:val="1025"/>
        </w:numPr>
        <w:pStyle w:val="Compact"/>
      </w:pPr>
      <w:hyperlink r:id="rId57">
        <w:hyperlink r:id="rId57">
          <w:r>
            <w:rPr>
              <w:rStyle w:val="Hyperlink"/>
            </w:rPr>
            <w:t xml:space="preserve">Source link</w:t>
          </w:r>
        </w:hyperlink>
      </w:hyperlink>
    </w:p>
    <w:p>
      <w:pPr>
        <w:numPr>
          <w:ilvl w:val="0"/>
          <w:numId w:val="1025"/>
        </w:numPr>
        <w:pStyle w:val="Compact"/>
      </w:pPr>
      <w:hyperlink r:id="rId58">
        <w:hyperlink r:id="rId58">
          <w:r>
            <w:rPr>
              <w:rStyle w:val="Hyperlink"/>
            </w:rPr>
            <w:t xml:space="preserve">Source link</w:t>
          </w:r>
        </w:hyperlink>
      </w:hyperlink>
    </w:p>
    <w:p>
      <w:pPr>
        <w:numPr>
          <w:ilvl w:val="0"/>
          <w:numId w:val="1025"/>
        </w:numPr>
        <w:pStyle w:val="Compact"/>
      </w:pPr>
      <w:hyperlink r:id="rId59">
        <w:hyperlink r:id="rId59">
          <w:r>
            <w:rPr>
              <w:rStyle w:val="Hyperlink"/>
            </w:rPr>
            <w:t xml:space="preserve">Source link</w:t>
          </w:r>
        </w:hyperlink>
      </w:hyperlink>
    </w:p>
    <w:p>
      <w:pPr>
        <w:numPr>
          <w:ilvl w:val="0"/>
          <w:numId w:val="1025"/>
        </w:numPr>
        <w:pStyle w:val="Compact"/>
      </w:pPr>
      <w:hyperlink r:id="rId60">
        <w:hyperlink r:id="rId60">
          <w:r>
            <w:rPr>
              <w:rStyle w:val="Hyperlink"/>
            </w:rPr>
            <w:t xml:space="preserve">Source link</w:t>
          </w:r>
        </w:hyperlink>
      </w:hyperlink>
    </w:p>
    <w:p>
      <w:pPr>
        <w:numPr>
          <w:ilvl w:val="0"/>
          <w:numId w:val="1025"/>
        </w:numPr>
        <w:pStyle w:val="Compact"/>
      </w:pPr>
      <w:hyperlink r:id="rId61">
        <w:hyperlink r:id="rId61">
          <w:r>
            <w:rPr>
              <w:rStyle w:val="Hyperlink"/>
            </w:rPr>
            <w:t xml:space="preserve">Source link</w:t>
          </w:r>
        </w:hyperlink>
      </w:hyperlink>
    </w:p>
    <w:p>
      <w:pPr>
        <w:numPr>
          <w:ilvl w:val="0"/>
          <w:numId w:val="1025"/>
        </w:numPr>
        <w:pStyle w:val="Compact"/>
      </w:pPr>
      <w:hyperlink r:id="rId62">
        <w:hyperlink r:id="rId62">
          <w:r>
            <w:rPr>
              <w:rStyle w:val="Hyperlink"/>
            </w:rPr>
            <w:t xml:space="preserve">Source link</w:t>
          </w:r>
        </w:hyperlink>
      </w:hyperlink>
    </w:p>
    <w:p>
      <w:pPr>
        <w:numPr>
          <w:ilvl w:val="0"/>
          <w:numId w:val="1025"/>
        </w:numPr>
        <w:pStyle w:val="Compact"/>
      </w:pPr>
      <w:hyperlink r:id="rId63">
        <w:hyperlink r:id="rId63">
          <w:r>
            <w:rPr>
              <w:rStyle w:val="Hyperlink"/>
            </w:rPr>
            <w:t xml:space="preserve">Source link</w:t>
          </w:r>
        </w:hyperlink>
      </w:hyperlink>
    </w:p>
    <w:p>
      <w:pPr>
        <w:numPr>
          <w:ilvl w:val="0"/>
          <w:numId w:val="1025"/>
        </w:numPr>
        <w:pStyle w:val="Compact"/>
      </w:pPr>
      <w:hyperlink r:id="rId64">
        <w:hyperlink r:id="rId64">
          <w:r>
            <w:rPr>
              <w:rStyle w:val="Hyperlink"/>
            </w:rPr>
            <w:t xml:space="preserve">Source link</w:t>
          </w:r>
        </w:hyperlink>
      </w:hyperlink>
    </w:p>
    <w:p>
      <w:pPr>
        <w:numPr>
          <w:ilvl w:val="0"/>
          <w:numId w:val="1025"/>
        </w:numPr>
        <w:pStyle w:val="Compact"/>
      </w:pPr>
      <w:hyperlink r:id="rId65">
        <w:hyperlink r:id="rId65">
          <w:r>
            <w:rPr>
              <w:rStyle w:val="Hyperlink"/>
            </w:rPr>
            <w:t xml:space="preserve">Source link</w:t>
          </w:r>
        </w:hyperlink>
      </w:hyperlink>
    </w:p>
    <w:p>
      <w:pPr>
        <w:numPr>
          <w:ilvl w:val="0"/>
          <w:numId w:val="1025"/>
        </w:numPr>
        <w:pStyle w:val="Compact"/>
      </w:pPr>
      <w:hyperlink r:id="rId66">
        <w:hyperlink r:id="rId66">
          <w:r>
            <w:rPr>
              <w:rStyle w:val="Hyperlink"/>
            </w:rPr>
            <w:t xml:space="preserve">Source link</w:t>
          </w:r>
        </w:hyperlink>
      </w:hyperlink>
    </w:p>
    <w:p>
      <w:pPr>
        <w:numPr>
          <w:ilvl w:val="0"/>
          <w:numId w:val="1025"/>
        </w:numPr>
        <w:pStyle w:val="Compact"/>
      </w:pPr>
      <w:hyperlink r:id="rId67">
        <w:hyperlink r:id="rId67">
          <w:r>
            <w:rPr>
              <w:rStyle w:val="Hyperlink"/>
            </w:rPr>
            <w:t xml:space="preserve">Source link</w:t>
          </w:r>
        </w:hyperlink>
      </w:hyperlink>
    </w:p>
    <w:p>
      <w:pPr>
        <w:numPr>
          <w:ilvl w:val="0"/>
          <w:numId w:val="1025"/>
        </w:numPr>
        <w:pStyle w:val="Compact"/>
      </w:pPr>
      <w:hyperlink r:id="rId68">
        <w:hyperlink r:id="rId68">
          <w:r>
            <w:rPr>
              <w:rStyle w:val="Hyperlink"/>
            </w:rPr>
            <w:t xml:space="preserve">Source link</w:t>
          </w:r>
        </w:hyperlink>
      </w:hyperlink>
    </w:p>
    <w:p>
      <w:pPr>
        <w:numPr>
          <w:ilvl w:val="0"/>
          <w:numId w:val="1025"/>
        </w:numPr>
        <w:pStyle w:val="Compact"/>
      </w:pPr>
      <w:hyperlink r:id="rId69">
        <w:hyperlink r:id="rId69">
          <w:r>
            <w:rPr>
              <w:rStyle w:val="Hyperlink"/>
            </w:rPr>
            <w:t xml:space="preserve">Source link</w:t>
          </w:r>
        </w:hyperlink>
      </w:hyperlink>
    </w:p>
    <w:p>
      <w:pPr>
        <w:numPr>
          <w:ilvl w:val="0"/>
          <w:numId w:val="1025"/>
        </w:numPr>
        <w:pStyle w:val="Compact"/>
      </w:pPr>
      <w:hyperlink r:id="rId70">
        <w:hyperlink r:id="rId70">
          <w:r>
            <w:rPr>
              <w:rStyle w:val="Hyperlink"/>
            </w:rPr>
            <w:t xml:space="preserve">Source link</w:t>
          </w:r>
        </w:hyperlink>
      </w:hyperlink>
    </w:p>
    <w:p>
      <w:pPr>
        <w:numPr>
          <w:ilvl w:val="0"/>
          <w:numId w:val="1025"/>
        </w:numPr>
        <w:pStyle w:val="Compact"/>
      </w:pPr>
      <w:hyperlink r:id="rId71">
        <w:hyperlink r:id="rId71">
          <w:r>
            <w:rPr>
              <w:rStyle w:val="Hyperlink"/>
            </w:rPr>
            <w:t xml:space="preserve">Source link</w:t>
          </w:r>
        </w:hyperlink>
      </w:hyperlink>
    </w:p>
    <w:p>
      <w:pPr>
        <w:numPr>
          <w:ilvl w:val="0"/>
          <w:numId w:val="1025"/>
        </w:numPr>
        <w:pStyle w:val="Compact"/>
      </w:pPr>
      <w:hyperlink r:id="rId72">
        <w:hyperlink r:id="rId72">
          <w:r>
            <w:rPr>
              <w:rStyle w:val="Hyperlink"/>
            </w:rPr>
            <w:t xml:space="preserve">Source link</w:t>
          </w:r>
        </w:hyperlink>
      </w:hyperlink>
    </w:p>
    <w:p>
      <w:pPr>
        <w:numPr>
          <w:ilvl w:val="0"/>
          <w:numId w:val="1025"/>
        </w:numPr>
        <w:pStyle w:val="Compact"/>
      </w:pPr>
      <w:hyperlink r:id="rId73">
        <w:hyperlink r:id="rId73">
          <w:r>
            <w:rPr>
              <w:rStyle w:val="Hyperlink"/>
            </w:rPr>
            <w:t xml:space="preserve">Source link</w:t>
          </w:r>
        </w:hyperlink>
      </w:hyperlink>
    </w:p>
    <w:bookmarkEnd w:id="74"/>
    <w:bookmarkStart w:id="75" w:name="aviso-importante"/>
    <w:p>
      <w:pPr>
        <w:pStyle w:val="Heading2"/>
      </w:pPr>
      <w:r>
        <w:t xml:space="preserve">Aviso importante</w:t>
      </w:r>
    </w:p>
    <w:p>
      <w:pPr>
        <w:pStyle w:val="FirstParagraph"/>
      </w:pPr>
      <w:r>
        <w:t xml:space="preserve">Este guia fornece informações gerais educacionais e de planejamento de carreira. Não garante emprego, rendimentos, admissão, financiamento, certificação, licenciamento, promoção, colocação em aprendizagem ou qualquer outro resultado. Os requisitos variam por jurisdição, empregador, tipo de estabelecimento e período. Sempre verifique requisitos atuais com o empregador e a autoridade governamental relevante.</w:t>
      </w:r>
    </w:p>
    <w:bookmarkEnd w:id="75"/>
    <w:bookmarkStart w:id="76" w:name="limite-de-garantia"/>
    <w:p>
      <w:pPr>
        <w:pStyle w:val="Heading2"/>
      </w:pPr>
      <w:r>
        <w:t xml:space="preserve">Limite de garantia</w:t>
      </w:r>
    </w:p>
    <w:p>
      <w:pPr>
        <w:pStyle w:val="FirstParagraph"/>
      </w:pPr>
      <w:r>
        <w:t xml:space="preserve">Este mestre de trabalho da Versão 2 foi desenvolvido por meio de pesquisa e revisão editorial internas assistidas por sistemas automáticos. Não constitui certificação humana independente, certificação culinária profissional, certificação profissional de segurança dos alimentos, certificação profissional de tradução, revisão jurídica, certificação de acessibilidade, acreditação, aconselhamento de licenciamento, aprovação regulatória ou garantia de emprego ou rendimentos.</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0" Target="https://betowa.sena.edu.co/oferta/cocina-basica-nivel-1?modality=P&amp;programId=14074" TargetMode="External" /><Relationship Type="http://schemas.openxmlformats.org/officeDocument/2006/relationships/hyperlink" Id="rId69" Target="https://betowa.sena.edu.co/oferta/cocina?location=57011001&amp;modality=P&amp;programId=76525" TargetMode="External" /><Relationship Type="http://schemas.openxmlformats.org/officeDocument/2006/relationships/hyperlink" Id="rId61" Target="https://www.bls.gov/ooh/food-preparation-and-serving/cooks.htm" TargetMode="External" /><Relationship Type="http://schemas.openxmlformats.org/officeDocument/2006/relationships/hyperlink" Id="rId72" Target="https://www.careeronestop.org/FindTraining/find-training.aspx" TargetMode="External" /><Relationship Type="http://schemas.openxmlformats.org/officeDocument/2006/relationships/hyperlink" Id="rId71" Target="https://www.careeronestop.org/LocalHelp/EmploymentAndTraining/find-WIOA-training-programs.aspx" TargetMode="External" /><Relationship Type="http://schemas.openxmlformats.org/officeDocument/2006/relationships/hyperlink" Id="rId64" Target="https://www.fda.gov/food/fda-food-code/food-code-2022" TargetMode="External" /><Relationship Type="http://schemas.openxmlformats.org/officeDocument/2006/relationships/hyperlink" Id="rId65" Target="https://www.fda.gov/food/hfp-constituent-updates/fda-releases-supplement-2022-food-code" TargetMode="External" /><Relationship Type="http://schemas.openxmlformats.org/officeDocument/2006/relationships/hyperlink" Id="rId63" Target="https://www.fda.gov/food/retail-food-protection/fda-food-code" TargetMode="External" /><Relationship Type="http://schemas.openxmlformats.org/officeDocument/2006/relationships/hyperlink" Id="rId73" Target="https://www.ilo.org/es/centro-interamericano-para-el-desarrollo-del-conocimiento-en-la-formacion" TargetMode="External" /><Relationship Type="http://schemas.openxmlformats.org/officeDocument/2006/relationships/hyperlink" Id="rId68" Target="https://www.jobbank.gc.ca/marketreport/requirements/6229/ca" TargetMode="External" /><Relationship Type="http://schemas.openxmlformats.org/officeDocument/2006/relationships/hyperlink" Id="rId66" Target="https://www.jobbank.gc.ca/marketreport/summary-occupation/6224/ca" TargetMode="External" /><Relationship Type="http://schemas.openxmlformats.org/officeDocument/2006/relationships/hyperlink" Id="rId67" Target="https://www.jobbank.gc.ca/wagereport/occupation/6224" TargetMode="External" /><Relationship Type="http://schemas.openxmlformats.org/officeDocument/2006/relationships/hyperlink" Id="rId58" Target="https://www.onetonline.org/link/details/35-2014.00" TargetMode="External" /><Relationship Type="http://schemas.openxmlformats.org/officeDocument/2006/relationships/hyperlink" Id="rId59" Target="https://www.onetonline.org/link/localwages/35-2014.00" TargetMode="External" /><Relationship Type="http://schemas.openxmlformats.org/officeDocument/2006/relationships/hyperlink" Id="rId60" Target="https://www.onetonline.org/link/result/35-2014.00?c=we" TargetMode="External" /><Relationship Type="http://schemas.openxmlformats.org/officeDocument/2006/relationships/hyperlink" Id="rId57" Target="https://www.onetonline.org/link/summary/35-2014.00" TargetMode="External" /><Relationship Type="http://schemas.openxmlformats.org/officeDocument/2006/relationships/hyperlink" Id="rId62" Target="https://www.ziprecruiter.com/Salaries/Cook-Salary" TargetMode="External" /></Relationships>
</file>

<file path=word/_rels/footnotes.xml.rels><?xml version="1.0" encoding="UTF-8"?><Relationships xmlns="http://schemas.openxmlformats.org/package/2006/relationships"><Relationship Type="http://schemas.openxmlformats.org/officeDocument/2006/relationships/hyperlink" Id="rId70" Target="https://betowa.sena.edu.co/oferta/cocina-basica-nivel-1?modality=P&amp;programId=14074" TargetMode="External" /><Relationship Type="http://schemas.openxmlformats.org/officeDocument/2006/relationships/hyperlink" Id="rId69" Target="https://betowa.sena.edu.co/oferta/cocina?location=57011001&amp;modality=P&amp;programId=76525" TargetMode="External" /><Relationship Type="http://schemas.openxmlformats.org/officeDocument/2006/relationships/hyperlink" Id="rId61" Target="https://www.bls.gov/ooh/food-preparation-and-serving/cooks.htm" TargetMode="External" /><Relationship Type="http://schemas.openxmlformats.org/officeDocument/2006/relationships/hyperlink" Id="rId72" Target="https://www.careeronestop.org/FindTraining/find-training.aspx" TargetMode="External" /><Relationship Type="http://schemas.openxmlformats.org/officeDocument/2006/relationships/hyperlink" Id="rId71" Target="https://www.careeronestop.org/LocalHelp/EmploymentAndTraining/find-WIOA-training-programs.aspx" TargetMode="External" /><Relationship Type="http://schemas.openxmlformats.org/officeDocument/2006/relationships/hyperlink" Id="rId64" Target="https://www.fda.gov/food/fda-food-code/food-code-2022" TargetMode="External" /><Relationship Type="http://schemas.openxmlformats.org/officeDocument/2006/relationships/hyperlink" Id="rId65" Target="https://www.fda.gov/food/hfp-constituent-updates/fda-releases-supplement-2022-food-code" TargetMode="External" /><Relationship Type="http://schemas.openxmlformats.org/officeDocument/2006/relationships/hyperlink" Id="rId63" Target="https://www.fda.gov/food/retail-food-protection/fda-food-code" TargetMode="External" /><Relationship Type="http://schemas.openxmlformats.org/officeDocument/2006/relationships/hyperlink" Id="rId73" Target="https://www.ilo.org/es/centro-interamericano-para-el-desarrollo-del-conocimiento-en-la-formacion" TargetMode="External" /><Relationship Type="http://schemas.openxmlformats.org/officeDocument/2006/relationships/hyperlink" Id="rId68" Target="https://www.jobbank.gc.ca/marketreport/requirements/6229/ca" TargetMode="External" /><Relationship Type="http://schemas.openxmlformats.org/officeDocument/2006/relationships/hyperlink" Id="rId66" Target="https://www.jobbank.gc.ca/marketreport/summary-occupation/6224/ca" TargetMode="External" /><Relationship Type="http://schemas.openxmlformats.org/officeDocument/2006/relationships/hyperlink" Id="rId67" Target="https://www.jobbank.gc.ca/wagereport/occupation/6224" TargetMode="External" /><Relationship Type="http://schemas.openxmlformats.org/officeDocument/2006/relationships/hyperlink" Id="rId58" Target="https://www.onetonline.org/link/details/35-2014.00" TargetMode="External" /><Relationship Type="http://schemas.openxmlformats.org/officeDocument/2006/relationships/hyperlink" Id="rId59" Target="https://www.onetonline.org/link/localwages/35-2014.00" TargetMode="External" /><Relationship Type="http://schemas.openxmlformats.org/officeDocument/2006/relationships/hyperlink" Id="rId60" Target="https://www.onetonline.org/link/result/35-2014.00?c=we" TargetMode="External" /><Relationship Type="http://schemas.openxmlformats.org/officeDocument/2006/relationships/hyperlink" Id="rId57" Target="https://www.onetonline.org/link/summary/35-2014.00" TargetMode="External" /><Relationship Type="http://schemas.openxmlformats.org/officeDocument/2006/relationships/hyperlink" Id="rId62" Target="https://www.ziprecruiter.com/Salaries/Cook-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2026-08-21T04:02:31Z</dcterms:created>
  <dcterms:modified xsi:type="dcterms:W3CDTF">2026-08-21T04:02:31Z</dcterms:modified>
</cp:coreProperties>
</file>

<file path=docProps/custom.xml><?xml version="1.0" encoding="utf-8"?>
<Properties xmlns="http://schemas.openxmlformats.org/officeDocument/2006/custom-properties" xmlns:vt="http://schemas.openxmlformats.org/officeDocument/2006/docPropsVTypes"/>
</file>