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d52122361db27189deeecd72da1e954cd06dda5"/>
    <w:p>
      <w:pPr>
        <w:pStyle w:val="Heading1"/>
      </w:pPr>
      <w:r>
        <w:t xml:space="preserve">Guia de Oportunidades ao Longo da Vida 68 — Padeiro e Trabalhador de Produção de Confeitaria</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Referência ocupacional:</w:t>
      </w:r>
      <w:r>
        <w:t xml:space="preserve"> </w:t>
      </w:r>
      <w:r>
        <w:t xml:space="preserve">O*NET-SOC 51-3011.00 — Bakers</w:t>
      </w:r>
      <w:r>
        <w:br/>
      </w:r>
      <w:r>
        <w:rPr>
          <w:bCs/>
          <w:b/>
        </w:rPr>
        <w:t xml:space="preserve">Comparação com o Canadá:</w:t>
      </w:r>
      <w:r>
        <w:t xml:space="preserve"> </w:t>
      </w:r>
      <w:r>
        <w:t xml:space="preserve">NOC 63202 — Bakers</w:t>
      </w:r>
      <w:r>
        <w:br/>
      </w:r>
      <w:r>
        <w:rPr>
          <w:bCs/>
          <w:b/>
        </w:rPr>
        <w:t xml:space="preserve">Data da revisão:</w:t>
      </w:r>
      <w:r>
        <w:t xml:space="preserve"> </w:t>
      </w:r>
      <w:r>
        <w:t xml:space="preserve">2026-08-21</w:t>
      </w:r>
    </w:p>
    <w:bookmarkStart w:id="20" w:name="o-que-é-esta-carreira"/>
    <w:p>
      <w:pPr>
        <w:pStyle w:val="Heading2"/>
      </w:pPr>
      <w:r>
        <w:t xml:space="preserve">O que é esta carreira</w:t>
      </w:r>
    </w:p>
    <w:p>
      <w:pPr>
        <w:pStyle w:val="FirstParagraph"/>
      </w:pPr>
      <w:r>
        <w:t xml:space="preserve">Padeiros e trabalhadores de produção de confeitaria preparam pães, pãezinhos, biscoitos, bolos, tortas, doces, produtos de confeitaria e outros produtos assados. O trabalho pode ocorrer em padarias de varejo, supermercados, restaurantes, hotéis, hospitais, cozinhas institucionais, operações de catering, padarias atacadistas e fábricas de alimentos.</w:t>
      </w:r>
    </w:p>
    <w:p>
      <w:pPr>
        <w:pStyle w:val="BodyText"/>
      </w:pPr>
      <w:r>
        <w:t xml:space="preserve">O título legado</w:t>
      </w:r>
      <w:r>
        <w:t xml:space="preserve"> </w:t>
      </w:r>
      <w:r>
        <w:rPr>
          <w:bCs/>
          <w:b/>
        </w:rPr>
        <w:t xml:space="preserve">Baker and Pastry Production Worker</w:t>
      </w:r>
      <w:r>
        <w:t xml:space="preserve"> </w:t>
      </w:r>
      <w:r>
        <w:t xml:space="preserve">é propositalmente amplo. Um padeiro pode trabalhar com fórmulas ou receitas, pesar ingredientes, misturar e modelar massas, preparar recheios ou coberturas, operar fornos e misturadores, decorar produtos, inspecionar qualidade, limpar equipamentos, fazer rotação de ingredientes e manter registros de produção. Um trabalhador de produção pode se concentrar em uma etapa de um processo de maior volume. Um especialista em confeitaria pode executar acabamentos mais detalhados ou atuar no desenvolvimento de produtos.</w:t>
      </w:r>
    </w:p>
    <w:p>
      <w:pPr>
        <w:pStyle w:val="BodyText"/>
      </w:pPr>
      <w:r>
        <w:t xml:space="preserve">O título</w:t>
      </w:r>
      <w:r>
        <w:t xml:space="preserve"> </w:t>
      </w:r>
      <w:r>
        <w:rPr>
          <w:bCs/>
          <w:b/>
        </w:rPr>
        <w:t xml:space="preserve">não</w:t>
      </w:r>
      <w:r>
        <w:t xml:space="preserve"> </w:t>
      </w:r>
      <w:r>
        <w:t xml:space="preserve">significa automaticamente confeiteiro-chefe, chef executivo, gerente de padaria, gerente de serviços de alimentação, nutricionista, cientista de alimentos ou outra função de maior autoridade ou regulamentada. Os empregadores definem as atribuições de maneiras diferentes.</w:t>
      </w:r>
    </w:p>
    <w:p>
      <w:pPr>
        <w:pStyle w:val="BodyText"/>
      </w:pPr>
      <w:r>
        <w:t xml:space="preserve">Este guia usa</w:t>
      </w:r>
      <w:r>
        <w:t xml:space="preserve"> </w:t>
      </w:r>
      <w:r>
        <w:rPr>
          <w:bCs/>
          <w:b/>
        </w:rPr>
        <w:t xml:space="preserve">O*NET-SOC 51-3011.00 — Bakers</w:t>
      </w:r>
      <w:r>
        <w:t xml:space="preserve"> </w:t>
      </w:r>
      <w:r>
        <w:t xml:space="preserve">como principal referência ocupacional dos Estados Unidos.</w:t>
      </w:r>
    </w:p>
    <w:bookmarkEnd w:id="20"/>
    <w:bookmarkStart w:id="21" w:name="X2c05fbae5babdb3d1dd0f664c780b0c474b0096"/>
    <w:p>
      <w:pPr>
        <w:pStyle w:val="Heading2"/>
      </w:pPr>
      <w:r>
        <w:t xml:space="preserve">Por que esta função pode ser uma oportunidade</w:t>
      </w:r>
    </w:p>
    <w:p>
      <w:pPr>
        <w:pStyle w:val="FirstParagraph"/>
      </w:pPr>
      <w:r>
        <w:t xml:space="preserve">A panificação combina habilidades práticas de produção, medição, controle de tempo, controle de qualidade, criatividade, repetição e trabalho em equipe. Pode ser uma porta de entrada para pessoas que aprendem fazendo e também pode levar à produção especializada de pães, confeitaria, decoração de bolos, produção comercial, supervisão, empreendedorismo, educação culinária ou operações de serviços de alimentação.</w:t>
      </w:r>
    </w:p>
    <w:p>
      <w:pPr>
        <w:pStyle w:val="BodyText"/>
      </w:pPr>
      <w:r>
        <w:t xml:space="preserve">Muitos empregadores treinam os trabalhadores no próprio emprego. Uma escola culinária formal não é o único caminho. Programas públicos de formação profissional, aprendizagem, treinamento oferecido pelo empregador, cursos de curta duração e programas técnicos ou de community college cuidadosamente escolhidos podem ser alternativas de menor custo.</w:t>
      </w:r>
    </w:p>
    <w:p>
      <w:pPr>
        <w:pStyle w:val="BodyText"/>
      </w:pPr>
      <w:r>
        <w:t xml:space="preserve">O trabalho é físico e sensível a prazos. Padeiros podem começar muito cedo, trabalhar durante a noite, permanecer em pé por longos períodos, levantar ingredientes ou bandejas, trabalhar perto de calor e máquinas e repetir os mesmos movimentos muitas vezes. Assiduidade, disciplina de higienização, atenção às medidas e consistência da qualidade do produto são importantes.</w:t>
      </w:r>
    </w:p>
    <w:bookmarkEnd w:id="21"/>
    <w:bookmarkStart w:id="22" w:name="responsabilidades-típicas"/>
    <w:p>
      <w:pPr>
        <w:pStyle w:val="Heading2"/>
      </w:pPr>
      <w:r>
        <w:t xml:space="preserve">Responsabilidades típicas</w:t>
      </w:r>
    </w:p>
    <w:p>
      <w:pPr>
        <w:pStyle w:val="FirstParagraph"/>
      </w:pPr>
      <w:r>
        <w:t xml:space="preserve">Dependendo do empregador e do nível de responsabilidade, um padeiro ou trabalhador de produção de confeitaria pode:</w:t>
      </w:r>
    </w:p>
    <w:p>
      <w:pPr>
        <w:numPr>
          <w:ilvl w:val="0"/>
          <w:numId w:val="1001"/>
        </w:numPr>
        <w:pStyle w:val="Compact"/>
      </w:pPr>
      <w:r>
        <w:t xml:space="preserve">revisar cronogramas de produção, receitas, fórmulas ou ordens de trabalho;</w:t>
      </w:r>
    </w:p>
    <w:p>
      <w:pPr>
        <w:numPr>
          <w:ilvl w:val="0"/>
          <w:numId w:val="1001"/>
        </w:numPr>
        <w:pStyle w:val="Compact"/>
      </w:pPr>
      <w:r>
        <w:t xml:space="preserve">pesar e medir farinha, açúcar, gorduras, líquidos, fermentos, aromatizantes e outros ingredientes;</w:t>
      </w:r>
    </w:p>
    <w:p>
      <w:pPr>
        <w:numPr>
          <w:ilvl w:val="0"/>
          <w:numId w:val="1001"/>
        </w:numPr>
        <w:pStyle w:val="Compact"/>
      </w:pPr>
      <w:r>
        <w:t xml:space="preserve">misturar massas, batidas, recheios, cremes, coberturas ou glacês;</w:t>
      </w:r>
    </w:p>
    <w:p>
      <w:pPr>
        <w:numPr>
          <w:ilvl w:val="0"/>
          <w:numId w:val="1001"/>
        </w:numPr>
        <w:pStyle w:val="Compact"/>
      </w:pPr>
      <w:r>
        <w:t xml:space="preserve">sovar, abrir, dividir, pesar, cortar, modelar, fermentar ou porcionar massas;</w:t>
      </w:r>
    </w:p>
    <w:p>
      <w:pPr>
        <w:numPr>
          <w:ilvl w:val="0"/>
          <w:numId w:val="1001"/>
        </w:numPr>
        <w:pStyle w:val="Compact"/>
      </w:pPr>
      <w:r>
        <w:t xml:space="preserve">preparar formas, moldes, bandejas, racks ou linhas de produção;</w:t>
      </w:r>
    </w:p>
    <w:p>
      <w:pPr>
        <w:numPr>
          <w:ilvl w:val="0"/>
          <w:numId w:val="1001"/>
        </w:numPr>
        <w:pStyle w:val="Compact"/>
      </w:pPr>
      <w:r>
        <w:t xml:space="preserve">configurar e monitorar fornos, misturadores, câmaras de fermentação, caldeirões, dosadores, esteiras, cortadores, fatiadores ou equipamentos de embalagem dentro do treinamento e da autoridade recebidos;</w:t>
      </w:r>
    </w:p>
    <w:p>
      <w:pPr>
        <w:numPr>
          <w:ilvl w:val="0"/>
          <w:numId w:val="1001"/>
        </w:numPr>
        <w:pStyle w:val="Compact"/>
      </w:pPr>
      <w:r>
        <w:t xml:space="preserve">observar cor, textura, crescimento, temperatura, tempo e outros indicadores de qualidade;</w:t>
      </w:r>
    </w:p>
    <w:p>
      <w:pPr>
        <w:numPr>
          <w:ilvl w:val="0"/>
          <w:numId w:val="1001"/>
        </w:numPr>
        <w:pStyle w:val="Compact"/>
      </w:pPr>
      <w:r>
        <w:t xml:space="preserve">aplicar glacês, coberturas, recheios, decorações, toppings ou acabamentos;</w:t>
      </w:r>
    </w:p>
    <w:p>
      <w:pPr>
        <w:numPr>
          <w:ilvl w:val="0"/>
          <w:numId w:val="1001"/>
        </w:numPr>
        <w:pStyle w:val="Compact"/>
      </w:pPr>
      <w:r>
        <w:t xml:space="preserve">inspecionar ingredientes e produtos acabados quanto à qualidade ou danos;</w:t>
      </w:r>
    </w:p>
    <w:p>
      <w:pPr>
        <w:numPr>
          <w:ilvl w:val="0"/>
          <w:numId w:val="1001"/>
        </w:numPr>
        <w:pStyle w:val="Compact"/>
      </w:pPr>
      <w:r>
        <w:t xml:space="preserve">fazer rotação de estoque e relatar faltas ou problemas de qualidade;</w:t>
      </w:r>
    </w:p>
    <w:p>
      <w:pPr>
        <w:numPr>
          <w:ilvl w:val="0"/>
          <w:numId w:val="1001"/>
        </w:numPr>
        <w:pStyle w:val="Compact"/>
      </w:pPr>
      <w:r>
        <w:t xml:space="preserve">receber suprimentos dentro da autoridade delegada;</w:t>
      </w:r>
    </w:p>
    <w:p>
      <w:pPr>
        <w:numPr>
          <w:ilvl w:val="0"/>
          <w:numId w:val="1001"/>
        </w:numPr>
        <w:pStyle w:val="Compact"/>
      </w:pPr>
      <w:r>
        <w:t xml:space="preserve">registrar lotes, rendimentos, temperaturas, desperdícios, estoque ou informações de produção;</w:t>
      </w:r>
    </w:p>
    <w:p>
      <w:pPr>
        <w:numPr>
          <w:ilvl w:val="0"/>
          <w:numId w:val="1001"/>
        </w:numPr>
        <w:pStyle w:val="Compact"/>
      </w:pPr>
      <w:r>
        <w:t xml:space="preserve">limpar e higienizar superfícies de trabalho, utensílios e equipamentos segundo procedimentos aprovados;</w:t>
      </w:r>
    </w:p>
    <w:p>
      <w:pPr>
        <w:numPr>
          <w:ilvl w:val="0"/>
          <w:numId w:val="1001"/>
        </w:numPr>
        <w:pStyle w:val="Compact"/>
      </w:pPr>
      <w:r>
        <w:t xml:space="preserve">embalar, rotular ou preparar produtos para a etapa seguinte quando designado;</w:t>
      </w:r>
    </w:p>
    <w:p>
      <w:pPr>
        <w:numPr>
          <w:ilvl w:val="0"/>
          <w:numId w:val="1001"/>
        </w:numPr>
        <w:pStyle w:val="Compact"/>
      </w:pPr>
      <w:r>
        <w:t xml:space="preserve">relatar problemas de segurança dos alimentos, alergênicos, equipamentos, manutenção ou segurança do trabalhador;</w:t>
      </w:r>
    </w:p>
    <w:p>
      <w:pPr>
        <w:numPr>
          <w:ilvl w:val="0"/>
          <w:numId w:val="1001"/>
        </w:numPr>
        <w:pStyle w:val="Compact"/>
      </w:pPr>
      <w:r>
        <w:t xml:space="preserve">apoiar o treinamento de novos trabalhadores ou a coordenação rotineira da produção quando delegado.</w:t>
      </w:r>
    </w:p>
    <w:bookmarkEnd w:id="22"/>
    <w:bookmarkStart w:id="23" w:name="limites-de-autoridade-e-profissionais"/>
    <w:p>
      <w:pPr>
        <w:pStyle w:val="Heading2"/>
      </w:pPr>
      <w:r>
        <w:t xml:space="preserve">Limites de autoridade e profissionais</w:t>
      </w:r>
    </w:p>
    <w:p>
      <w:pPr>
        <w:pStyle w:val="FirstParagraph"/>
      </w:pPr>
      <w:r>
        <w:t xml:space="preserve">Não presuma que um título de padeiro ou trabalhador de produção de confeitaria concede autoridade para:</w:t>
      </w:r>
    </w:p>
    <w:p>
      <w:pPr>
        <w:numPr>
          <w:ilvl w:val="0"/>
          <w:numId w:val="1002"/>
        </w:numPr>
        <w:pStyle w:val="Compact"/>
      </w:pPr>
      <w:r>
        <w:t xml:space="preserve">diagnosticar alergias alimentares, intolerâncias, necessidades nutricionais ou condições médicas;</w:t>
      </w:r>
    </w:p>
    <w:p>
      <w:pPr>
        <w:numPr>
          <w:ilvl w:val="0"/>
          <w:numId w:val="1002"/>
        </w:numPr>
        <w:pStyle w:val="Compact"/>
      </w:pPr>
      <w:r>
        <w:t xml:space="preserve">elaborar dietas terapêuticas sem autoridade clínica qualificada;</w:t>
      </w:r>
    </w:p>
    <w:p>
      <w:pPr>
        <w:numPr>
          <w:ilvl w:val="0"/>
          <w:numId w:val="1002"/>
        </w:numPr>
        <w:pStyle w:val="Compact"/>
      </w:pPr>
      <w:r>
        <w:t xml:space="preserve">declarar que um alimento é seguro quando os controles exigidos não foram cumpridos;</w:t>
      </w:r>
    </w:p>
    <w:p>
      <w:pPr>
        <w:numPr>
          <w:ilvl w:val="0"/>
          <w:numId w:val="1002"/>
        </w:numPr>
        <w:pStyle w:val="Compact"/>
      </w:pPr>
      <w:r>
        <w:t xml:space="preserve">ignorar requisitos de segurança dos alimentos da autoridade sanitária ou do empregador;</w:t>
      </w:r>
    </w:p>
    <w:p>
      <w:pPr>
        <w:numPr>
          <w:ilvl w:val="0"/>
          <w:numId w:val="1002"/>
        </w:numPr>
        <w:pStyle w:val="Compact"/>
      </w:pPr>
      <w:r>
        <w:t xml:space="preserve">alterar receitas validadas, controles de alergênicos, rótulos ou especificações de produção quando é necessária aprovação;</w:t>
      </w:r>
    </w:p>
    <w:p>
      <w:pPr>
        <w:numPr>
          <w:ilvl w:val="0"/>
          <w:numId w:val="1002"/>
        </w:numPr>
        <w:pStyle w:val="Compact"/>
      </w:pPr>
      <w:r>
        <w:t xml:space="preserve">contornar proteções de máquinas ou procedimentos de manutenção/controle de energia;</w:t>
      </w:r>
    </w:p>
    <w:p>
      <w:pPr>
        <w:numPr>
          <w:ilvl w:val="0"/>
          <w:numId w:val="1002"/>
        </w:numPr>
        <w:pStyle w:val="Compact"/>
      </w:pPr>
      <w:r>
        <w:t xml:space="preserve">realizar manutenção elétrica, mecânica, de gás, refrigeração ou outra manutenção especializada fora do treinamento e da autorização;</w:t>
      </w:r>
    </w:p>
    <w:p>
      <w:pPr>
        <w:numPr>
          <w:ilvl w:val="0"/>
          <w:numId w:val="1002"/>
        </w:numPr>
        <w:pStyle w:val="Compact"/>
      </w:pPr>
      <w:r>
        <w:t xml:space="preserve">contratar, demitir, suspender ou aplicar disciplina formal a empregados, a menos que essa autoridade faça parte da função;</w:t>
      </w:r>
    </w:p>
    <w:p>
      <w:pPr>
        <w:numPr>
          <w:ilvl w:val="0"/>
          <w:numId w:val="1002"/>
        </w:numPr>
        <w:pStyle w:val="Compact"/>
      </w:pPr>
      <w:r>
        <w:t xml:space="preserve">alterar salários, folha de pagamento ou registros de jornada fora dos procedimentos aprovados;</w:t>
      </w:r>
    </w:p>
    <w:p>
      <w:pPr>
        <w:numPr>
          <w:ilvl w:val="0"/>
          <w:numId w:val="1002"/>
        </w:numPr>
        <w:pStyle w:val="Compact"/>
      </w:pPr>
      <w:r>
        <w:t xml:space="preserve">assinar contratos ou aprovar compras importantes sem autoridade delegada;</w:t>
      </w:r>
    </w:p>
    <w:p>
      <w:pPr>
        <w:numPr>
          <w:ilvl w:val="0"/>
          <w:numId w:val="1002"/>
        </w:numPr>
        <w:pStyle w:val="Compact"/>
      </w:pPr>
      <w:r>
        <w:t xml:space="preserve">acessar sem restrição informações de empregados, clientes, pagamentos, receitas, fornecedores ou do negócio;</w:t>
      </w:r>
    </w:p>
    <w:p>
      <w:pPr>
        <w:numPr>
          <w:ilvl w:val="0"/>
          <w:numId w:val="1002"/>
        </w:numPr>
        <w:pStyle w:val="Compact"/>
      </w:pPr>
      <w:r>
        <w:t xml:space="preserve">representar o empregador perante órgãos reguladores sem designação formal;</w:t>
      </w:r>
    </w:p>
    <w:p>
      <w:pPr>
        <w:numPr>
          <w:ilvl w:val="0"/>
          <w:numId w:val="1002"/>
        </w:numPr>
        <w:pStyle w:val="Compact"/>
      </w:pPr>
      <w:r>
        <w:t xml:space="preserve">ocultar incidentes de segurança dos alimentos, lesões, assédio, furto, fraude ou outros eventos que devam ser reportados.</w:t>
      </w:r>
    </w:p>
    <w:p>
      <w:pPr>
        <w:pStyle w:val="FirstParagraph"/>
      </w:pPr>
      <w:r>
        <w:t xml:space="preserve">Quando a autoridade não estiver clara, pare e consulte o supervisor ou gerente designado.</w:t>
      </w:r>
    </w:p>
    <w:bookmarkEnd w:id="23"/>
    <w:bookmarkStart w:id="24" w:name="ambiente-de-trabalho"/>
    <w:p>
      <w:pPr>
        <w:pStyle w:val="Heading2"/>
      </w:pPr>
      <w:r>
        <w:t xml:space="preserve">Ambiente de trabalho</w:t>
      </w:r>
    </w:p>
    <w:p>
      <w:pPr>
        <w:pStyle w:val="FirstParagraph"/>
      </w:pPr>
      <w:r>
        <w:t xml:space="preserve">Padeiros podem trabalhar em pequenas lojas, padarias de supermercados, restaurantes, hotéis, comissarias centrais, hospitais, escolas, cozinhas institucionais, padarias industriais ou outras instalações de produção de alimentos.</w:t>
      </w:r>
    </w:p>
    <w:p>
      <w:pPr>
        <w:pStyle w:val="BodyText"/>
      </w:pPr>
      <w:r>
        <w:t xml:space="preserve">O trabalho pode envolver:</w:t>
      </w:r>
    </w:p>
    <w:p>
      <w:pPr>
        <w:numPr>
          <w:ilvl w:val="0"/>
          <w:numId w:val="1003"/>
        </w:numPr>
        <w:pStyle w:val="Compact"/>
      </w:pPr>
      <w:r>
        <w:t xml:space="preserve">fornos quentes, vapor, assadeiras quentes e equipamentos aquecidos;</w:t>
      </w:r>
    </w:p>
    <w:p>
      <w:pPr>
        <w:numPr>
          <w:ilvl w:val="0"/>
          <w:numId w:val="1003"/>
        </w:numPr>
        <w:pStyle w:val="Compact"/>
      </w:pPr>
      <w:r>
        <w:t xml:space="preserve">misturadores, cilindros, fatiadores, esteiras e equipamentos de embalagem motorizados;</w:t>
      </w:r>
    </w:p>
    <w:p>
      <w:pPr>
        <w:numPr>
          <w:ilvl w:val="0"/>
          <w:numId w:val="1003"/>
        </w:numPr>
        <w:pStyle w:val="Compact"/>
      </w:pPr>
      <w:r>
        <w:t xml:space="preserve">pó de farinha e partículas suspensas no ar;</w:t>
      </w:r>
    </w:p>
    <w:p>
      <w:pPr>
        <w:numPr>
          <w:ilvl w:val="0"/>
          <w:numId w:val="1003"/>
        </w:numPr>
        <w:pStyle w:val="Compact"/>
      </w:pPr>
      <w:r>
        <w:t xml:space="preserve">pisos escorregadios;</w:t>
      </w:r>
    </w:p>
    <w:p>
      <w:pPr>
        <w:numPr>
          <w:ilvl w:val="0"/>
          <w:numId w:val="1003"/>
        </w:numPr>
        <w:pStyle w:val="Compact"/>
      </w:pPr>
      <w:r>
        <w:t xml:space="preserve">ferramentas afiadas e equipamentos de corte;</w:t>
      </w:r>
    </w:p>
    <w:p>
      <w:pPr>
        <w:numPr>
          <w:ilvl w:val="0"/>
          <w:numId w:val="1003"/>
        </w:numPr>
        <w:pStyle w:val="Compact"/>
      </w:pPr>
      <w:r>
        <w:t xml:space="preserve">sacos pesados de ingredientes, racks, bandejas ou recipientes;</w:t>
      </w:r>
    </w:p>
    <w:p>
      <w:pPr>
        <w:numPr>
          <w:ilvl w:val="0"/>
          <w:numId w:val="1003"/>
        </w:numPr>
        <w:pStyle w:val="Compact"/>
      </w:pPr>
      <w:r>
        <w:t xml:space="preserve">movimentos repetitivos das mãos, punhos, ombros e costas;</w:t>
      </w:r>
    </w:p>
    <w:p>
      <w:pPr>
        <w:numPr>
          <w:ilvl w:val="0"/>
          <w:numId w:val="1003"/>
        </w:numPr>
        <w:pStyle w:val="Compact"/>
      </w:pPr>
      <w:r>
        <w:t xml:space="preserve">áreas refrigeradas;</w:t>
      </w:r>
    </w:p>
    <w:p>
      <w:pPr>
        <w:numPr>
          <w:ilvl w:val="0"/>
          <w:numId w:val="1003"/>
        </w:numPr>
        <w:pStyle w:val="Compact"/>
      </w:pPr>
      <w:r>
        <w:t xml:space="preserve">horários de madrugada, noturnos, fins de semana e feriados;</w:t>
      </w:r>
    </w:p>
    <w:p>
      <w:pPr>
        <w:numPr>
          <w:ilvl w:val="0"/>
          <w:numId w:val="1003"/>
        </w:numPr>
        <w:pStyle w:val="Compact"/>
      </w:pPr>
      <w:r>
        <w:t xml:space="preserve">prazos de produção e picos de demanda dos clientes.</w:t>
      </w:r>
    </w:p>
    <w:p>
      <w:pPr>
        <w:pStyle w:val="FirstParagraph"/>
      </w:pPr>
      <w:r>
        <w:t xml:space="preserve">Algumas pessoas valorizam a rotina e os resultados visíveis. Outras podem achar difíceis o calor, o horário, a repetição, o levantamento de peso ou o ritmo de produção. Uma observação realista do trabalho, visita à instalação, turno experimental quando permitido por lei ou entrevista informativa pode ajudar antes de assumir treinamento caro.</w:t>
      </w:r>
    </w:p>
    <w:bookmarkEnd w:id="24"/>
    <w:bookmarkStart w:id="29" w:name="Xec39930e61c04b9d0dfa2da01ff9d27d1f62e1a"/>
    <w:p>
      <w:pPr>
        <w:pStyle w:val="Heading2"/>
      </w:pPr>
      <w:r>
        <w:t xml:space="preserve">Habilidades valorizadas pelos empregadores</w:t>
      </w:r>
    </w:p>
    <w:bookmarkStart w:id="25" w:name="habilidades-de-produção"/>
    <w:p>
      <w:pPr>
        <w:pStyle w:val="Heading3"/>
      </w:pPr>
      <w:r>
        <w:t xml:space="preserve">Habilidades de produção</w:t>
      </w:r>
    </w:p>
    <w:p>
      <w:pPr>
        <w:numPr>
          <w:ilvl w:val="0"/>
          <w:numId w:val="1004"/>
        </w:numPr>
        <w:pStyle w:val="Compact"/>
      </w:pPr>
      <w:r>
        <w:t xml:space="preserve">pesagem e medição precisas;</w:t>
      </w:r>
    </w:p>
    <w:p>
      <w:pPr>
        <w:numPr>
          <w:ilvl w:val="0"/>
          <w:numId w:val="1004"/>
        </w:numPr>
        <w:pStyle w:val="Compact"/>
      </w:pPr>
      <w:r>
        <w:t xml:space="preserve">leitura de receitas e fórmulas;</w:t>
      </w:r>
    </w:p>
    <w:p>
      <w:pPr>
        <w:numPr>
          <w:ilvl w:val="0"/>
          <w:numId w:val="1004"/>
        </w:numPr>
        <w:pStyle w:val="Compact"/>
      </w:pPr>
      <w:r>
        <w:t xml:space="preserve">preparo de massas e batidas;</w:t>
      </w:r>
    </w:p>
    <w:p>
      <w:pPr>
        <w:numPr>
          <w:ilvl w:val="0"/>
          <w:numId w:val="1004"/>
        </w:numPr>
        <w:pStyle w:val="Compact"/>
      </w:pPr>
      <w:r>
        <w:t xml:space="preserve">porcionamento e pesagem;</w:t>
      </w:r>
    </w:p>
    <w:p>
      <w:pPr>
        <w:numPr>
          <w:ilvl w:val="0"/>
          <w:numId w:val="1004"/>
        </w:numPr>
        <w:pStyle w:val="Compact"/>
      </w:pPr>
      <w:r>
        <w:t xml:space="preserve">controle de fermentação e assamento;</w:t>
      </w:r>
    </w:p>
    <w:p>
      <w:pPr>
        <w:numPr>
          <w:ilvl w:val="0"/>
          <w:numId w:val="1004"/>
        </w:numPr>
        <w:pStyle w:val="Compact"/>
      </w:pPr>
      <w:r>
        <w:t xml:space="preserve">acabamento e decoração;</w:t>
      </w:r>
    </w:p>
    <w:p>
      <w:pPr>
        <w:numPr>
          <w:ilvl w:val="0"/>
          <w:numId w:val="1004"/>
        </w:numPr>
        <w:pStyle w:val="Compact"/>
      </w:pPr>
      <w:r>
        <w:t xml:space="preserve">rotação básica de estoque;</w:t>
      </w:r>
    </w:p>
    <w:p>
      <w:pPr>
        <w:numPr>
          <w:ilvl w:val="0"/>
          <w:numId w:val="1004"/>
        </w:numPr>
        <w:pStyle w:val="Compact"/>
      </w:pPr>
      <w:r>
        <w:t xml:space="preserve">inspeção da qualidade do produto;</w:t>
      </w:r>
    </w:p>
    <w:p>
      <w:pPr>
        <w:numPr>
          <w:ilvl w:val="0"/>
          <w:numId w:val="1004"/>
        </w:numPr>
        <w:pStyle w:val="Compact"/>
      </w:pPr>
      <w:r>
        <w:t xml:space="preserve">noções de embalagem e rotulagem;</w:t>
      </w:r>
    </w:p>
    <w:p>
      <w:pPr>
        <w:numPr>
          <w:ilvl w:val="0"/>
          <w:numId w:val="1004"/>
        </w:numPr>
        <w:pStyle w:val="Compact"/>
      </w:pPr>
      <w:r>
        <w:t xml:space="preserve">registros de produção.</w:t>
      </w:r>
    </w:p>
    <w:bookmarkEnd w:id="25"/>
    <w:bookmarkStart w:id="26" w:name="habilidades-de-segurança-e-higienização"/>
    <w:p>
      <w:pPr>
        <w:pStyle w:val="Heading3"/>
      </w:pPr>
      <w:r>
        <w:t xml:space="preserve">Habilidades de segurança e higienização</w:t>
      </w:r>
    </w:p>
    <w:p>
      <w:pPr>
        <w:numPr>
          <w:ilvl w:val="0"/>
          <w:numId w:val="1005"/>
        </w:numPr>
        <w:pStyle w:val="Compact"/>
      </w:pPr>
      <w:r>
        <w:t xml:space="preserve">higiene das mãos;</w:t>
      </w:r>
    </w:p>
    <w:p>
      <w:pPr>
        <w:numPr>
          <w:ilvl w:val="0"/>
          <w:numId w:val="1005"/>
        </w:numPr>
        <w:pStyle w:val="Compact"/>
      </w:pPr>
      <w:r>
        <w:t xml:space="preserve">limpeza e higienização;</w:t>
      </w:r>
    </w:p>
    <w:p>
      <w:pPr>
        <w:numPr>
          <w:ilvl w:val="0"/>
          <w:numId w:val="1005"/>
        </w:numPr>
        <w:pStyle w:val="Compact"/>
      </w:pPr>
      <w:r>
        <w:t xml:space="preserve">atenção a tempo e temperatura;</w:t>
      </w:r>
    </w:p>
    <w:p>
      <w:pPr>
        <w:numPr>
          <w:ilvl w:val="0"/>
          <w:numId w:val="1005"/>
        </w:numPr>
        <w:pStyle w:val="Compact"/>
      </w:pPr>
      <w:r>
        <w:t xml:space="preserve">prevenção de contaminação cruzada;</w:t>
      </w:r>
    </w:p>
    <w:p>
      <w:pPr>
        <w:numPr>
          <w:ilvl w:val="0"/>
          <w:numId w:val="1005"/>
        </w:numPr>
        <w:pStyle w:val="Compact"/>
      </w:pPr>
      <w:r>
        <w:t xml:space="preserve">disciplina no controle de alergênicos;</w:t>
      </w:r>
    </w:p>
    <w:p>
      <w:pPr>
        <w:numPr>
          <w:ilvl w:val="0"/>
          <w:numId w:val="1005"/>
        </w:numPr>
        <w:pStyle w:val="Compact"/>
      </w:pPr>
      <w:r>
        <w:t xml:space="preserve">levantamento seguro;</w:t>
      </w:r>
    </w:p>
    <w:p>
      <w:pPr>
        <w:numPr>
          <w:ilvl w:val="0"/>
          <w:numId w:val="1005"/>
        </w:numPr>
        <w:pStyle w:val="Compact"/>
      </w:pPr>
      <w:r>
        <w:t xml:space="preserve">resposta a derramamentos;</w:t>
      </w:r>
    </w:p>
    <w:p>
      <w:pPr>
        <w:numPr>
          <w:ilvl w:val="0"/>
          <w:numId w:val="1005"/>
        </w:numPr>
        <w:pStyle w:val="Compact"/>
      </w:pPr>
      <w:r>
        <w:t xml:space="preserve">prevenção de queimaduras e cortes;</w:t>
      </w:r>
    </w:p>
    <w:p>
      <w:pPr>
        <w:numPr>
          <w:ilvl w:val="0"/>
          <w:numId w:val="1005"/>
        </w:numPr>
        <w:pStyle w:val="Compact"/>
      </w:pPr>
      <w:r>
        <w:t xml:space="preserve">uso correto de proteções e equipamentos de proteção;</w:t>
      </w:r>
    </w:p>
    <w:p>
      <w:pPr>
        <w:numPr>
          <w:ilvl w:val="0"/>
          <w:numId w:val="1005"/>
        </w:numPr>
        <w:pStyle w:val="Compact"/>
      </w:pPr>
      <w:r>
        <w:t xml:space="preserve">escalonamento rápido de incidentes.</w:t>
      </w:r>
    </w:p>
    <w:bookmarkEnd w:id="26"/>
    <w:bookmarkStart w:id="27" w:name="hábitos-de-trabalho"/>
    <w:p>
      <w:pPr>
        <w:pStyle w:val="Heading3"/>
      </w:pPr>
      <w:r>
        <w:t xml:space="preserve">Hábitos de trabalho</w:t>
      </w:r>
    </w:p>
    <w:p>
      <w:pPr>
        <w:numPr>
          <w:ilvl w:val="0"/>
          <w:numId w:val="1006"/>
        </w:numPr>
        <w:pStyle w:val="Compact"/>
      </w:pPr>
      <w:r>
        <w:t xml:space="preserve">atenção aos detalhes;</w:t>
      </w:r>
    </w:p>
    <w:p>
      <w:pPr>
        <w:numPr>
          <w:ilvl w:val="0"/>
          <w:numId w:val="1006"/>
        </w:numPr>
        <w:pStyle w:val="Compact"/>
      </w:pPr>
      <w:r>
        <w:t xml:space="preserve">confiabilidade e pontualidade;</w:t>
      </w:r>
    </w:p>
    <w:p>
      <w:pPr>
        <w:numPr>
          <w:ilvl w:val="0"/>
          <w:numId w:val="1006"/>
        </w:numPr>
        <w:pStyle w:val="Compact"/>
      </w:pPr>
      <w:r>
        <w:t xml:space="preserve">capacidade de seguir procedimentos padronizados;</w:t>
      </w:r>
    </w:p>
    <w:p>
      <w:pPr>
        <w:numPr>
          <w:ilvl w:val="0"/>
          <w:numId w:val="1006"/>
        </w:numPr>
        <w:pStyle w:val="Compact"/>
      </w:pPr>
      <w:r>
        <w:t xml:space="preserve">comunicação com colegas e supervisores;</w:t>
      </w:r>
    </w:p>
    <w:p>
      <w:pPr>
        <w:numPr>
          <w:ilvl w:val="0"/>
          <w:numId w:val="1006"/>
        </w:numPr>
        <w:pStyle w:val="Compact"/>
      </w:pPr>
      <w:r>
        <w:t xml:space="preserve">solução calma de problemas;</w:t>
      </w:r>
    </w:p>
    <w:p>
      <w:pPr>
        <w:numPr>
          <w:ilvl w:val="0"/>
          <w:numId w:val="1006"/>
        </w:numPr>
        <w:pStyle w:val="Compact"/>
      </w:pPr>
      <w:r>
        <w:t xml:space="preserve">disposição para limpar como parte do trabalho de produção;</w:t>
      </w:r>
    </w:p>
    <w:p>
      <w:pPr>
        <w:numPr>
          <w:ilvl w:val="0"/>
          <w:numId w:val="1006"/>
        </w:numPr>
        <w:pStyle w:val="Compact"/>
      </w:pPr>
      <w:r>
        <w:t xml:space="preserve">consistência entre lotes repetidos;</w:t>
      </w:r>
    </w:p>
    <w:p>
      <w:pPr>
        <w:numPr>
          <w:ilvl w:val="0"/>
          <w:numId w:val="1006"/>
        </w:numPr>
        <w:pStyle w:val="Compact"/>
      </w:pPr>
      <w:r>
        <w:t xml:space="preserve">respeito pelos controles de produção, segurança, privacidade e qualidade.</w:t>
      </w:r>
    </w:p>
    <w:bookmarkEnd w:id="27"/>
    <w:bookmarkStart w:id="28" w:name="Xe2266a56ea769a27cd74c19eb139ca752dee13b"/>
    <w:p>
      <w:pPr>
        <w:pStyle w:val="Heading3"/>
      </w:pPr>
      <w:r>
        <w:t xml:space="preserve">Habilidades básicas de negócio e tecnologia</w:t>
      </w:r>
    </w:p>
    <w:p>
      <w:pPr>
        <w:pStyle w:val="FirstParagraph"/>
      </w:pPr>
      <w:r>
        <w:t xml:space="preserve">Dependendo do empregador, podem ser úteis planilhas, sistemas de estoque, sistemas de ponto de venda, software de planejamento de produção, sistemas de pedidos, balanças digitais, impressoras de etiquetas, plataformas de escala, e-mail e cálculos básicos de custo e rendimento.</w:t>
      </w:r>
    </w:p>
    <w:bookmarkEnd w:id="28"/>
    <w:bookmarkEnd w:id="29"/>
    <w:bookmarkStart w:id="30" w:name="Xa94d008b93735fa2d2345d4a8939e7673411aad"/>
    <w:p>
      <w:pPr>
        <w:pStyle w:val="Heading2"/>
      </w:pPr>
      <w:r>
        <w:t xml:space="preserve">Educação e caminhos de entrada — Estados Unidos</w:t>
      </w:r>
    </w:p>
    <w:p>
      <w:pPr>
        <w:pStyle w:val="FirstParagraph"/>
      </w:pPr>
      <w:r>
        <w:t xml:space="preserve">O Bureau of Labor Statistics dos Estados Unidos informa que padeiros normalmente precisam de</w:t>
      </w:r>
      <w:r>
        <w:t xml:space="preserve"> </w:t>
      </w:r>
      <w:r>
        <w:rPr>
          <w:bCs/>
          <w:b/>
        </w:rPr>
        <w:t xml:space="preserve">nenhuma credencial educacional formal</w:t>
      </w:r>
      <w:r>
        <w:t xml:space="preserve">, embora empregadores possam preferir ou exigir diploma de ensino médio. Padeiros geralmente aprendem por meio de treinamento no trabalho. Alguns frequentam escolas técnicas ou culinárias, e a aprendizagem também é um caminho possível.</w:t>
      </w:r>
    </w:p>
    <w:p>
      <w:pPr>
        <w:pStyle w:val="BodyText"/>
      </w:pPr>
      <w:r>
        <w:t xml:space="preserve">O O</w:t>
      </w:r>
      <w:r>
        <w:rPr>
          <w:iCs/>
          <w:i/>
        </w:rPr>
        <w:t xml:space="preserve">NET coloca Bakers na Job Zone 1–2, o que significa que a preparação varia de muito pouca a alguma preparação, dependendo do emprego. O O</w:t>
      </w:r>
      <w:r>
        <w:t xml:space="preserve">NET informa que o treinamento pode variar de alguns dias a um ano.</w:t>
      </w:r>
    </w:p>
    <w:p>
      <w:pPr>
        <w:pStyle w:val="BodyText"/>
      </w:pPr>
      <w:r>
        <w:t xml:space="preserve">Uma progressão prática e de baixo custo pode ser:</w:t>
      </w:r>
    </w:p>
    <w:p>
      <w:pPr>
        <w:numPr>
          <w:ilvl w:val="0"/>
          <w:numId w:val="1007"/>
        </w:numPr>
        <w:pStyle w:val="Compact"/>
      </w:pPr>
      <w:r>
        <w:t xml:space="preserve">aprender noções básicas de segurança dos alimentos, medição e segurança em cozinha;</w:t>
      </w:r>
    </w:p>
    <w:p>
      <w:pPr>
        <w:numPr>
          <w:ilvl w:val="0"/>
          <w:numId w:val="1007"/>
        </w:numPr>
        <w:pStyle w:val="Compact"/>
      </w:pPr>
      <w:r>
        <w:t xml:space="preserve">adquirir experiência inicial em produção de alimentos ou padaria;</w:t>
      </w:r>
    </w:p>
    <w:p>
      <w:pPr>
        <w:numPr>
          <w:ilvl w:val="0"/>
          <w:numId w:val="1007"/>
        </w:numPr>
        <w:pStyle w:val="Compact"/>
      </w:pPr>
      <w:r>
        <w:t xml:space="preserve">praticar pesagem, mistura, modelagem, fermentação, assamento, limpeza e registros;</w:t>
      </w:r>
    </w:p>
    <w:p>
      <w:pPr>
        <w:numPr>
          <w:ilvl w:val="0"/>
          <w:numId w:val="1007"/>
        </w:numPr>
        <w:pStyle w:val="Compact"/>
      </w:pPr>
      <w:r>
        <w:t xml:space="preserve">aprender receitas, fórmulas, equipamentos, controles de alergênicos e padrões de qualidade do empregador;</w:t>
      </w:r>
    </w:p>
    <w:p>
      <w:pPr>
        <w:numPr>
          <w:ilvl w:val="0"/>
          <w:numId w:val="1007"/>
        </w:numPr>
        <w:pStyle w:val="Compact"/>
      </w:pPr>
      <w:r>
        <w:t xml:space="preserve">priorizar treinamento pago pelo empregador ou público antes de comprar cursos privados caros;</w:t>
      </w:r>
    </w:p>
    <w:p>
      <w:pPr>
        <w:numPr>
          <w:ilvl w:val="0"/>
          <w:numId w:val="1007"/>
        </w:numPr>
        <w:pStyle w:val="Compact"/>
      </w:pPr>
      <w:r>
        <w:t xml:space="preserve">construir evidências de produção consistente, baixo desperdício, trabalho seguro, confiabilidade e qualidade;</w:t>
      </w:r>
    </w:p>
    <w:p>
      <w:pPr>
        <w:numPr>
          <w:ilvl w:val="0"/>
          <w:numId w:val="1007"/>
        </w:numPr>
        <w:pStyle w:val="Compact"/>
      </w:pPr>
      <w:r>
        <w:t xml:space="preserve">buscar aprendizagem, educação técnica, especialização em confeitaria ou desenvolvimento de supervisão apenas quando isso se alinhar à função-alvo.</w:t>
      </w:r>
    </w:p>
    <w:bookmarkEnd w:id="30"/>
    <w:bookmarkStart w:id="31" w:name="X7a3869fb8f48c68631bdc6b906421bcfcf9232a"/>
    <w:p>
      <w:pPr>
        <w:pStyle w:val="Heading2"/>
      </w:pPr>
      <w:r>
        <w:t xml:space="preserve">Registered Apprenticeship — Estados Unidos</w:t>
      </w:r>
    </w:p>
    <w:p>
      <w:pPr>
        <w:pStyle w:val="FirstParagraph"/>
      </w:pPr>
      <w:r>
        <w:t xml:space="preserve">O O*NET lista três títulos de exemplo de Registered Apprenticeship para Bakers:</w:t>
      </w:r>
    </w:p>
    <w:p>
      <w:pPr>
        <w:numPr>
          <w:ilvl w:val="0"/>
          <w:numId w:val="1008"/>
        </w:numPr>
        <w:pStyle w:val="Compact"/>
      </w:pPr>
      <w:r>
        <w:rPr>
          <w:bCs/>
          <w:b/>
        </w:rPr>
        <w:t xml:space="preserve">Baker (Bake Produce)</w:t>
      </w:r>
      <w:r>
        <w:t xml:space="preserve">;</w:t>
      </w:r>
    </w:p>
    <w:p>
      <w:pPr>
        <w:numPr>
          <w:ilvl w:val="0"/>
          <w:numId w:val="1008"/>
        </w:numPr>
        <w:pStyle w:val="Compact"/>
      </w:pPr>
      <w:r>
        <w:rPr>
          <w:bCs/>
          <w:b/>
        </w:rPr>
        <w:t xml:space="preserve">Baker (Hotel &amp; Restaurant)</w:t>
      </w:r>
      <w:r>
        <w:t xml:space="preserve">;</w:t>
      </w:r>
    </w:p>
    <w:p>
      <w:pPr>
        <w:numPr>
          <w:ilvl w:val="0"/>
          <w:numId w:val="1008"/>
        </w:numPr>
        <w:pStyle w:val="Compact"/>
      </w:pPr>
      <w:r>
        <w:rPr>
          <w:bCs/>
          <w:b/>
        </w:rPr>
        <w:t xml:space="preserve">Cook, Pastry (Hotel &amp; Restaurant)</w:t>
      </w:r>
      <w:r>
        <w:t xml:space="preserve">.</w:t>
      </w:r>
    </w:p>
    <w:p>
      <w:pPr>
        <w:pStyle w:val="FirstParagraph"/>
      </w:pPr>
      <w:r>
        <w:t xml:space="preserve">Esses títulos são aprovados para uso em programas Registered Apprenticeship, mas um título aprovado não significa que exista uma vaga em todas as regiões. Consulte</w:t>
      </w:r>
      <w:r>
        <w:t xml:space="preserve"> </w:t>
      </w:r>
      <w:r>
        <w:rPr>
          <w:bCs/>
          <w:b/>
        </w:rPr>
        <w:t xml:space="preserve">Apprenticeship.gov</w:t>
      </w:r>
      <w:r>
        <w:t xml:space="preserve"> </w:t>
      </w:r>
      <w:r>
        <w:t xml:space="preserve">e parceiros locais de força de trabalho para oportunidades reais.</w:t>
      </w:r>
    </w:p>
    <w:p>
      <w:pPr>
        <w:pStyle w:val="BodyText"/>
      </w:pPr>
      <w:r>
        <w:t xml:space="preserve">Antes de aceitar uma aprendizagem, verifique empregador, patrocinador, progressão salarial, horas de treinamento, requisitos de sala de aula, credencial final, custos, horário e se o programa é realmente registrado.</w:t>
      </w:r>
    </w:p>
    <w:bookmarkEnd w:id="31"/>
    <w:bookmarkStart w:id="32" w:name="Xc0fdef17776b151a8a878be8e78184ea2614eaf"/>
    <w:p>
      <w:pPr>
        <w:pStyle w:val="Heading2"/>
      </w:pPr>
      <w:r>
        <w:t xml:space="preserve">Requisitos de segurança dos alimentos — verifique localmente</w:t>
      </w:r>
    </w:p>
    <w:p>
      <w:pPr>
        <w:pStyle w:val="FirstParagraph"/>
      </w:pPr>
      <w:r>
        <w:t xml:space="preserve">O</w:t>
      </w:r>
      <w:r>
        <w:t xml:space="preserve"> </w:t>
      </w:r>
      <w:r>
        <w:rPr>
          <w:bCs/>
          <w:b/>
        </w:rPr>
        <w:t xml:space="preserve">2022 Food Code</w:t>
      </w:r>
      <w:r>
        <w:t xml:space="preserve"> </w:t>
      </w:r>
      <w:r>
        <w:t xml:space="preserve">da FDA, com o suplemento de dezembro de 2024, é um modelo para segurança no varejo e em serviços de alimentação. Não é uma única lei nacional para padarias. Autoridades estaduais, locais, tribais, territoriais e federais decidem como suas disposições são adotadas e aplicadas.</w:t>
      </w:r>
    </w:p>
    <w:p>
      <w:pPr>
        <w:pStyle w:val="BodyText"/>
      </w:pPr>
      <w:r>
        <w:t xml:space="preserve">Antes de pagar por treinamento de manipulador de alimentos, gerente de proteção de alimentos, alergênicos ou treinamento semelhante, verifique:</w:t>
      </w:r>
    </w:p>
    <w:p>
      <w:pPr>
        <w:numPr>
          <w:ilvl w:val="0"/>
          <w:numId w:val="1009"/>
        </w:numPr>
        <w:pStyle w:val="Compact"/>
      </w:pPr>
      <w:r>
        <w:t xml:space="preserve">a autoridade sanitária competente;</w:t>
      </w:r>
    </w:p>
    <w:p>
      <w:pPr>
        <w:numPr>
          <w:ilvl w:val="0"/>
          <w:numId w:val="1009"/>
        </w:numPr>
        <w:pStyle w:val="Compact"/>
      </w:pPr>
      <w:r>
        <w:t xml:space="preserve">a credencial ou o treinamento exato exigido para a função;</w:t>
      </w:r>
    </w:p>
    <w:p>
      <w:pPr>
        <w:numPr>
          <w:ilvl w:val="0"/>
          <w:numId w:val="1009"/>
        </w:numPr>
        <w:pStyle w:val="Compact"/>
      </w:pPr>
      <w:r>
        <w:t xml:space="preserve">se o empregador paga treinamento ou taxas de exame;</w:t>
      </w:r>
    </w:p>
    <w:p>
      <w:pPr>
        <w:numPr>
          <w:ilvl w:val="0"/>
          <w:numId w:val="1009"/>
        </w:numPr>
        <w:pStyle w:val="Compact"/>
      </w:pPr>
      <w:r>
        <w:t xml:space="preserve">requisitos de renovação;</w:t>
      </w:r>
    </w:p>
    <w:p>
      <w:pPr>
        <w:numPr>
          <w:ilvl w:val="0"/>
          <w:numId w:val="1009"/>
        </w:numPr>
        <w:pStyle w:val="Compact"/>
      </w:pPr>
      <w:r>
        <w:t xml:space="preserve">se o requisito se aplica pessoalmente ao trabalhador ou a uma pessoa designada como responsável;</w:t>
      </w:r>
    </w:p>
    <w:p>
      <w:pPr>
        <w:numPr>
          <w:ilvl w:val="0"/>
          <w:numId w:val="1009"/>
        </w:numPr>
        <w:pStyle w:val="Compact"/>
      </w:pPr>
      <w:r>
        <w:t xml:space="preserve">se uma instalação de manufatura é regulada por uma estrutura diferente da de uma padaria de varejo ou restaurante.</w:t>
      </w:r>
    </w:p>
    <w:p>
      <w:pPr>
        <w:pStyle w:val="FirstParagraph"/>
      </w:pPr>
      <w:r>
        <w:t xml:space="preserve">Nunca suponha que um único certificado privado atende a todas as jurisdições ou tipos de estabelecimento.</w:t>
      </w:r>
    </w:p>
    <w:bookmarkEnd w:id="32"/>
    <w:bookmarkStart w:id="34" w:name="Xcacc5a44e740aa916f50fc3b9dd49d3aeab4bac"/>
    <w:p>
      <w:pPr>
        <w:pStyle w:val="Heading2"/>
      </w:pPr>
      <w:r>
        <w:t xml:space="preserve">Segurança dos alimentos e conscientização sobre alergênicos</w:t>
      </w:r>
    </w:p>
    <w:p>
      <w:pPr>
        <w:pStyle w:val="FirstParagraph"/>
      </w:pPr>
      <w:r>
        <w:t xml:space="preserve">Trate controles de segurança dos alimentos como requisitos operacionais, não como sugestões. Siga os procedimentos aprovados pelo empregador e as regras aplicáveis para:</w:t>
      </w:r>
    </w:p>
    <w:p>
      <w:pPr>
        <w:numPr>
          <w:ilvl w:val="0"/>
          <w:numId w:val="1010"/>
        </w:numPr>
        <w:pStyle w:val="Compact"/>
      </w:pPr>
      <w:r>
        <w:t xml:space="preserve">lavagem das mãos e higiene pessoal;</w:t>
      </w:r>
    </w:p>
    <w:p>
      <w:pPr>
        <w:numPr>
          <w:ilvl w:val="0"/>
          <w:numId w:val="1010"/>
        </w:numPr>
        <w:pStyle w:val="Compact"/>
      </w:pPr>
      <w:r>
        <w:t xml:space="preserve">comunicação de doença do empregado;</w:t>
      </w:r>
    </w:p>
    <w:p>
      <w:pPr>
        <w:numPr>
          <w:ilvl w:val="0"/>
          <w:numId w:val="1010"/>
        </w:numPr>
        <w:pStyle w:val="Compact"/>
      </w:pPr>
      <w:r>
        <w:t xml:space="preserve">recebimento e armazenamento;</w:t>
      </w:r>
    </w:p>
    <w:p>
      <w:pPr>
        <w:numPr>
          <w:ilvl w:val="0"/>
          <w:numId w:val="1010"/>
        </w:numPr>
        <w:pStyle w:val="Compact"/>
      </w:pPr>
      <w:r>
        <w:t xml:space="preserve">rotação de estoque;</w:t>
      </w:r>
    </w:p>
    <w:p>
      <w:pPr>
        <w:numPr>
          <w:ilvl w:val="0"/>
          <w:numId w:val="1010"/>
        </w:numPr>
        <w:pStyle w:val="Compact"/>
      </w:pPr>
      <w:r>
        <w:t xml:space="preserve">controles de tempo e temperatura;</w:t>
      </w:r>
    </w:p>
    <w:p>
      <w:pPr>
        <w:numPr>
          <w:ilvl w:val="0"/>
          <w:numId w:val="1010"/>
        </w:numPr>
        <w:pStyle w:val="Compact"/>
      </w:pPr>
      <w:r>
        <w:t xml:space="preserve">prevenção de contaminação cruzada;</w:t>
      </w:r>
    </w:p>
    <w:p>
      <w:pPr>
        <w:numPr>
          <w:ilvl w:val="0"/>
          <w:numId w:val="1010"/>
        </w:numPr>
        <w:pStyle w:val="Compact"/>
      </w:pPr>
      <w:r>
        <w:t xml:space="preserve">limpeza e higienização;</w:t>
      </w:r>
    </w:p>
    <w:p>
      <w:pPr>
        <w:numPr>
          <w:ilvl w:val="0"/>
          <w:numId w:val="1010"/>
        </w:numPr>
        <w:pStyle w:val="Compact"/>
      </w:pPr>
      <w:r>
        <w:t xml:space="preserve">controle de pragas;</w:t>
      </w:r>
    </w:p>
    <w:p>
      <w:pPr>
        <w:numPr>
          <w:ilvl w:val="0"/>
          <w:numId w:val="1010"/>
        </w:numPr>
        <w:pStyle w:val="Compact"/>
      </w:pPr>
      <w:r>
        <w:t xml:space="preserve">manejo de resíduos;</w:t>
      </w:r>
    </w:p>
    <w:p>
      <w:pPr>
        <w:numPr>
          <w:ilvl w:val="0"/>
          <w:numId w:val="1010"/>
        </w:numPr>
        <w:pStyle w:val="Compact"/>
      </w:pPr>
      <w:r>
        <w:t xml:space="preserve">receitas aprovadas e especificações de produção;</w:t>
      </w:r>
    </w:p>
    <w:p>
      <w:pPr>
        <w:numPr>
          <w:ilvl w:val="0"/>
          <w:numId w:val="1010"/>
        </w:numPr>
        <w:pStyle w:val="Compact"/>
      </w:pPr>
      <w:r>
        <w:t xml:space="preserve">controles de ingredientes e alergênicos;</w:t>
      </w:r>
    </w:p>
    <w:p>
      <w:pPr>
        <w:numPr>
          <w:ilvl w:val="0"/>
          <w:numId w:val="1010"/>
        </w:numPr>
        <w:pStyle w:val="Compact"/>
      </w:pPr>
      <w:r>
        <w:t xml:space="preserve">rotulagem quando designado;</w:t>
      </w:r>
    </w:p>
    <w:p>
      <w:pPr>
        <w:numPr>
          <w:ilvl w:val="0"/>
          <w:numId w:val="1010"/>
        </w:numPr>
        <w:pStyle w:val="Compact"/>
      </w:pPr>
      <w:r>
        <w:t xml:space="preserve">relatório de incidentes e destinação de produtos.</w:t>
      </w:r>
    </w:p>
    <w:bookmarkStart w:id="33" w:name="alergênicos"/>
    <w:p>
      <w:pPr>
        <w:pStyle w:val="Heading3"/>
      </w:pPr>
      <w:r>
        <w:t xml:space="preserve">Alergênicos</w:t>
      </w:r>
    </w:p>
    <w:p>
      <w:pPr>
        <w:pStyle w:val="FirstParagraph"/>
      </w:pPr>
      <w:r>
        <w:t xml:space="preserve">Padarias trabalham com frequência com ingredientes que podem apresentar riscos graves de alergia. Não faça suposições sobre ingredientes, equipamentos compartilhados, substituições, contato cruzado ou se um produto é seguro para um cliente específico.</w:t>
      </w:r>
    </w:p>
    <w:p>
      <w:pPr>
        <w:pStyle w:val="BodyText"/>
      </w:pPr>
      <w:r>
        <w:t xml:space="preserve">Use listas de ingredientes, receitas, informações de fornecedores, rótulos e procedimentos do empregador aprovados. Se as informações forem incompletas ou incertas, escale a questão em vez de improvisar.</w:t>
      </w:r>
    </w:p>
    <w:p>
      <w:pPr>
        <w:pStyle w:val="BodyText"/>
      </w:pPr>
      <w:r>
        <w:t xml:space="preserve">Não diagnostique alergias nem faça alegações médicas.</w:t>
      </w:r>
    </w:p>
    <w:bookmarkEnd w:id="33"/>
    <w:bookmarkEnd w:id="34"/>
    <w:bookmarkStart w:id="35" w:name="segurança-do-trabalhador"/>
    <w:p>
      <w:pPr>
        <w:pStyle w:val="Heading2"/>
      </w:pPr>
      <w:r>
        <w:t xml:space="preserve">Segurança do trabalhador</w:t>
      </w:r>
    </w:p>
    <w:p>
      <w:pPr>
        <w:pStyle w:val="FirstParagraph"/>
      </w:pPr>
      <w:r>
        <w:t xml:space="preserve">Uma padaria segura depende tanto de treinamento quanto de comportamento disciplinado na produção.</w:t>
      </w:r>
    </w:p>
    <w:p>
      <w:pPr>
        <w:pStyle w:val="BodyText"/>
      </w:pPr>
      <w:r>
        <w:t xml:space="preserve">Riscos importantes podem incluir:</w:t>
      </w:r>
    </w:p>
    <w:p>
      <w:pPr>
        <w:numPr>
          <w:ilvl w:val="0"/>
          <w:numId w:val="1011"/>
        </w:numPr>
        <w:pStyle w:val="Compact"/>
      </w:pPr>
      <w:r>
        <w:t xml:space="preserve">queimaduras causadas por fornos, vapor, assadeiras, racks, açúcar quente ou recheios quentes;</w:t>
      </w:r>
    </w:p>
    <w:p>
      <w:pPr>
        <w:numPr>
          <w:ilvl w:val="0"/>
          <w:numId w:val="1011"/>
        </w:numPr>
        <w:pStyle w:val="Compact"/>
      </w:pPr>
      <w:r>
        <w:t xml:space="preserve">cortes por facas, fatiadores ou ferramentas afiadas;</w:t>
      </w:r>
    </w:p>
    <w:p>
      <w:pPr>
        <w:numPr>
          <w:ilvl w:val="0"/>
          <w:numId w:val="1011"/>
        </w:numPr>
        <w:pStyle w:val="Compact"/>
      </w:pPr>
      <w:r>
        <w:t xml:space="preserve">aprisionamento ou enroscamento em misturadores, cilindros, esteiras e outras máquinas motorizadas;</w:t>
      </w:r>
    </w:p>
    <w:p>
      <w:pPr>
        <w:numPr>
          <w:ilvl w:val="0"/>
          <w:numId w:val="1011"/>
        </w:numPr>
        <w:pStyle w:val="Compact"/>
      </w:pPr>
      <w:r>
        <w:t xml:space="preserve">lesões por levantar ou empurrar cargas;</w:t>
      </w:r>
    </w:p>
    <w:p>
      <w:pPr>
        <w:numPr>
          <w:ilvl w:val="0"/>
          <w:numId w:val="1011"/>
        </w:numPr>
        <w:pStyle w:val="Compact"/>
      </w:pPr>
      <w:r>
        <w:t xml:space="preserve">escorregões e quedas;</w:t>
      </w:r>
    </w:p>
    <w:p>
      <w:pPr>
        <w:numPr>
          <w:ilvl w:val="0"/>
          <w:numId w:val="1011"/>
        </w:numPr>
        <w:pStyle w:val="Compact"/>
      </w:pPr>
      <w:r>
        <w:t xml:space="preserve">lesões por movimentos repetitivos;</w:t>
      </w:r>
    </w:p>
    <w:p>
      <w:pPr>
        <w:numPr>
          <w:ilvl w:val="0"/>
          <w:numId w:val="1011"/>
        </w:numPr>
        <w:pStyle w:val="Compact"/>
      </w:pPr>
      <w:r>
        <w:t xml:space="preserve">pó de farinha e produtos químicos de limpeza;</w:t>
      </w:r>
    </w:p>
    <w:p>
      <w:pPr>
        <w:numPr>
          <w:ilvl w:val="0"/>
          <w:numId w:val="1011"/>
        </w:numPr>
        <w:pStyle w:val="Compact"/>
      </w:pPr>
      <w:r>
        <w:t xml:space="preserve">riscos de incêndio ou gás;</w:t>
      </w:r>
    </w:p>
    <w:p>
      <w:pPr>
        <w:numPr>
          <w:ilvl w:val="0"/>
          <w:numId w:val="1011"/>
        </w:numPr>
        <w:pStyle w:val="Compact"/>
      </w:pPr>
      <w:r>
        <w:t xml:space="preserve">manutenção ou limpeza insegura de equipamentos energizados.</w:t>
      </w:r>
    </w:p>
    <w:p>
      <w:pPr>
        <w:pStyle w:val="FirstParagraph"/>
      </w:pPr>
      <w:r>
        <w:t xml:space="preserve">Nunca remova nem neutralize uma proteção de máquina para aumentar a velocidade. Siga os procedimentos do empregador para desligamento, limpeza, manutenção e isolamento de energia. Reparos especializados devem ser realizados somente por pessoal treinado e autorizado.</w:t>
      </w:r>
    </w:p>
    <w:bookmarkEnd w:id="35"/>
    <w:bookmarkStart w:id="36" w:name="caminho-no-canadá"/>
    <w:p>
      <w:pPr>
        <w:pStyle w:val="Heading2"/>
      </w:pPr>
      <w:r>
        <w:t xml:space="preserve">Caminho no Canadá</w:t>
      </w:r>
    </w:p>
    <w:p>
      <w:pPr>
        <w:pStyle w:val="FirstParagraph"/>
      </w:pPr>
      <w:r>
        <w:t xml:space="preserve">A referência canadense mais próxima é</w:t>
      </w:r>
      <w:r>
        <w:t xml:space="preserve"> </w:t>
      </w:r>
      <w:r>
        <w:rPr>
          <w:bCs/>
          <w:b/>
        </w:rPr>
        <w:t xml:space="preserve">NOC 63202 — Bakers</w:t>
      </w:r>
      <w:r>
        <w:t xml:space="preserve">. O Job Bank descreve padeiros como profissionais que preparam pão, pãezinhos, muffins, tortas, doces, bolos e biscoitos em padarias de varejo e atacado e estabelecimentos de alimentação. O grupo inclui aprendizes e padeiros que atuam como supervisores.</w:t>
      </w:r>
    </w:p>
    <w:p>
      <w:pPr>
        <w:pStyle w:val="BodyText"/>
      </w:pPr>
      <w:r>
        <w:t xml:space="preserve">O Job Bank informa que:</w:t>
      </w:r>
    </w:p>
    <w:p>
      <w:pPr>
        <w:numPr>
          <w:ilvl w:val="0"/>
          <w:numId w:val="1012"/>
        </w:numPr>
        <w:pStyle w:val="Compact"/>
      </w:pPr>
      <w:r>
        <w:t xml:space="preserve">normalmente é necessário concluir o ensino médio;</w:t>
      </w:r>
    </w:p>
    <w:p>
      <w:pPr>
        <w:numPr>
          <w:ilvl w:val="0"/>
          <w:numId w:val="1012"/>
        </w:numPr>
        <w:pStyle w:val="Compact"/>
      </w:pPr>
      <w:r>
        <w:t xml:space="preserve">treinamento no trabalho pode ser oferecido;</w:t>
      </w:r>
    </w:p>
    <w:p>
      <w:pPr>
        <w:numPr>
          <w:ilvl w:val="0"/>
          <w:numId w:val="1012"/>
        </w:numPr>
        <w:pStyle w:val="Compact"/>
      </w:pPr>
      <w:r>
        <w:t xml:space="preserve">normalmente é necessária a conclusão de uma aprendizagem de padeiro de três ou quatro anos, um programa de college ou outro programa de panificação, ou vários anos de experiência em panificação comercial;</w:t>
      </w:r>
    </w:p>
    <w:p>
      <w:pPr>
        <w:numPr>
          <w:ilvl w:val="0"/>
          <w:numId w:val="1012"/>
        </w:numPr>
        <w:pStyle w:val="Compact"/>
      </w:pPr>
      <w:r>
        <w:t xml:space="preserve">a certificação profissional está disponível, mas é voluntária nas províncias e territórios listados;</w:t>
      </w:r>
    </w:p>
    <w:p>
      <w:pPr>
        <w:numPr>
          <w:ilvl w:val="0"/>
          <w:numId w:val="1012"/>
        </w:numPr>
        <w:pStyle w:val="Compact"/>
      </w:pPr>
      <w:r>
        <w:t xml:space="preserve">padeiros qualificados podem obter o endosso</w:t>
      </w:r>
      <w:r>
        <w:t xml:space="preserve"> </w:t>
      </w:r>
      <w:r>
        <w:rPr>
          <w:bCs/>
          <w:b/>
        </w:rPr>
        <w:t xml:space="preserve">Red Seal</w:t>
      </w:r>
      <w:r>
        <w:t xml:space="preserve"> </w:t>
      </w:r>
      <w:r>
        <w:t xml:space="preserve">após aprovação no exame interprovincial.</w:t>
      </w:r>
    </w:p>
    <w:p>
      <w:pPr>
        <w:pStyle w:val="FirstParagraph"/>
      </w:pPr>
      <w:r>
        <w:t xml:space="preserve">Verifique os requisitos atuais provinciais ou territoriais de aprendizagem, certificação, segurança dos alimentos, emprego e empregador antes de se matricular ou aceitar responsabilidades.</w:t>
      </w:r>
    </w:p>
    <w:bookmarkEnd w:id="36"/>
    <w:bookmarkStart w:id="40" w:name="caminho-na-colômbia"/>
    <w:p>
      <w:pPr>
        <w:pStyle w:val="Heading2"/>
      </w:pPr>
      <w:r>
        <w:t xml:space="preserve">Caminho na Colômbia</w:t>
      </w:r>
    </w:p>
    <w:p>
      <w:pPr>
        <w:pStyle w:val="FirstParagraph"/>
      </w:pPr>
      <w:r>
        <w:t xml:space="preserve">O SENA Betowa oferece exemplos atuais de formação pública que podem reduzir a necessidade de educação privada cara.</w:t>
      </w:r>
    </w:p>
    <w:bookmarkStart w:id="37" w:name="pasteleria--técnico"/>
    <w:p>
      <w:pPr>
        <w:pStyle w:val="Heading3"/>
      </w:pPr>
      <w:r>
        <w:t xml:space="preserve">PASTELERIA — Técnico</w:t>
      </w:r>
    </w:p>
    <w:p>
      <w:pPr>
        <w:pStyle w:val="FirstParagraph"/>
      </w:pPr>
      <w:r>
        <w:t xml:space="preserve">O SENA atualmente lista</w:t>
      </w:r>
      <w:r>
        <w:t xml:space="preserve"> </w:t>
      </w:r>
      <w:r>
        <w:rPr>
          <w:bCs/>
          <w:b/>
        </w:rPr>
        <w:t xml:space="preserve">PASTELERIA</w:t>
      </w:r>
      <w:r>
        <w:t xml:space="preserve"> </w:t>
      </w:r>
      <w:r>
        <w:t xml:space="preserve">como programa</w:t>
      </w:r>
      <w:r>
        <w:t xml:space="preserve"> </w:t>
      </w:r>
      <w:r>
        <w:rPr>
          <w:bCs/>
          <w:b/>
        </w:rPr>
        <w:t xml:space="preserve">Técnico</w:t>
      </w:r>
      <w:r>
        <w:t xml:space="preserve"> </w:t>
      </w:r>
      <w:r>
        <w:t xml:space="preserve">presencial de formação titulada (</w:t>
      </w:r>
      <w:r>
        <w:rPr>
          <w:rStyle w:val="VerbatimChar"/>
        </w:rPr>
        <w:t xml:space="preserve">Titulada</w:t>
      </w:r>
      <w:r>
        <w:t xml:space="preserve">) com duração indicada de</w:t>
      </w:r>
      <w:r>
        <w:t xml:space="preserve"> </w:t>
      </w:r>
      <w:r>
        <w:rPr>
          <w:bCs/>
          <w:b/>
        </w:rPr>
        <w:t xml:space="preserve">2,208 horas</w:t>
      </w:r>
      <w:r>
        <w:t xml:space="preserve">. O programa inclui produção de confeitaria, higienização de instalações de alimentos, armazenamento, segurança e saúde no trabalho, empreendedorismo, comunicação, inglês, ferramentas digitais e uma etapa prática.</w:t>
      </w:r>
    </w:p>
    <w:p>
      <w:pPr>
        <w:pStyle w:val="BodyText"/>
      </w:pPr>
      <w:r>
        <w:t xml:space="preserve">A página atual do programa também lista como requisito adicional um certificado de educação secundária. Convocação, local, requisitos prévios, horário e disponibilidade podem mudar, portanto verifique diretamente no Betowa.</w:t>
      </w:r>
    </w:p>
    <w:bookmarkEnd w:id="37"/>
    <w:bookmarkStart w:id="38" w:name="X7b7e2f1e89e2cc7d92a9f3eed3b775160123125"/>
    <w:p>
      <w:pPr>
        <w:pStyle w:val="Heading3"/>
      </w:pPr>
      <w:r>
        <w:t xml:space="preserve">PASTELERIA — formação complementar virtual</w:t>
      </w:r>
    </w:p>
    <w:p>
      <w:pPr>
        <w:pStyle w:val="FirstParagraph"/>
      </w:pPr>
      <w:r>
        <w:t xml:space="preserve">O SENA também lista um programa complementar virtual</w:t>
      </w:r>
      <w:r>
        <w:t xml:space="preserve"> </w:t>
      </w:r>
      <w:r>
        <w:rPr>
          <w:bCs/>
          <w:b/>
        </w:rPr>
        <w:t xml:space="preserve">PASTELERIA</w:t>
      </w:r>
      <w:r>
        <w:t xml:space="preserve"> </w:t>
      </w:r>
      <w:r>
        <w:t xml:space="preserve">de</w:t>
      </w:r>
      <w:r>
        <w:t xml:space="preserve"> </w:t>
      </w:r>
      <w:r>
        <w:rPr>
          <w:bCs/>
          <w:b/>
        </w:rPr>
        <w:t xml:space="preserve">40 horas</w:t>
      </w:r>
      <w:r>
        <w:t xml:space="preserve">, cobrindo condições de confeitaria, máquinas/equipamentos, ingredientes e boas práticas de fabricação.</w:t>
      </w:r>
    </w:p>
    <w:bookmarkEnd w:id="38"/>
    <w:bookmarkStart w:id="39" w:name="procesos-basicos-de-panaderia"/>
    <w:p>
      <w:pPr>
        <w:pStyle w:val="Heading3"/>
      </w:pPr>
      <w:r>
        <w:t xml:space="preserve">PROCESOS BASICOS DE PANADERIA</w:t>
      </w:r>
    </w:p>
    <w:p>
      <w:pPr>
        <w:pStyle w:val="FirstParagraph"/>
      </w:pPr>
      <w:r>
        <w:t xml:space="preserve">O SENA lista</w:t>
      </w:r>
      <w:r>
        <w:t xml:space="preserve"> </w:t>
      </w:r>
      <w:r>
        <w:rPr>
          <w:bCs/>
          <w:b/>
        </w:rPr>
        <w:t xml:space="preserve">PROCESOS BASICOS DE PANADERIA</w:t>
      </w:r>
      <w:r>
        <w:t xml:space="preserve"> </w:t>
      </w:r>
      <w:r>
        <w:t xml:space="preserve">como curso complementar especial presencial de</w:t>
      </w:r>
      <w:r>
        <w:t xml:space="preserve"> </w:t>
      </w:r>
      <w:r>
        <w:rPr>
          <w:bCs/>
          <w:b/>
        </w:rPr>
        <w:t xml:space="preserve">100 horas</w:t>
      </w:r>
      <w:r>
        <w:t xml:space="preserve">, focado em preparar produtos assados de acordo com os requisitos de produção.</w:t>
      </w:r>
    </w:p>
    <w:p>
      <w:pPr>
        <w:pStyle w:val="BodyText"/>
      </w:pPr>
      <w:r>
        <w:t xml:space="preserve">Esses programas públicos podem ser caminhos úteis de aprendizagem quando disponíveis, mas a conclusão não garante emprego, promoção, autorização de segurança dos alimentos nem status de chef.</w:t>
      </w:r>
    </w:p>
    <w:p>
      <w:pPr>
        <w:pStyle w:val="BodyText"/>
      </w:pPr>
      <w:r>
        <w:t xml:space="preserve">Este guia não apresenta uma cifra salarial nacional para a Colômbia.</w:t>
      </w:r>
    </w:p>
    <w:bookmarkEnd w:id="39"/>
    <w:bookmarkEnd w:id="40"/>
    <w:bookmarkStart w:id="41" w:name="caminho-na-américa-latina"/>
    <w:p>
      <w:pPr>
        <w:pStyle w:val="Heading2"/>
      </w:pPr>
      <w:r>
        <w:t xml:space="preserve">Caminho na América Latina</w:t>
      </w:r>
    </w:p>
    <w:p>
      <w:pPr>
        <w:pStyle w:val="FirstParagraph"/>
      </w:pPr>
      <w:r>
        <w:t xml:space="preserve">Os requisitos de formação variam amplamente na América Latina. Pontos de partida úteis incluem instituições nacionais de formação profissional, ministérios do trabalho ou educação, institutos técnicos públicos, escolas de hotelaria, academias de empregadores e instituições ligadas à</w:t>
      </w:r>
      <w:r>
        <w:t xml:space="preserve"> </w:t>
      </w:r>
      <w:r>
        <w:rPr>
          <w:bCs/>
          <w:b/>
        </w:rPr>
        <w:t xml:space="preserve">OIT/Cinterfor</w:t>
      </w:r>
      <w:r>
        <w:t xml:space="preserve">.</w:t>
      </w:r>
    </w:p>
    <w:p>
      <w:pPr>
        <w:pStyle w:val="BodyText"/>
      </w:pPr>
      <w:r>
        <w:t xml:space="preserve">A OIT/Cinterfor mantém uma rede regional de conhecimento em formação profissional e publicou orientações de segurança e saúde ocupacional para o setor de gastronomia.</w:t>
      </w:r>
    </w:p>
    <w:p>
      <w:pPr>
        <w:pStyle w:val="BodyText"/>
      </w:pPr>
      <w:r>
        <w:t xml:space="preserve">Antes de se matricular, verifique:</w:t>
      </w:r>
    </w:p>
    <w:p>
      <w:pPr>
        <w:numPr>
          <w:ilvl w:val="0"/>
          <w:numId w:val="1013"/>
        </w:numPr>
        <w:pStyle w:val="Compact"/>
      </w:pPr>
      <w:r>
        <w:t xml:space="preserve">se o provedor é reconhecido quando o reconhecimento for relevante;</w:t>
      </w:r>
    </w:p>
    <w:p>
      <w:pPr>
        <w:numPr>
          <w:ilvl w:val="0"/>
          <w:numId w:val="1013"/>
        </w:numPr>
        <w:pStyle w:val="Compact"/>
      </w:pPr>
      <w:r>
        <w:t xml:space="preserve">mensalidades e todos os custos adicionais;</w:t>
      </w:r>
    </w:p>
    <w:p>
      <w:pPr>
        <w:numPr>
          <w:ilvl w:val="0"/>
          <w:numId w:val="1013"/>
        </w:numPr>
        <w:pStyle w:val="Compact"/>
      </w:pPr>
      <w:r>
        <w:t xml:space="preserve">ferramentas, uniformes, ingredientes e taxas de exames;</w:t>
      </w:r>
    </w:p>
    <w:p>
      <w:pPr>
        <w:numPr>
          <w:ilvl w:val="0"/>
          <w:numId w:val="1013"/>
        </w:numPr>
        <w:pStyle w:val="Compact"/>
      </w:pPr>
      <w:r>
        <w:t xml:space="preserve">transporte e horário;</w:t>
      </w:r>
    </w:p>
    <w:p>
      <w:pPr>
        <w:numPr>
          <w:ilvl w:val="0"/>
          <w:numId w:val="1013"/>
        </w:numPr>
        <w:pStyle w:val="Compact"/>
      </w:pPr>
      <w:r>
        <w:t xml:space="preserve">requisitos de manipulador de alimentos ou documentos de saúde;</w:t>
      </w:r>
    </w:p>
    <w:p>
      <w:pPr>
        <w:numPr>
          <w:ilvl w:val="0"/>
          <w:numId w:val="1013"/>
        </w:numPr>
        <w:pStyle w:val="Compact"/>
      </w:pPr>
      <w:r>
        <w:t xml:space="preserve">requisitos de etapa prática ou estágio;</w:t>
      </w:r>
    </w:p>
    <w:p>
      <w:pPr>
        <w:numPr>
          <w:ilvl w:val="0"/>
          <w:numId w:val="1013"/>
        </w:numPr>
        <w:pStyle w:val="Compact"/>
      </w:pPr>
      <w:r>
        <w:t xml:space="preserve">acessibilidade e apoio ao aluno;</w:t>
      </w:r>
    </w:p>
    <w:p>
      <w:pPr>
        <w:numPr>
          <w:ilvl w:val="0"/>
          <w:numId w:val="1013"/>
        </w:numPr>
        <w:pStyle w:val="Compact"/>
      </w:pPr>
      <w:r>
        <w:t xml:space="preserve">se a credencial é transferível para outro empregador ou jurisdição.</w:t>
      </w:r>
    </w:p>
    <w:bookmarkEnd w:id="41"/>
    <w:bookmarkStart w:id="44" w:name="Xb1b1e4473343b23d22310f1a8a0cb67796e428a"/>
    <w:p>
      <w:pPr>
        <w:pStyle w:val="Heading2"/>
      </w:pPr>
      <w:r>
        <w:t xml:space="preserve">Estratégia de formação, financiamento e bolsas com prioridade para opções gratuitas</w:t>
      </w:r>
    </w:p>
    <w:p>
      <w:pPr>
        <w:pStyle w:val="FirstParagraph"/>
      </w:pPr>
      <w:r>
        <w:t xml:space="preserve">Antes de contrair dívida ou pagar por uma escola culinária privada cara, investigue caminhos de menor custo.</w:t>
      </w:r>
    </w:p>
    <w:bookmarkStart w:id="42" w:name="estados-unidos"/>
    <w:p>
      <w:pPr>
        <w:pStyle w:val="Heading3"/>
      </w:pPr>
      <w:r>
        <w:t xml:space="preserve">Estados Unidos</w:t>
      </w:r>
    </w:p>
    <w:p>
      <w:pPr>
        <w:pStyle w:val="FirstParagraph"/>
      </w:pPr>
      <w:r>
        <w:t xml:space="preserve">Use:</w:t>
      </w:r>
    </w:p>
    <w:p>
      <w:pPr>
        <w:numPr>
          <w:ilvl w:val="0"/>
          <w:numId w:val="1014"/>
        </w:numPr>
        <w:pStyle w:val="Compact"/>
      </w:pPr>
      <w:r>
        <w:rPr>
          <w:bCs/>
          <w:b/>
        </w:rPr>
        <w:t xml:space="preserve">CareerOneStop Find Training</w:t>
      </w:r>
      <w:r>
        <w:t xml:space="preserve"> </w:t>
      </w:r>
      <w:r>
        <w:t xml:space="preserve">para opções locais de educação e treinamento;</w:t>
      </w:r>
    </w:p>
    <w:p>
      <w:pPr>
        <w:numPr>
          <w:ilvl w:val="0"/>
          <w:numId w:val="1014"/>
        </w:numPr>
        <w:pStyle w:val="Compact"/>
      </w:pPr>
      <w:r>
        <w:t xml:space="preserve">o</w:t>
      </w:r>
      <w:r>
        <w:t xml:space="preserve"> </w:t>
      </w:r>
      <w:r>
        <w:rPr>
          <w:bCs/>
          <w:b/>
        </w:rPr>
        <w:t xml:space="preserve">WIOA-Eligible Training Program Finder</w:t>
      </w:r>
      <w:r>
        <w:t xml:space="preserve"> </w:t>
      </w:r>
      <w:r>
        <w:t xml:space="preserve">e American Job Centers para investigar apoio da Workforce Innovation and Opportunity Act quando elegível;</w:t>
      </w:r>
    </w:p>
    <w:p>
      <w:pPr>
        <w:numPr>
          <w:ilvl w:val="0"/>
          <w:numId w:val="1014"/>
        </w:numPr>
        <w:pStyle w:val="Compact"/>
      </w:pPr>
      <w:r>
        <w:t xml:space="preserve">o</w:t>
      </w:r>
      <w:r>
        <w:t xml:space="preserve"> </w:t>
      </w:r>
      <w:r>
        <w:rPr>
          <w:bCs/>
          <w:b/>
        </w:rPr>
        <w:t xml:space="preserve">CareerOneStop Scholarship Finder</w:t>
      </w:r>
      <w:r>
        <w:t xml:space="preserve"> </w:t>
      </w:r>
      <w:r>
        <w:t xml:space="preserve">para pesquisar bolsas, fellowships, grants e outras oportunidades de auxílio financeiro;</w:t>
      </w:r>
    </w:p>
    <w:p>
      <w:pPr>
        <w:numPr>
          <w:ilvl w:val="0"/>
          <w:numId w:val="1014"/>
        </w:numPr>
        <w:pStyle w:val="Compact"/>
      </w:pPr>
      <w:r>
        <w:rPr>
          <w:bCs/>
          <w:b/>
        </w:rPr>
        <w:t xml:space="preserve">Apprenticeship.gov</w:t>
      </w:r>
      <w:r>
        <w:t xml:space="preserve"> </w:t>
      </w:r>
      <w:r>
        <w:t xml:space="preserve">para oportunidades reais de Registered Apprenticeship;</w:t>
      </w:r>
    </w:p>
    <w:p>
      <w:pPr>
        <w:numPr>
          <w:ilvl w:val="0"/>
          <w:numId w:val="1014"/>
        </w:numPr>
        <w:pStyle w:val="Compact"/>
      </w:pPr>
      <w:r>
        <w:t xml:space="preserve">community colleges e escolas técnicas públicas;</w:t>
      </w:r>
    </w:p>
    <w:p>
      <w:pPr>
        <w:numPr>
          <w:ilvl w:val="0"/>
          <w:numId w:val="1014"/>
        </w:numPr>
        <w:pStyle w:val="Compact"/>
      </w:pPr>
      <w:r>
        <w:t xml:space="preserve">treinamento pago pelo empregador, reembolso de mensalidades, treinamento cruzado, mentoria ou aprendizagem.</w:t>
      </w:r>
    </w:p>
    <w:p>
      <w:pPr>
        <w:pStyle w:val="FirstParagraph"/>
      </w:pPr>
      <w:r>
        <w:t xml:space="preserve">Bancos de dados de bolsas e financiamento são ferramentas de descoberta. Sempre verifique elegibilidade, prazos, condições do benefício, acreditação/reconhecimento quando relevante e custo total do programa com o patrocinador e a escola originais.</w:t>
      </w:r>
    </w:p>
    <w:bookmarkEnd w:id="42"/>
    <w:bookmarkStart w:id="43" w:name="desenvolvimento-apoiado-pelo-empregador"/>
    <w:p>
      <w:pPr>
        <w:pStyle w:val="Heading3"/>
      </w:pPr>
      <w:r>
        <w:t xml:space="preserve">Desenvolvimento apoiado pelo empregador</w:t>
      </w:r>
    </w:p>
    <w:p>
      <w:pPr>
        <w:pStyle w:val="FirstParagraph"/>
      </w:pPr>
      <w:r>
        <w:t xml:space="preserve">Pergunte se o empregador oferece:</w:t>
      </w:r>
    </w:p>
    <w:p>
      <w:pPr>
        <w:numPr>
          <w:ilvl w:val="0"/>
          <w:numId w:val="1015"/>
        </w:numPr>
        <w:pStyle w:val="Compact"/>
      </w:pPr>
      <w:r>
        <w:t xml:space="preserve">integração paga;</w:t>
      </w:r>
    </w:p>
    <w:p>
      <w:pPr>
        <w:numPr>
          <w:ilvl w:val="0"/>
          <w:numId w:val="1015"/>
        </w:numPr>
        <w:pStyle w:val="Compact"/>
      </w:pPr>
      <w:r>
        <w:t xml:space="preserve">treinamento em segurança dos alimentos ou alergênicos;</w:t>
      </w:r>
    </w:p>
    <w:p>
      <w:pPr>
        <w:numPr>
          <w:ilvl w:val="0"/>
          <w:numId w:val="1015"/>
        </w:numPr>
        <w:pStyle w:val="Compact"/>
      </w:pPr>
      <w:r>
        <w:t xml:space="preserve">certificação de equipamento ou treinamento de operador;</w:t>
      </w:r>
    </w:p>
    <w:p>
      <w:pPr>
        <w:numPr>
          <w:ilvl w:val="0"/>
          <w:numId w:val="1015"/>
        </w:numPr>
        <w:pStyle w:val="Compact"/>
      </w:pPr>
      <w:r>
        <w:t xml:space="preserve">treinamento cruzado em pães, confeitaria, acabamento de bolos ou produção;</w:t>
      </w:r>
    </w:p>
    <w:p>
      <w:pPr>
        <w:numPr>
          <w:ilvl w:val="0"/>
          <w:numId w:val="1015"/>
        </w:numPr>
        <w:pStyle w:val="Compact"/>
      </w:pPr>
      <w:r>
        <w:t xml:space="preserve">reembolso de mensalidades;</w:t>
      </w:r>
    </w:p>
    <w:p>
      <w:pPr>
        <w:numPr>
          <w:ilvl w:val="0"/>
          <w:numId w:val="1015"/>
        </w:numPr>
        <w:pStyle w:val="Compact"/>
      </w:pPr>
      <w:r>
        <w:t xml:space="preserve">aprendizagem remunerada;</w:t>
      </w:r>
    </w:p>
    <w:p>
      <w:pPr>
        <w:numPr>
          <w:ilvl w:val="0"/>
          <w:numId w:val="1015"/>
        </w:numPr>
        <w:pStyle w:val="Compact"/>
      </w:pPr>
      <w:r>
        <w:t xml:space="preserve">desenvolvimento para líder de turno ou supervisor;</w:t>
      </w:r>
    </w:p>
    <w:p>
      <w:pPr>
        <w:numPr>
          <w:ilvl w:val="0"/>
          <w:numId w:val="1015"/>
        </w:numPr>
        <w:pStyle w:val="Compact"/>
      </w:pPr>
      <w:r>
        <w:t xml:space="preserve">mentoria com padeiros ou profissionais de confeitaria experientes.</w:t>
      </w:r>
    </w:p>
    <w:p>
      <w:pPr>
        <w:pStyle w:val="FirstParagraph"/>
      </w:pPr>
      <w:r>
        <w:t xml:space="preserve">O treinamento fornecido pelo empregador pode ser mais útil do que um curso privado genérico quando ensina exatamente as fórmulas, equipamentos, padrões de qualidade e controles utilizados no trabalho.</w:t>
      </w:r>
    </w:p>
    <w:bookmarkEnd w:id="43"/>
    <w:bookmarkEnd w:id="44"/>
    <w:bookmarkStart w:id="48" w:name="remuneração--estados-unidos"/>
    <w:p>
      <w:pPr>
        <w:pStyle w:val="Heading2"/>
      </w:pPr>
      <w:r>
        <w:t xml:space="preserve">Remuneração — Estados Unidos</w:t>
      </w:r>
    </w:p>
    <w:bookmarkStart w:id="45" w:name="referência-oficial-onetbls-2025"/>
    <w:p>
      <w:pPr>
        <w:pStyle w:val="Heading3"/>
      </w:pPr>
      <w:r>
        <w:t xml:space="preserve">Referência oficial O*NET/BLS 2025</w:t>
      </w:r>
    </w:p>
    <w:p>
      <w:pPr>
        <w:pStyle w:val="FirstParagraph"/>
      </w:pPr>
      <w:r>
        <w:t xml:space="preserve">O O*NET informa atualmente dados salariais nacionais BLS de</w:t>
      </w:r>
      <w:r>
        <w:t xml:space="preserve"> </w:t>
      </w:r>
      <w:r>
        <w:rPr>
          <w:bCs/>
          <w:b/>
        </w:rPr>
        <w:t xml:space="preserve">2025</w:t>
      </w:r>
      <w:r>
        <w:t xml:space="preserve"> </w:t>
      </w:r>
      <w:r>
        <w:t xml:space="preserve">para Bakers (</w:t>
      </w:r>
      <w:r>
        <w:rPr>
          <w:rStyle w:val="VerbatimChar"/>
        </w:rPr>
        <w:t xml:space="preserve">51-3011.00</w:t>
      </w:r>
      <w:r>
        <w:t xml:space="preserve">):</w:t>
      </w:r>
    </w:p>
    <w:p>
      <w:pPr>
        <w:numPr>
          <w:ilvl w:val="0"/>
          <w:numId w:val="1016"/>
        </w:numPr>
        <w:pStyle w:val="Compact"/>
      </w:pPr>
      <w:r>
        <w:t xml:space="preserve">mediana por hora:</w:t>
      </w:r>
      <w:r>
        <w:t xml:space="preserve"> </w:t>
      </w:r>
      <w:r>
        <w:rPr>
          <w:bCs/>
          <w:b/>
        </w:rPr>
        <w:t xml:space="preserve">USD $17.86</w:t>
      </w:r>
      <w:r>
        <w:t xml:space="preserve">;</w:t>
      </w:r>
    </w:p>
    <w:p>
      <w:pPr>
        <w:numPr>
          <w:ilvl w:val="0"/>
          <w:numId w:val="1016"/>
        </w:numPr>
        <w:pStyle w:val="Compact"/>
      </w:pPr>
      <w:r>
        <w:t xml:space="preserve">mediana anual:</w:t>
      </w:r>
      <w:r>
        <w:t xml:space="preserve"> </w:t>
      </w:r>
      <w:r>
        <w:rPr>
          <w:bCs/>
          <w:b/>
        </w:rPr>
        <w:t xml:space="preserve">USD $37,160</w:t>
      </w:r>
      <w:r>
        <w:t xml:space="preserve">;</w:t>
      </w:r>
    </w:p>
    <w:p>
      <w:pPr>
        <w:numPr>
          <w:ilvl w:val="0"/>
          <w:numId w:val="1016"/>
        </w:numPr>
        <w:pStyle w:val="Compact"/>
      </w:pPr>
      <w:r>
        <w:t xml:space="preserve">percentil 10 anual:</w:t>
      </w:r>
      <w:r>
        <w:t xml:space="preserve"> </w:t>
      </w:r>
      <w:r>
        <w:rPr>
          <w:bCs/>
          <w:b/>
        </w:rPr>
        <w:t xml:space="preserve">USD $28,120</w:t>
      </w:r>
      <w:r>
        <w:t xml:space="preserve">;</w:t>
      </w:r>
    </w:p>
    <w:p>
      <w:pPr>
        <w:numPr>
          <w:ilvl w:val="0"/>
          <w:numId w:val="1016"/>
        </w:numPr>
        <w:pStyle w:val="Compact"/>
      </w:pPr>
      <w:r>
        <w:t xml:space="preserve">percentil 25 anual:</w:t>
      </w:r>
      <w:r>
        <w:t xml:space="preserve"> </w:t>
      </w:r>
      <w:r>
        <w:rPr>
          <w:bCs/>
          <w:b/>
        </w:rPr>
        <w:t xml:space="preserve">USD $32,660</w:t>
      </w:r>
      <w:r>
        <w:t xml:space="preserve">;</w:t>
      </w:r>
    </w:p>
    <w:p>
      <w:pPr>
        <w:numPr>
          <w:ilvl w:val="0"/>
          <w:numId w:val="1016"/>
        </w:numPr>
        <w:pStyle w:val="Compact"/>
      </w:pPr>
      <w:r>
        <w:t xml:space="preserve">percentil 75 anual:</w:t>
      </w:r>
      <w:r>
        <w:t xml:space="preserve"> </w:t>
      </w:r>
      <w:r>
        <w:rPr>
          <w:bCs/>
          <w:b/>
        </w:rPr>
        <w:t xml:space="preserve">USD $44,360</w:t>
      </w:r>
      <w:r>
        <w:t xml:space="preserve">;</w:t>
      </w:r>
    </w:p>
    <w:p>
      <w:pPr>
        <w:numPr>
          <w:ilvl w:val="0"/>
          <w:numId w:val="1016"/>
        </w:numPr>
        <w:pStyle w:val="Compact"/>
      </w:pPr>
      <w:r>
        <w:t xml:space="preserve">percentil 90 anual:</w:t>
      </w:r>
      <w:r>
        <w:t xml:space="preserve"> </w:t>
      </w:r>
      <w:r>
        <w:rPr>
          <w:bCs/>
          <w:b/>
        </w:rPr>
        <w:t xml:space="preserve">USD $49,020</w:t>
      </w:r>
      <w:r>
        <w:t xml:space="preserve">.</w:t>
      </w:r>
    </w:p>
    <w:p>
      <w:pPr>
        <w:pStyle w:val="FirstParagraph"/>
      </w:pPr>
      <w:r>
        <w:t xml:space="preserve">O O*NET informa aproximadamente</w:t>
      </w:r>
      <w:r>
        <w:t xml:space="preserve"> </w:t>
      </w:r>
      <w:r>
        <w:rPr>
          <w:bCs/>
          <w:b/>
        </w:rPr>
        <w:t xml:space="preserve">249,100</w:t>
      </w:r>
      <w:r>
        <w:t xml:space="preserve"> </w:t>
      </w:r>
      <w:r>
        <w:t xml:space="preserve">Bakers empregados em 2024, crescimento projetado na faixa de</w:t>
      </w:r>
      <w:r>
        <w:t xml:space="preserve"> </w:t>
      </w:r>
      <w:r>
        <w:rPr>
          <w:bCs/>
          <w:b/>
        </w:rPr>
        <w:t xml:space="preserve">5%–6%</w:t>
      </w:r>
      <w:r>
        <w:t xml:space="preserve"> </w:t>
      </w:r>
      <w:r>
        <w:t xml:space="preserve">entre 2024–2034 e</w:t>
      </w:r>
      <w:r>
        <w:t xml:space="preserve"> </w:t>
      </w:r>
      <w:r>
        <w:rPr>
          <w:bCs/>
          <w:b/>
        </w:rPr>
        <w:t xml:space="preserve">39,900</w:t>
      </w:r>
      <w:r>
        <w:t xml:space="preserve"> </w:t>
      </w:r>
      <w:r>
        <w:t xml:space="preserve">vagas projetadas.</w:t>
      </w:r>
    </w:p>
    <w:bookmarkEnd w:id="45"/>
    <w:bookmarkStart w:id="46" w:name="comparação-bls-de-maio-de-2024"/>
    <w:p>
      <w:pPr>
        <w:pStyle w:val="Heading3"/>
      </w:pPr>
      <w:r>
        <w:t xml:space="preserve">Comparação BLS de maio de 2024</w:t>
      </w:r>
    </w:p>
    <w:p>
      <w:pPr>
        <w:pStyle w:val="FirstParagraph"/>
      </w:pPr>
      <w:r>
        <w:t xml:space="preserve">O Occupational Outlook Handbook do BLS informa uma</w:t>
      </w:r>
      <w:r>
        <w:t xml:space="preserve"> </w:t>
      </w:r>
      <w:r>
        <w:rPr>
          <w:bCs/>
          <w:b/>
        </w:rPr>
        <w:t xml:space="preserve">mediana salarial anual de USD $36,650 em maio de 2024</w:t>
      </w:r>
      <w:r>
        <w:t xml:space="preserve">. O BLS projeta o emprego de aproximadamente</w:t>
      </w:r>
      <w:r>
        <w:t xml:space="preserve"> </w:t>
      </w:r>
      <w:r>
        <w:rPr>
          <w:bCs/>
          <w:b/>
        </w:rPr>
        <w:t xml:space="preserve">249,100</w:t>
      </w:r>
      <w:r>
        <w:t xml:space="preserve"> </w:t>
      </w:r>
      <w:r>
        <w:t xml:space="preserve">em 2024 para aproximadamente</w:t>
      </w:r>
      <w:r>
        <w:t xml:space="preserve"> </w:t>
      </w:r>
      <w:r>
        <w:rPr>
          <w:bCs/>
          <w:b/>
        </w:rPr>
        <w:t xml:space="preserve">263,200</w:t>
      </w:r>
      <w:r>
        <w:t xml:space="preserve"> </w:t>
      </w:r>
      <w:r>
        <w:t xml:space="preserve">em 2034, ou</w:t>
      </w:r>
      <w:r>
        <w:t xml:space="preserve"> </w:t>
      </w:r>
      <w:r>
        <w:rPr>
          <w:bCs/>
          <w:b/>
        </w:rPr>
        <w:t xml:space="preserve">6%</w:t>
      </w:r>
      <w:r>
        <w:t xml:space="preserve"> </w:t>
      </w:r>
      <w:r>
        <w:t xml:space="preserve">de crescimento, com cerca de</w:t>
      </w:r>
      <w:r>
        <w:t xml:space="preserve"> </w:t>
      </w:r>
      <w:r>
        <w:rPr>
          <w:bCs/>
          <w:b/>
        </w:rPr>
        <w:t xml:space="preserve">39,900 vagas por ano</w:t>
      </w:r>
      <w:r>
        <w:t xml:space="preserve"> </w:t>
      </w:r>
      <w:r>
        <w:t xml:space="preserve">ao longo da década.</w:t>
      </w:r>
    </w:p>
    <w:p>
      <w:pPr>
        <w:pStyle w:val="BodyText"/>
      </w:pPr>
      <w:r>
        <w:t xml:space="preserve">Períodos de referência salarial diferentes explicam a diferença entre os valores BLS de 2024 e O*NET/BLS de 2025.</w:t>
      </w:r>
    </w:p>
    <w:bookmarkEnd w:id="46"/>
    <w:bookmarkStart w:id="47" w:name="X78fc33774d8e362c2e4ce8e1d5d1d425358d5d4"/>
    <w:p>
      <w:pPr>
        <w:pStyle w:val="Heading3"/>
      </w:pPr>
      <w:r>
        <w:t xml:space="preserve">Estimativa atual não governamental de mercado</w:t>
      </w:r>
    </w:p>
    <w:p>
      <w:pPr>
        <w:pStyle w:val="FirstParagraph"/>
      </w:pPr>
      <w:r>
        <w:t xml:space="preserve">A Salary.com informou em</w:t>
      </w:r>
      <w:r>
        <w:t xml:space="preserve"> </w:t>
      </w:r>
      <w:r>
        <w:rPr>
          <w:bCs/>
          <w:b/>
        </w:rPr>
        <w:t xml:space="preserve">1º de agosto de 2026</w:t>
      </w:r>
      <w:r>
        <w:t xml:space="preserve">:</w:t>
      </w:r>
    </w:p>
    <w:p>
      <w:pPr>
        <w:numPr>
          <w:ilvl w:val="0"/>
          <w:numId w:val="1017"/>
        </w:numPr>
        <w:pStyle w:val="Compact"/>
      </w:pPr>
      <w:r>
        <w:t xml:space="preserve">salário médio de Baker:</w:t>
      </w:r>
      <w:r>
        <w:t xml:space="preserve"> </w:t>
      </w:r>
      <w:r>
        <w:rPr>
          <w:bCs/>
          <w:b/>
        </w:rPr>
        <w:t xml:space="preserve">USD $35,203/ano</w:t>
      </w:r>
      <w:r>
        <w:t xml:space="preserve">;</w:t>
      </w:r>
    </w:p>
    <w:p>
      <w:pPr>
        <w:numPr>
          <w:ilvl w:val="0"/>
          <w:numId w:val="1017"/>
        </w:numPr>
        <w:pStyle w:val="Compact"/>
      </w:pPr>
      <w:r>
        <w:t xml:space="preserve">aproximadamente</w:t>
      </w:r>
      <w:r>
        <w:t xml:space="preserve"> </w:t>
      </w:r>
      <w:r>
        <w:rPr>
          <w:bCs/>
          <w:b/>
        </w:rPr>
        <w:t xml:space="preserve">$17/hora</w:t>
      </w:r>
      <w:r>
        <w:t xml:space="preserve">;</w:t>
      </w:r>
    </w:p>
    <w:p>
      <w:pPr>
        <w:numPr>
          <w:ilvl w:val="0"/>
          <w:numId w:val="1017"/>
        </w:numPr>
        <w:pStyle w:val="Compact"/>
      </w:pPr>
      <w:r>
        <w:t xml:space="preserve">percentil 25–75:</w:t>
      </w:r>
      <w:r>
        <w:t xml:space="preserve"> </w:t>
      </w:r>
      <w:r>
        <w:rPr>
          <w:bCs/>
          <w:b/>
        </w:rPr>
        <w:t xml:space="preserve">$32,953–$37,748</w:t>
      </w:r>
      <w:r>
        <w:t xml:space="preserve">.</w:t>
      </w:r>
    </w:p>
    <w:p>
      <w:pPr>
        <w:pStyle w:val="FirstParagraph"/>
      </w:pPr>
      <w:r>
        <w:t xml:space="preserve">Esta é uma estimativa não governamental e não deve ser combinada por média com os dados oficiais. A remuneração varia de acordo com local, empregador, turno, horas extras, cobertura sindical, escala de produção, especialização e experiência.</w:t>
      </w:r>
    </w:p>
    <w:bookmarkEnd w:id="47"/>
    <w:bookmarkEnd w:id="48"/>
    <w:bookmarkStart w:id="49" w:name="remuneração--canadá"/>
    <w:p>
      <w:pPr>
        <w:pStyle w:val="Heading2"/>
      </w:pPr>
      <w:r>
        <w:t xml:space="preserve">Remuneração — Canadá</w:t>
      </w:r>
    </w:p>
    <w:p>
      <w:pPr>
        <w:pStyle w:val="FirstParagraph"/>
      </w:pPr>
      <w:r>
        <w:t xml:space="preserve">Os dados salariais nacionais do Job Bank para</w:t>
      </w:r>
      <w:r>
        <w:t xml:space="preserve"> </w:t>
      </w:r>
      <w:r>
        <w:rPr>
          <w:bCs/>
          <w:b/>
        </w:rPr>
        <w:t xml:space="preserve">NOC 63202 — Bakers</w:t>
      </w:r>
      <w:r>
        <w:t xml:space="preserve">, atualizados em 19 de novembro de 2025 usando como referência a Labour Force Survey de 2023–2024, informam:</w:t>
      </w:r>
    </w:p>
    <w:p>
      <w:pPr>
        <w:numPr>
          <w:ilvl w:val="0"/>
          <w:numId w:val="1018"/>
        </w:numPr>
        <w:pStyle w:val="Compact"/>
      </w:pPr>
      <w:r>
        <w:t xml:space="preserve">baixo:</w:t>
      </w:r>
      <w:r>
        <w:t xml:space="preserve"> </w:t>
      </w:r>
      <w:r>
        <w:rPr>
          <w:bCs/>
          <w:b/>
        </w:rPr>
        <w:t xml:space="preserve">CAD $15.00/hora</w:t>
      </w:r>
      <w:r>
        <w:t xml:space="preserve">;</w:t>
      </w:r>
    </w:p>
    <w:p>
      <w:pPr>
        <w:numPr>
          <w:ilvl w:val="0"/>
          <w:numId w:val="1018"/>
        </w:numPr>
        <w:pStyle w:val="Compact"/>
      </w:pPr>
      <w:r>
        <w:t xml:space="preserve">mediano:</w:t>
      </w:r>
      <w:r>
        <w:t xml:space="preserve"> </w:t>
      </w:r>
      <w:r>
        <w:rPr>
          <w:bCs/>
          <w:b/>
        </w:rPr>
        <w:t xml:space="preserve">CAD $17.50/hora</w:t>
      </w:r>
      <w:r>
        <w:t xml:space="preserve">;</w:t>
      </w:r>
    </w:p>
    <w:p>
      <w:pPr>
        <w:numPr>
          <w:ilvl w:val="0"/>
          <w:numId w:val="1018"/>
        </w:numPr>
        <w:pStyle w:val="Compact"/>
      </w:pPr>
      <w:r>
        <w:t xml:space="preserve">alto:</w:t>
      </w:r>
      <w:r>
        <w:t xml:space="preserve"> </w:t>
      </w:r>
      <w:r>
        <w:rPr>
          <w:bCs/>
          <w:b/>
        </w:rPr>
        <w:t xml:space="preserve">CAD $24.81/hora</w:t>
      </w:r>
      <w:r>
        <w:t xml:space="preserve">.</w:t>
      </w:r>
    </w:p>
    <w:p>
      <w:pPr>
        <w:pStyle w:val="FirstParagraph"/>
      </w:pPr>
      <w:r>
        <w:t xml:space="preserve">Esses valores nacionais não substituem informações salariais específicas de província, território, sindicato ou empregador.</w:t>
      </w:r>
    </w:p>
    <w:bookmarkEnd w:id="49"/>
    <w:bookmarkStart w:id="50" w:name="acessibilidade-e-inclusão"/>
    <w:p>
      <w:pPr>
        <w:pStyle w:val="Heading2"/>
      </w:pPr>
      <w:r>
        <w:t xml:space="preserve">Acessibilidade e inclusão</w:t>
      </w:r>
    </w:p>
    <w:p>
      <w:pPr>
        <w:pStyle w:val="FirstParagraph"/>
      </w:pPr>
      <w:r>
        <w:t xml:space="preserve">Panificação é trabalho físico, mas empregadores e provedores de treinamento podem ter equipamentos, fluxos de trabalho, horários e processos de acomodação diferentes. Não presuma que uma deficiência exclua automaticamente alguém do trabalho em padaria nem que toda tarefa possa ser modificada em qualquer ambiente.</w:t>
      </w:r>
    </w:p>
    <w:p>
      <w:pPr>
        <w:pStyle w:val="BodyText"/>
      </w:pPr>
      <w:r>
        <w:t xml:space="preserve">Perguntas úteis podem incluir:</w:t>
      </w:r>
    </w:p>
    <w:p>
      <w:pPr>
        <w:numPr>
          <w:ilvl w:val="0"/>
          <w:numId w:val="1019"/>
        </w:numPr>
        <w:pStyle w:val="Compact"/>
      </w:pPr>
      <w:r>
        <w:t xml:space="preserve">quais tarefas são essenciais para o emprego específico;</w:t>
      </w:r>
    </w:p>
    <w:p>
      <w:pPr>
        <w:numPr>
          <w:ilvl w:val="0"/>
          <w:numId w:val="1019"/>
        </w:numPr>
        <w:pStyle w:val="Compact"/>
      </w:pPr>
      <w:r>
        <w:t xml:space="preserve">requisitos típicos de levantamento de peso, permanência em pé, alcance, temperatura, ruído e horário;</w:t>
      </w:r>
    </w:p>
    <w:p>
      <w:pPr>
        <w:numPr>
          <w:ilvl w:val="0"/>
          <w:numId w:val="1019"/>
        </w:numPr>
        <w:pStyle w:val="Compact"/>
      </w:pPr>
      <w:r>
        <w:t xml:space="preserve">se há carrinhos, dispositivos de elevação, tapetes antifadiga, superfícies de trabalho ajustáveis, sistemas digitais acessíveis, ferramentas modificadas ou reestruturação de tarefas;</w:t>
      </w:r>
    </w:p>
    <w:p>
      <w:pPr>
        <w:numPr>
          <w:ilvl w:val="0"/>
          <w:numId w:val="1019"/>
        </w:numPr>
        <w:pStyle w:val="Compact"/>
      </w:pPr>
      <w:r>
        <w:t xml:space="preserve">como solicitações de acomodação são tratadas;</w:t>
      </w:r>
    </w:p>
    <w:p>
      <w:pPr>
        <w:numPr>
          <w:ilvl w:val="0"/>
          <w:numId w:val="1019"/>
        </w:numPr>
        <w:pStyle w:val="Compact"/>
      </w:pPr>
      <w:r>
        <w:t xml:space="preserve">se os materiais de treinamento estão disponíveis em formatos acessíveis.</w:t>
      </w:r>
    </w:p>
    <w:p>
      <w:pPr>
        <w:pStyle w:val="FirstParagraph"/>
      </w:pPr>
      <w:r>
        <w:t xml:space="preserve">Siga o processo estabelecido de acomodação do empregador ou provedor de treinamento e os requisitos aplicáveis. Este guia não oferece aconselhamento jurídico nem garante uma acomodação específica.</w:t>
      </w:r>
    </w:p>
    <w:bookmarkEnd w:id="50"/>
    <w:bookmarkStart w:id="51" w:name="privacidade-e-informações-do-negócio"/>
    <w:p>
      <w:pPr>
        <w:pStyle w:val="Heading2"/>
      </w:pPr>
      <w:r>
        <w:t xml:space="preserve">Privacidade e informações do negócio</w:t>
      </w:r>
    </w:p>
    <w:p>
      <w:pPr>
        <w:pStyle w:val="FirstParagraph"/>
      </w:pPr>
      <w:r>
        <w:t xml:space="preserve">Sistemas de padaria podem conter pedidos de clientes, dados de pagamento, registros de empregados, escalas, informações de fornecedores, receitas, especificações de produção, dados de vendas e informações de estoque.</w:t>
      </w:r>
    </w:p>
    <w:p>
      <w:pPr>
        <w:pStyle w:val="BodyText"/>
      </w:pPr>
      <w:r>
        <w:t xml:space="preserve">Boas práticas incluem:</w:t>
      </w:r>
    </w:p>
    <w:p>
      <w:pPr>
        <w:numPr>
          <w:ilvl w:val="0"/>
          <w:numId w:val="1020"/>
        </w:numPr>
        <w:pStyle w:val="Compact"/>
      </w:pPr>
      <w:r>
        <w:t xml:space="preserve">usar somente o acesso necessário para seu trabalho;</w:t>
      </w:r>
    </w:p>
    <w:p>
      <w:pPr>
        <w:numPr>
          <w:ilvl w:val="0"/>
          <w:numId w:val="1020"/>
        </w:numPr>
        <w:pStyle w:val="Compact"/>
      </w:pPr>
      <w:r>
        <w:t xml:space="preserve">nunca compartilhar senhas ou credenciais de POS;</w:t>
      </w:r>
    </w:p>
    <w:p>
      <w:pPr>
        <w:numPr>
          <w:ilvl w:val="0"/>
          <w:numId w:val="1020"/>
        </w:numPr>
        <w:pStyle w:val="Compact"/>
      </w:pPr>
      <w:r>
        <w:t xml:space="preserve">bloquear a tela ao deixar um terminal;</w:t>
      </w:r>
    </w:p>
    <w:p>
      <w:pPr>
        <w:numPr>
          <w:ilvl w:val="0"/>
          <w:numId w:val="1020"/>
        </w:numPr>
        <w:pStyle w:val="Compact"/>
      </w:pPr>
      <w:r>
        <w:t xml:space="preserve">seguir procedimentos de cartões de pagamento;</w:t>
      </w:r>
    </w:p>
    <w:p>
      <w:pPr>
        <w:numPr>
          <w:ilvl w:val="0"/>
          <w:numId w:val="1020"/>
        </w:numPr>
        <w:pStyle w:val="Compact"/>
      </w:pPr>
      <w:r>
        <w:t xml:space="preserve">usar canais aprovados para escalas, folha, pedidos de clientes e registros de fornecedores;</w:t>
      </w:r>
    </w:p>
    <w:p>
      <w:pPr>
        <w:numPr>
          <w:ilvl w:val="0"/>
          <w:numId w:val="1020"/>
        </w:numPr>
        <w:pStyle w:val="Compact"/>
      </w:pPr>
      <w:r>
        <w:t xml:space="preserve">não fotografar nem copiar receitas confidenciais ou informações de produção sem permissão;</w:t>
      </w:r>
    </w:p>
    <w:p>
      <w:pPr>
        <w:numPr>
          <w:ilvl w:val="0"/>
          <w:numId w:val="1020"/>
        </w:numPr>
        <w:pStyle w:val="Compact"/>
      </w:pPr>
      <w:r>
        <w:t xml:space="preserve">descartar com segurança registros impressos de produção ou clientes;</w:t>
      </w:r>
    </w:p>
    <w:p>
      <w:pPr>
        <w:numPr>
          <w:ilvl w:val="0"/>
          <w:numId w:val="1020"/>
        </w:numPr>
        <w:pStyle w:val="Compact"/>
      </w:pPr>
      <w:r>
        <w:t xml:space="preserve">relatar suspeita de acesso não autorizado ou fraude.</w:t>
      </w:r>
    </w:p>
    <w:bookmarkEnd w:id="51"/>
    <w:bookmarkStart w:id="52" w:name="cibersegurança"/>
    <w:p>
      <w:pPr>
        <w:pStyle w:val="Heading2"/>
      </w:pPr>
      <w:r>
        <w:t xml:space="preserve">Cibersegurança</w:t>
      </w:r>
    </w:p>
    <w:p>
      <w:pPr>
        <w:pStyle w:val="FirstParagraph"/>
      </w:pPr>
      <w:r>
        <w:t xml:space="preserve">Padarias modernas podem usar sistemas de POS, pedidos on-line, plataformas de entrega, aplicativos de fidelidade, ferramentas de estoque, software de planejamento de produção, escalas em nuvem, sistemas de folha de pagamento, Wi-Fi, cartões-presente digitais e portais de fornecedores.</w:t>
      </w:r>
    </w:p>
    <w:p>
      <w:pPr>
        <w:pStyle w:val="BodyText"/>
      </w:pPr>
      <w:r>
        <w:t xml:space="preserve">Tenha cuidado com solicitações inesperadas de:</w:t>
      </w:r>
    </w:p>
    <w:p>
      <w:pPr>
        <w:numPr>
          <w:ilvl w:val="0"/>
          <w:numId w:val="1021"/>
        </w:numPr>
        <w:pStyle w:val="Compact"/>
      </w:pPr>
      <w:r>
        <w:t xml:space="preserve">redefinição de senha;</w:t>
      </w:r>
    </w:p>
    <w:p>
      <w:pPr>
        <w:numPr>
          <w:ilvl w:val="0"/>
          <w:numId w:val="1021"/>
        </w:numPr>
        <w:pStyle w:val="Compact"/>
      </w:pPr>
      <w:r>
        <w:t xml:space="preserve">códigos QR;</w:t>
      </w:r>
    </w:p>
    <w:p>
      <w:pPr>
        <w:numPr>
          <w:ilvl w:val="0"/>
          <w:numId w:val="1021"/>
        </w:numPr>
        <w:pStyle w:val="Compact"/>
      </w:pPr>
      <w:r>
        <w:t xml:space="preserve">faturas de fornecedores;</w:t>
      </w:r>
    </w:p>
    <w:p>
      <w:pPr>
        <w:numPr>
          <w:ilvl w:val="0"/>
          <w:numId w:val="1021"/>
        </w:numPr>
        <w:pStyle w:val="Compact"/>
      </w:pPr>
      <w:r>
        <w:t xml:space="preserve">alteração de informações bancárias ou de folha;</w:t>
      </w:r>
    </w:p>
    <w:p>
      <w:pPr>
        <w:numPr>
          <w:ilvl w:val="0"/>
          <w:numId w:val="1021"/>
        </w:numPr>
        <w:pStyle w:val="Compact"/>
      </w:pPr>
      <w:r>
        <w:t xml:space="preserve">cartões-presente;</w:t>
      </w:r>
    </w:p>
    <w:p>
      <w:pPr>
        <w:numPr>
          <w:ilvl w:val="0"/>
          <w:numId w:val="1021"/>
        </w:numPr>
        <w:pStyle w:val="Compact"/>
      </w:pPr>
      <w:r>
        <w:t xml:space="preserve">anexos ou links;</w:t>
      </w:r>
    </w:p>
    <w:p>
      <w:pPr>
        <w:numPr>
          <w:ilvl w:val="0"/>
          <w:numId w:val="1021"/>
        </w:numPr>
        <w:pStyle w:val="Compact"/>
      </w:pPr>
      <w:r>
        <w:t xml:space="preserve">credenciais ou acesso remoto.</w:t>
      </w:r>
    </w:p>
    <w:p>
      <w:pPr>
        <w:pStyle w:val="FirstParagraph"/>
      </w:pPr>
      <w:r>
        <w:t xml:space="preserve">Verifique solicitações incomuns por um canal independente aprovado. Urgência de produção não é motivo para contornar controles de segurança.</w:t>
      </w:r>
    </w:p>
    <w:bookmarkEnd w:id="52"/>
    <w:bookmarkStart w:id="53" w:name="X0574f58216f514a118325c835d928e8c3e45adb"/>
    <w:p>
      <w:pPr>
        <w:pStyle w:val="Heading2"/>
      </w:pPr>
      <w:r>
        <w:t xml:space="preserve">Uso responsável de inteligência artificial</w:t>
      </w:r>
    </w:p>
    <w:p>
      <w:pPr>
        <w:pStyle w:val="FirstParagraph"/>
      </w:pPr>
      <w:r>
        <w:t xml:space="preserve">Ferramentas de IA podem ajudar em tarefas de baixo risco, como criar perguntas para prática de entrevista, rascunhar um roteiro de treinamento não sensível, organizar anotações de estudo ou explorar ideias de produtos que serão revisadas por uma pessoa qualificada.</w:t>
      </w:r>
    </w:p>
    <w:p>
      <w:pPr>
        <w:pStyle w:val="BodyText"/>
      </w:pPr>
      <w:r>
        <w:rPr>
          <w:bCs/>
          <w:b/>
        </w:rPr>
        <w:t xml:space="preserve">Não</w:t>
      </w:r>
      <w:r>
        <w:t xml:space="preserve"> </w:t>
      </w:r>
      <w:r>
        <w:t xml:space="preserve">coloque as informações abaixo em um sistema público de IA sem aprovação organizacional explícita:</w:t>
      </w:r>
    </w:p>
    <w:p>
      <w:pPr>
        <w:numPr>
          <w:ilvl w:val="0"/>
          <w:numId w:val="1022"/>
        </w:numPr>
        <w:pStyle w:val="Compact"/>
      </w:pPr>
      <w:r>
        <w:t xml:space="preserve">informações de cartão de pagamento;</w:t>
      </w:r>
    </w:p>
    <w:p>
      <w:pPr>
        <w:numPr>
          <w:ilvl w:val="0"/>
          <w:numId w:val="1022"/>
        </w:numPr>
        <w:pStyle w:val="Compact"/>
      </w:pPr>
      <w:r>
        <w:t xml:space="preserve">folha de pagamento ou registros de empregados;</w:t>
      </w:r>
    </w:p>
    <w:p>
      <w:pPr>
        <w:numPr>
          <w:ilvl w:val="0"/>
          <w:numId w:val="1022"/>
        </w:numPr>
        <w:pStyle w:val="Compact"/>
      </w:pPr>
      <w:r>
        <w:t xml:space="preserve">informações pessoais de clientes;</w:t>
      </w:r>
    </w:p>
    <w:p>
      <w:pPr>
        <w:numPr>
          <w:ilvl w:val="0"/>
          <w:numId w:val="1022"/>
        </w:numPr>
        <w:pStyle w:val="Compact"/>
      </w:pPr>
      <w:r>
        <w:t xml:space="preserve">credenciais ou senhas;</w:t>
      </w:r>
    </w:p>
    <w:p>
      <w:pPr>
        <w:numPr>
          <w:ilvl w:val="0"/>
          <w:numId w:val="1022"/>
        </w:numPr>
        <w:pStyle w:val="Compact"/>
      </w:pPr>
      <w:r>
        <w:t xml:space="preserve">receitas, fórmulas ou especificações de produção confidenciais;</w:t>
      </w:r>
    </w:p>
    <w:p>
      <w:pPr>
        <w:numPr>
          <w:ilvl w:val="0"/>
          <w:numId w:val="1022"/>
        </w:numPr>
        <w:pStyle w:val="Compact"/>
      </w:pPr>
      <w:r>
        <w:t xml:space="preserve">dados não publicados de vendas ou produção;</w:t>
      </w:r>
    </w:p>
    <w:p>
      <w:pPr>
        <w:numPr>
          <w:ilvl w:val="0"/>
          <w:numId w:val="1022"/>
        </w:numPr>
        <w:pStyle w:val="Compact"/>
      </w:pPr>
      <w:r>
        <w:t xml:space="preserve">informações bancárias de fornecedores;</w:t>
      </w:r>
    </w:p>
    <w:p>
      <w:pPr>
        <w:numPr>
          <w:ilvl w:val="0"/>
          <w:numId w:val="1022"/>
        </w:numPr>
        <w:pStyle w:val="Compact"/>
      </w:pPr>
      <w:r>
        <w:t xml:space="preserve">relatórios de incidentes;</w:t>
      </w:r>
    </w:p>
    <w:p>
      <w:pPr>
        <w:numPr>
          <w:ilvl w:val="0"/>
          <w:numId w:val="1022"/>
        </w:numPr>
        <w:pStyle w:val="Compact"/>
      </w:pPr>
      <w:r>
        <w:t xml:space="preserve">investigações internas ou outras informações comerciais restritas.</w:t>
      </w:r>
    </w:p>
    <w:p>
      <w:pPr>
        <w:pStyle w:val="FirstParagraph"/>
      </w:pPr>
      <w:r>
        <w:t xml:space="preserve">A IA não deve decidir de forma independente:</w:t>
      </w:r>
    </w:p>
    <w:p>
      <w:pPr>
        <w:numPr>
          <w:ilvl w:val="0"/>
          <w:numId w:val="1023"/>
        </w:numPr>
        <w:pStyle w:val="Compact"/>
      </w:pPr>
      <w:r>
        <w:t xml:space="preserve">se um alimento é seguro para venda ou consumo;</w:t>
      </w:r>
    </w:p>
    <w:p>
      <w:pPr>
        <w:numPr>
          <w:ilvl w:val="0"/>
          <w:numId w:val="1023"/>
        </w:numPr>
        <w:pStyle w:val="Compact"/>
      </w:pPr>
      <w:r>
        <w:t xml:space="preserve">se um alergênico está presente;</w:t>
      </w:r>
    </w:p>
    <w:p>
      <w:pPr>
        <w:numPr>
          <w:ilvl w:val="0"/>
          <w:numId w:val="1023"/>
        </w:numPr>
        <w:pStyle w:val="Compact"/>
      </w:pPr>
      <w:r>
        <w:t xml:space="preserve">se uma pessoa tem alergia ou condição médica;</w:t>
      </w:r>
    </w:p>
    <w:p>
      <w:pPr>
        <w:numPr>
          <w:ilvl w:val="0"/>
          <w:numId w:val="1023"/>
        </w:numPr>
        <w:pStyle w:val="Compact"/>
      </w:pPr>
      <w:r>
        <w:t xml:space="preserve">se um requisito legal ou regulatório se aplica;</w:t>
      </w:r>
    </w:p>
    <w:p>
      <w:pPr>
        <w:numPr>
          <w:ilvl w:val="0"/>
          <w:numId w:val="1023"/>
        </w:numPr>
        <w:pStyle w:val="Compact"/>
      </w:pPr>
      <w:r>
        <w:t xml:space="preserve">se um controle de segurança pode ser ignorado;</w:t>
      </w:r>
    </w:p>
    <w:p>
      <w:pPr>
        <w:numPr>
          <w:ilvl w:val="0"/>
          <w:numId w:val="1023"/>
        </w:numPr>
        <w:pStyle w:val="Compact"/>
      </w:pPr>
      <w:r>
        <w:t xml:space="preserve">se um incidente pode ser ignorado;</w:t>
      </w:r>
    </w:p>
    <w:p>
      <w:pPr>
        <w:numPr>
          <w:ilvl w:val="0"/>
          <w:numId w:val="1023"/>
        </w:numPr>
        <w:pStyle w:val="Compact"/>
      </w:pPr>
      <w:r>
        <w:t xml:space="preserve">quem deve ser contratado, demitido, disciplinado ou promovido.</w:t>
      </w:r>
    </w:p>
    <w:p>
      <w:pPr>
        <w:pStyle w:val="FirstParagraph"/>
      </w:pPr>
      <w:r>
        <w:t xml:space="preserve">É necessária revisão humana para receitas, rótulos, comunicações sobre alergênicos, escalas, materiais de treinamento, comunicações com clientes, planos de produção e decisões operacionais assistidos por IA.</w:t>
      </w:r>
    </w:p>
    <w:bookmarkEnd w:id="53"/>
    <w:bookmarkStart w:id="60" w:name="plano-de-início-de-12-semanas"/>
    <w:p>
      <w:pPr>
        <w:pStyle w:val="Heading2"/>
      </w:pPr>
      <w:r>
        <w:t xml:space="preserve">Plano de início de 12 semanas</w:t>
      </w:r>
    </w:p>
    <w:bookmarkStart w:id="54" w:name="X4a5ef5eceb09268522dc60fe8a80e3d4a6446f7"/>
    <w:p>
      <w:pPr>
        <w:pStyle w:val="Heading3"/>
      </w:pPr>
      <w:r>
        <w:t xml:space="preserve">Semanas 1–2 — Aprenda segurança e fluxo de trabalho</w:t>
      </w:r>
    </w:p>
    <w:p>
      <w:pPr>
        <w:numPr>
          <w:ilvl w:val="0"/>
          <w:numId w:val="1024"/>
        </w:numPr>
        <w:pStyle w:val="Compact"/>
      </w:pPr>
      <w:r>
        <w:t xml:space="preserve">Aprenda procedimentos de lavagem das mãos, higienização, relato de doença, alergênicos e incidentes.</w:t>
      </w:r>
    </w:p>
    <w:p>
      <w:pPr>
        <w:numPr>
          <w:ilvl w:val="0"/>
          <w:numId w:val="1024"/>
        </w:numPr>
        <w:pStyle w:val="Compact"/>
      </w:pPr>
      <w:r>
        <w:t xml:space="preserve">Aprenda saídas de emergência, resposta a queimaduras/cortes, regras de proteção de máquinas e levantamento seguro.</w:t>
      </w:r>
    </w:p>
    <w:p>
      <w:pPr>
        <w:numPr>
          <w:ilvl w:val="0"/>
          <w:numId w:val="1024"/>
        </w:numPr>
        <w:pStyle w:val="Compact"/>
      </w:pPr>
      <w:r>
        <w:t xml:space="preserve">Identifique quem tem autoridade para decisões de segurança dos alimentos, qualidade, manutenção e produção.</w:t>
      </w:r>
    </w:p>
    <w:bookmarkEnd w:id="54"/>
    <w:bookmarkStart w:id="55" w:name="X52092a0a430ebd02afc32f7f17d62f870190d6a"/>
    <w:p>
      <w:pPr>
        <w:pStyle w:val="Heading3"/>
      </w:pPr>
      <w:r>
        <w:t xml:space="preserve">Semanas 3–4 — Desenvolva habilidades de medição</w:t>
      </w:r>
    </w:p>
    <w:p>
      <w:pPr>
        <w:numPr>
          <w:ilvl w:val="0"/>
          <w:numId w:val="1025"/>
        </w:numPr>
        <w:pStyle w:val="Compact"/>
      </w:pPr>
      <w:r>
        <w:t xml:space="preserve">Pratique pesagem e medição com precisão.</w:t>
      </w:r>
    </w:p>
    <w:p>
      <w:pPr>
        <w:numPr>
          <w:ilvl w:val="0"/>
          <w:numId w:val="1025"/>
        </w:numPr>
        <w:pStyle w:val="Compact"/>
      </w:pPr>
      <w:r>
        <w:t xml:space="preserve">Aprenda as receitas ou fórmulas do empregador.</w:t>
      </w:r>
    </w:p>
    <w:p>
      <w:pPr>
        <w:numPr>
          <w:ilvl w:val="0"/>
          <w:numId w:val="1025"/>
        </w:numPr>
        <w:pStyle w:val="Compact"/>
      </w:pPr>
      <w:r>
        <w:t xml:space="preserve">Entenda tamanho de lote, rendimento, desperdício e registros básicos de produção.</w:t>
      </w:r>
    </w:p>
    <w:p>
      <w:pPr>
        <w:numPr>
          <w:ilvl w:val="0"/>
          <w:numId w:val="1025"/>
        </w:numPr>
        <w:pStyle w:val="Compact"/>
      </w:pPr>
      <w:r>
        <w:t xml:space="preserve">Aprenda o uso seguro de balanças, misturadores, fornos e outros equipamentos atribuídos.</w:t>
      </w:r>
    </w:p>
    <w:bookmarkEnd w:id="55"/>
    <w:bookmarkStart w:id="56" w:name="X0c671147edcdfa49ab59efe7e6c2c6f86646280"/>
    <w:p>
      <w:pPr>
        <w:pStyle w:val="Heading3"/>
      </w:pPr>
      <w:r>
        <w:t xml:space="preserve">Semanas 5–6 — Desenvolva consistência de massa e assamento</w:t>
      </w:r>
    </w:p>
    <w:p>
      <w:pPr>
        <w:numPr>
          <w:ilvl w:val="0"/>
          <w:numId w:val="1026"/>
        </w:numPr>
        <w:pStyle w:val="Compact"/>
      </w:pPr>
      <w:r>
        <w:t xml:space="preserve">Pratique mistura, modelagem, fermentação, assamento, resfriamento e armazenamento.</w:t>
      </w:r>
    </w:p>
    <w:p>
      <w:pPr>
        <w:numPr>
          <w:ilvl w:val="0"/>
          <w:numId w:val="1026"/>
        </w:numPr>
        <w:pStyle w:val="Compact"/>
      </w:pPr>
      <w:r>
        <w:t xml:space="preserve">Compare produtos acabados com os padrões de qualidade aprovados.</w:t>
      </w:r>
    </w:p>
    <w:p>
      <w:pPr>
        <w:numPr>
          <w:ilvl w:val="0"/>
          <w:numId w:val="1026"/>
        </w:numPr>
        <w:pStyle w:val="Compact"/>
      </w:pPr>
      <w:r>
        <w:t xml:space="preserve">Aprenda quais defeitos exigem descarte, retrabalho ou escalonamento.</w:t>
      </w:r>
    </w:p>
    <w:bookmarkEnd w:id="56"/>
    <w:bookmarkStart w:id="57" w:name="X18c5af803e5750287bed2b68e0a18151e1deb77"/>
    <w:p>
      <w:pPr>
        <w:pStyle w:val="Heading3"/>
      </w:pPr>
      <w:r>
        <w:t xml:space="preserve">Semanas 7–8 — Fortaleça a disciplina de produção</w:t>
      </w:r>
    </w:p>
    <w:p>
      <w:pPr>
        <w:numPr>
          <w:ilvl w:val="0"/>
          <w:numId w:val="1027"/>
        </w:numPr>
        <w:pStyle w:val="Compact"/>
      </w:pPr>
      <w:r>
        <w:t xml:space="preserve">Aprenda rotação de estoque e procedimentos de recebimento.</w:t>
      </w:r>
    </w:p>
    <w:p>
      <w:pPr>
        <w:numPr>
          <w:ilvl w:val="0"/>
          <w:numId w:val="1027"/>
        </w:numPr>
        <w:pStyle w:val="Compact"/>
      </w:pPr>
      <w:r>
        <w:t xml:space="preserve">Pratique preparação e limpeza que reduzam contaminação cruzada e atrasos.</w:t>
      </w:r>
    </w:p>
    <w:p>
      <w:pPr>
        <w:numPr>
          <w:ilvl w:val="0"/>
          <w:numId w:val="1027"/>
        </w:numPr>
        <w:pStyle w:val="Compact"/>
      </w:pPr>
      <w:r>
        <w:t xml:space="preserve">Estude noções básicas de estoque e planejamento de produção.</w:t>
      </w:r>
    </w:p>
    <w:bookmarkEnd w:id="57"/>
    <w:bookmarkStart w:id="58" w:name="semanas-910--acrescente-especialização"/>
    <w:p>
      <w:pPr>
        <w:pStyle w:val="Heading3"/>
      </w:pPr>
      <w:r>
        <w:t xml:space="preserve">Semanas 9–10 — Acrescente especialização</w:t>
      </w:r>
    </w:p>
    <w:p>
      <w:pPr>
        <w:numPr>
          <w:ilvl w:val="0"/>
          <w:numId w:val="1028"/>
        </w:numPr>
        <w:pStyle w:val="Compact"/>
      </w:pPr>
      <w:r>
        <w:t xml:space="preserve">Pratique confeitaria, acabamento de bolos, variedades de pães ou outra especialidade relevante.</w:t>
      </w:r>
    </w:p>
    <w:p>
      <w:pPr>
        <w:numPr>
          <w:ilvl w:val="0"/>
          <w:numId w:val="1028"/>
        </w:numPr>
        <w:pStyle w:val="Compact"/>
      </w:pPr>
      <w:r>
        <w:t xml:space="preserve">Aprenda responsabilidades de embalagem e rotulagem quando atribuídas.</w:t>
      </w:r>
    </w:p>
    <w:p>
      <w:pPr>
        <w:numPr>
          <w:ilvl w:val="0"/>
          <w:numId w:val="1028"/>
        </w:numPr>
        <w:pStyle w:val="Compact"/>
      </w:pPr>
      <w:r>
        <w:t xml:space="preserve">Solicite treinamento cruzado supervisionado em equipamentos ou processos adicionais.</w:t>
      </w:r>
    </w:p>
    <w:bookmarkEnd w:id="58"/>
    <w:bookmarkStart w:id="59" w:name="X32487e9229c9e8f9b02b78dd78c16f49a21f7f5"/>
    <w:p>
      <w:pPr>
        <w:pStyle w:val="Heading3"/>
      </w:pPr>
      <w:r>
        <w:t xml:space="preserve">Semanas 11–12 — Construa evidências para avançar</w:t>
      </w:r>
    </w:p>
    <w:p>
      <w:pPr>
        <w:numPr>
          <w:ilvl w:val="0"/>
          <w:numId w:val="1029"/>
        </w:numPr>
        <w:pStyle w:val="Compact"/>
      </w:pPr>
      <w:r>
        <w:t xml:space="preserve">Documente o treinamento concluído.</w:t>
      </w:r>
    </w:p>
    <w:p>
      <w:pPr>
        <w:numPr>
          <w:ilvl w:val="0"/>
          <w:numId w:val="1029"/>
        </w:numPr>
        <w:pStyle w:val="Compact"/>
      </w:pPr>
      <w:r>
        <w:t xml:space="preserve">Registre exemplos mensuráveis de qualidade consistente, redução de desperdício, trabalho seguro, confiabilidade ou treinamento cruzado bem-sucedido sem revelar dados confidenciais.</w:t>
      </w:r>
    </w:p>
    <w:p>
      <w:pPr>
        <w:numPr>
          <w:ilvl w:val="0"/>
          <w:numId w:val="1029"/>
        </w:numPr>
        <w:pStyle w:val="Compact"/>
      </w:pPr>
      <w:r>
        <w:t xml:space="preserve">Pergunte quais habilidades diferenciam trabalhadores iniciantes de padeiros sêniores, especialistas em confeitaria, líderes de turno ou supervisores.</w:t>
      </w:r>
    </w:p>
    <w:p>
      <w:pPr>
        <w:numPr>
          <w:ilvl w:val="0"/>
          <w:numId w:val="1029"/>
        </w:numPr>
        <w:pStyle w:val="Compact"/>
      </w:pPr>
      <w:r>
        <w:t xml:space="preserve">Identifique a próxima credencial de baixo custo ou experiência que realmente melhore o acesso à função-alvo.</w:t>
      </w:r>
    </w:p>
    <w:bookmarkEnd w:id="59"/>
    <w:bookmarkEnd w:id="60"/>
    <w:bookmarkStart w:id="61" w:name="ideias-para-desenvolver-experiência"/>
    <w:p>
      <w:pPr>
        <w:pStyle w:val="Heading2"/>
      </w:pPr>
      <w:r>
        <w:t xml:space="preserve">Ideias para desenvolver experiência</w:t>
      </w:r>
    </w:p>
    <w:p>
      <w:pPr>
        <w:pStyle w:val="FirstParagraph"/>
      </w:pPr>
      <w:r>
        <w:t xml:space="preserve">Evidências úteis podem vir de:</w:t>
      </w:r>
    </w:p>
    <w:p>
      <w:pPr>
        <w:numPr>
          <w:ilvl w:val="0"/>
          <w:numId w:val="1030"/>
        </w:numPr>
        <w:pStyle w:val="Compact"/>
      </w:pPr>
      <w:r>
        <w:t xml:space="preserve">concluir um curso reconhecido de segurança dos alimentos exigido pelo empregador;</w:t>
      </w:r>
    </w:p>
    <w:p>
      <w:pPr>
        <w:numPr>
          <w:ilvl w:val="0"/>
          <w:numId w:val="1030"/>
        </w:numPr>
        <w:pStyle w:val="Compact"/>
      </w:pPr>
      <w:r>
        <w:t xml:space="preserve">produzir lotes consistentes conforme especificação;</w:t>
      </w:r>
    </w:p>
    <w:p>
      <w:pPr>
        <w:numPr>
          <w:ilvl w:val="0"/>
          <w:numId w:val="1030"/>
        </w:numPr>
        <w:pStyle w:val="Compact"/>
      </w:pPr>
      <w:r>
        <w:t xml:space="preserve">aprender várias estações;</w:t>
      </w:r>
    </w:p>
    <w:p>
      <w:pPr>
        <w:numPr>
          <w:ilvl w:val="0"/>
          <w:numId w:val="1030"/>
        </w:numPr>
        <w:pStyle w:val="Compact"/>
      </w:pPr>
      <w:r>
        <w:t xml:space="preserve">reduzir erros de preparação ou desperdício;</w:t>
      </w:r>
    </w:p>
    <w:p>
      <w:pPr>
        <w:numPr>
          <w:ilvl w:val="0"/>
          <w:numId w:val="1030"/>
        </w:numPr>
        <w:pStyle w:val="Compact"/>
      </w:pPr>
      <w:r>
        <w:t xml:space="preserve">melhorar a rotação de estoque;</w:t>
      </w:r>
    </w:p>
    <w:p>
      <w:pPr>
        <w:numPr>
          <w:ilvl w:val="0"/>
          <w:numId w:val="1030"/>
        </w:numPr>
        <w:pStyle w:val="Compact"/>
      </w:pPr>
      <w:r>
        <w:t xml:space="preserve">manter registros de produção precisos;</w:t>
      </w:r>
    </w:p>
    <w:p>
      <w:pPr>
        <w:numPr>
          <w:ilvl w:val="0"/>
          <w:numId w:val="1030"/>
        </w:numPr>
        <w:pStyle w:val="Compact"/>
      </w:pPr>
      <w:r>
        <w:t xml:space="preserve">apoiar o lançamento de um produto;</w:t>
      </w:r>
    </w:p>
    <w:p>
      <w:pPr>
        <w:numPr>
          <w:ilvl w:val="0"/>
          <w:numId w:val="1030"/>
        </w:numPr>
        <w:pStyle w:val="Compact"/>
      </w:pPr>
      <w:r>
        <w:t xml:space="preserve">treinar um novo colega sob supervisão;</w:t>
      </w:r>
    </w:p>
    <w:p>
      <w:pPr>
        <w:numPr>
          <w:ilvl w:val="0"/>
          <w:numId w:val="1030"/>
        </w:numPr>
        <w:pStyle w:val="Compact"/>
      </w:pPr>
      <w:r>
        <w:t xml:space="preserve">demonstrar assiduidade confiável em turnos de madrugada ou noturnos;</w:t>
      </w:r>
    </w:p>
    <w:p>
      <w:pPr>
        <w:numPr>
          <w:ilvl w:val="0"/>
          <w:numId w:val="1030"/>
        </w:numPr>
        <w:pStyle w:val="Compact"/>
      </w:pPr>
      <w:r>
        <w:t xml:space="preserve">apoiar uma inspeção ou revisão interna de qualidade;</w:t>
      </w:r>
    </w:p>
    <w:p>
      <w:pPr>
        <w:numPr>
          <w:ilvl w:val="0"/>
          <w:numId w:val="1030"/>
        </w:numPr>
        <w:pStyle w:val="Compact"/>
      </w:pPr>
      <w:r>
        <w:t xml:space="preserve">concluir um módulo público do SENA, community college, programa técnico ou aprendizagem;</w:t>
      </w:r>
    </w:p>
    <w:p>
      <w:pPr>
        <w:numPr>
          <w:ilvl w:val="0"/>
          <w:numId w:val="1030"/>
        </w:numPr>
        <w:pStyle w:val="Compact"/>
      </w:pPr>
      <w:r>
        <w:t xml:space="preserve">montar um portfólio fotográfico somente quando a política do empregador permitir e nenhuma informação confidencial for exposta.</w:t>
      </w:r>
    </w:p>
    <w:bookmarkEnd w:id="61"/>
    <w:bookmarkStart w:id="62" w:name="progressão-de-carreira"/>
    <w:p>
      <w:pPr>
        <w:pStyle w:val="Heading2"/>
      </w:pPr>
      <w:r>
        <w:t xml:space="preserve">Progressão de carreira</w:t>
      </w:r>
    </w:p>
    <w:p>
      <w:pPr>
        <w:pStyle w:val="FirstParagraph"/>
      </w:pPr>
      <w:r>
        <w:t xml:space="preserve">Caminhos possíveis incluem:</w:t>
      </w:r>
    </w:p>
    <w:p>
      <w:pPr>
        <w:numPr>
          <w:ilvl w:val="0"/>
          <w:numId w:val="1031"/>
        </w:numPr>
        <w:pStyle w:val="Compact"/>
      </w:pPr>
      <w:r>
        <w:t xml:space="preserve">auxiliar de padaria / auxiliar de produção;</w:t>
      </w:r>
    </w:p>
    <w:p>
      <w:pPr>
        <w:numPr>
          <w:ilvl w:val="0"/>
          <w:numId w:val="1031"/>
        </w:numPr>
        <w:pStyle w:val="Compact"/>
      </w:pPr>
      <w:r>
        <w:t xml:space="preserve">trainee de padeiro;</w:t>
      </w:r>
    </w:p>
    <w:p>
      <w:pPr>
        <w:numPr>
          <w:ilvl w:val="0"/>
          <w:numId w:val="1031"/>
        </w:numPr>
        <w:pStyle w:val="Compact"/>
      </w:pPr>
      <w:r>
        <w:t xml:space="preserve">padeiro;</w:t>
      </w:r>
    </w:p>
    <w:p>
      <w:pPr>
        <w:numPr>
          <w:ilvl w:val="0"/>
          <w:numId w:val="1031"/>
        </w:numPr>
        <w:pStyle w:val="Compact"/>
      </w:pPr>
      <w:r>
        <w:t xml:space="preserve">padeiro de pães;</w:t>
      </w:r>
    </w:p>
    <w:p>
      <w:pPr>
        <w:numPr>
          <w:ilvl w:val="0"/>
          <w:numId w:val="1031"/>
        </w:numPr>
        <w:pStyle w:val="Compact"/>
      </w:pPr>
      <w:r>
        <w:t xml:space="preserve">trabalhador de produção de confeitaria;</w:t>
      </w:r>
    </w:p>
    <w:p>
      <w:pPr>
        <w:numPr>
          <w:ilvl w:val="0"/>
          <w:numId w:val="1031"/>
        </w:numPr>
        <w:pStyle w:val="Compact"/>
      </w:pPr>
      <w:r>
        <w:t xml:space="preserve">decorador de bolos;</w:t>
      </w:r>
    </w:p>
    <w:p>
      <w:pPr>
        <w:numPr>
          <w:ilvl w:val="0"/>
          <w:numId w:val="1031"/>
        </w:numPr>
        <w:pStyle w:val="Compact"/>
      </w:pPr>
      <w:r>
        <w:t xml:space="preserve">especialista em confeitaria;</w:t>
      </w:r>
    </w:p>
    <w:p>
      <w:pPr>
        <w:numPr>
          <w:ilvl w:val="0"/>
          <w:numId w:val="1031"/>
        </w:numPr>
        <w:pStyle w:val="Compact"/>
      </w:pPr>
      <w:r>
        <w:t xml:space="preserve">padeiro sênior;</w:t>
      </w:r>
    </w:p>
    <w:p>
      <w:pPr>
        <w:numPr>
          <w:ilvl w:val="0"/>
          <w:numId w:val="1031"/>
        </w:numPr>
        <w:pStyle w:val="Compact"/>
      </w:pPr>
      <w:r>
        <w:t xml:space="preserve">líder de turno;</w:t>
      </w:r>
    </w:p>
    <w:p>
      <w:pPr>
        <w:numPr>
          <w:ilvl w:val="0"/>
          <w:numId w:val="1031"/>
        </w:numPr>
        <w:pStyle w:val="Compact"/>
      </w:pPr>
      <w:r>
        <w:t xml:space="preserve">supervisor de padaria;</w:t>
      </w:r>
    </w:p>
    <w:p>
      <w:pPr>
        <w:numPr>
          <w:ilvl w:val="0"/>
          <w:numId w:val="1031"/>
        </w:numPr>
        <w:pStyle w:val="Compact"/>
      </w:pPr>
      <w:r>
        <w:t xml:space="preserve">gerente de padaria ou função de gestão de serviços de alimentação quando qualificações e autoridade sustentarem essa responsabilidade;</w:t>
      </w:r>
    </w:p>
    <w:p>
      <w:pPr>
        <w:numPr>
          <w:ilvl w:val="0"/>
          <w:numId w:val="1031"/>
        </w:numPr>
        <w:pStyle w:val="Compact"/>
      </w:pPr>
      <w:r>
        <w:t xml:space="preserve">aprendizagem, educação culinária, desenvolvimento de produto, qualidade, treinamento ou empreendedorismo.</w:t>
      </w:r>
    </w:p>
    <w:p>
      <w:pPr>
        <w:pStyle w:val="FirstParagraph"/>
      </w:pPr>
      <w:r>
        <w:t xml:space="preserve">A progressão não é automática. Títulos e autoridade variam conforme o empregador.</w:t>
      </w:r>
    </w:p>
    <w:bookmarkEnd w:id="62"/>
    <w:bookmarkStart w:id="63" w:name="Xb48b3b2caa2c4c2c5720d3d2d4e9564ea6034df"/>
    <w:p>
      <w:pPr>
        <w:pStyle w:val="Heading2"/>
      </w:pPr>
      <w:r>
        <w:t xml:space="preserve">Antes de aceitar um emprego ou programa de formação</w:t>
      </w:r>
    </w:p>
    <w:p>
      <w:pPr>
        <w:pStyle w:val="FirstParagraph"/>
      </w:pPr>
      <w:r>
        <w:t xml:space="preserve">Verifique:</w:t>
      </w:r>
    </w:p>
    <w:p>
      <w:pPr>
        <w:numPr>
          <w:ilvl w:val="0"/>
          <w:numId w:val="1032"/>
        </w:numPr>
        <w:pStyle w:val="Compact"/>
      </w:pPr>
      <w:r>
        <w:t xml:space="preserve">título exato e atribuições;</w:t>
      </w:r>
    </w:p>
    <w:p>
      <w:pPr>
        <w:numPr>
          <w:ilvl w:val="0"/>
          <w:numId w:val="1032"/>
        </w:numPr>
        <w:pStyle w:val="Compact"/>
      </w:pPr>
      <w:r>
        <w:t xml:space="preserve">se a função é horista ou assalariada;</w:t>
      </w:r>
    </w:p>
    <w:p>
      <w:pPr>
        <w:numPr>
          <w:ilvl w:val="0"/>
          <w:numId w:val="1032"/>
        </w:numPr>
        <w:pStyle w:val="Compact"/>
      </w:pPr>
      <w:r>
        <w:t xml:space="preserve">salário inicial e regras de horas extras;</w:t>
      </w:r>
    </w:p>
    <w:p>
      <w:pPr>
        <w:numPr>
          <w:ilvl w:val="0"/>
          <w:numId w:val="1032"/>
        </w:numPr>
        <w:pStyle w:val="Compact"/>
      </w:pPr>
      <w:r>
        <w:t xml:space="preserve">horas semanais típicas;</w:t>
      </w:r>
    </w:p>
    <w:p>
      <w:pPr>
        <w:numPr>
          <w:ilvl w:val="0"/>
          <w:numId w:val="1032"/>
        </w:numPr>
        <w:pStyle w:val="Compact"/>
      </w:pPr>
      <w:r>
        <w:t xml:space="preserve">expectativas de madrugada, noite, fim de semana e feriados;</w:t>
      </w:r>
    </w:p>
    <w:p>
      <w:pPr>
        <w:numPr>
          <w:ilvl w:val="0"/>
          <w:numId w:val="1032"/>
        </w:numPr>
        <w:pStyle w:val="Compact"/>
      </w:pPr>
      <w:r>
        <w:t xml:space="preserve">exigências de levantamento de peso, permanência em pé, temperatura, movimentos repetitivos e equipamentos;</w:t>
      </w:r>
    </w:p>
    <w:p>
      <w:pPr>
        <w:numPr>
          <w:ilvl w:val="0"/>
          <w:numId w:val="1032"/>
        </w:numPr>
        <w:pStyle w:val="Compact"/>
      </w:pPr>
      <w:r>
        <w:t xml:space="preserve">requisitos de segurança dos alimentos ou documentos de saúde;</w:t>
      </w:r>
    </w:p>
    <w:p>
      <w:pPr>
        <w:numPr>
          <w:ilvl w:val="0"/>
          <w:numId w:val="1032"/>
        </w:numPr>
        <w:pStyle w:val="Compact"/>
      </w:pPr>
      <w:r>
        <w:t xml:space="preserve">quem paga treinamento obrigatório, exames, uniformes, ferramentas e equipamentos de proteção;</w:t>
      </w:r>
    </w:p>
    <w:p>
      <w:pPr>
        <w:numPr>
          <w:ilvl w:val="0"/>
          <w:numId w:val="1032"/>
        </w:numPr>
        <w:pStyle w:val="Compact"/>
      </w:pPr>
      <w:r>
        <w:t xml:space="preserve">se o tempo de treinamento é remunerado quando aplicável;</w:t>
      </w:r>
    </w:p>
    <w:p>
      <w:pPr>
        <w:numPr>
          <w:ilvl w:val="0"/>
          <w:numId w:val="1032"/>
        </w:numPr>
        <w:pStyle w:val="Compact"/>
      </w:pPr>
      <w:r>
        <w:t xml:space="preserve">registro de aprendizagem e progressão salarial, se relevante;</w:t>
      </w:r>
    </w:p>
    <w:p>
      <w:pPr>
        <w:numPr>
          <w:ilvl w:val="0"/>
          <w:numId w:val="1032"/>
        </w:numPr>
        <w:pStyle w:val="Compact"/>
      </w:pPr>
      <w:r>
        <w:t xml:space="preserve">autoridade de supervisão exata;</w:t>
      </w:r>
    </w:p>
    <w:p>
      <w:pPr>
        <w:numPr>
          <w:ilvl w:val="0"/>
          <w:numId w:val="1032"/>
        </w:numPr>
        <w:pStyle w:val="Compact"/>
      </w:pPr>
      <w:r>
        <w:t xml:space="preserve">processo de acessibilidade/acomodação;</w:t>
      </w:r>
    </w:p>
    <w:p>
      <w:pPr>
        <w:numPr>
          <w:ilvl w:val="0"/>
          <w:numId w:val="1032"/>
        </w:numPr>
        <w:pStyle w:val="Compact"/>
      </w:pPr>
      <w:r>
        <w:t xml:space="preserve">custo total da educação incluindo ingredientes, uniformes, ferramentas, transporte, taxas e perda de tempo de trabalho;</w:t>
      </w:r>
    </w:p>
    <w:p>
      <w:pPr>
        <w:numPr>
          <w:ilvl w:val="0"/>
          <w:numId w:val="1032"/>
        </w:numPr>
        <w:pStyle w:val="Compact"/>
      </w:pPr>
      <w:r>
        <w:t xml:space="preserve">elegibilidade para bolsa, WIOA, reembolso do empregador ou programa público;</w:t>
      </w:r>
    </w:p>
    <w:p>
      <w:pPr>
        <w:numPr>
          <w:ilvl w:val="0"/>
          <w:numId w:val="1032"/>
        </w:numPr>
        <w:pStyle w:val="Compact"/>
      </w:pPr>
      <w:r>
        <w:t xml:space="preserve">alegações do provedor sobre graduação, colocação profissional e dívida usando dados verificáveis de forma independente.</w:t>
      </w:r>
    </w:p>
    <w:bookmarkEnd w:id="63"/>
    <w:bookmarkStart w:id="84" w:name="lista-controlada-de-fontes"/>
    <w:p>
      <w:pPr>
        <w:pStyle w:val="Heading2"/>
      </w:pPr>
      <w:r>
        <w:t xml:space="preserve">Lista controlada de fontes</w:t>
      </w:r>
    </w:p>
    <w:p>
      <w:pPr>
        <w:numPr>
          <w:ilvl w:val="0"/>
          <w:numId w:val="1033"/>
        </w:numPr>
        <w:pStyle w:val="Compact"/>
      </w:pPr>
      <w:hyperlink r:id="rId64">
        <w:hyperlink r:id="rId64">
          <w:r>
            <w:rPr>
              <w:rStyle w:val="Hyperlink"/>
            </w:rPr>
            <w:t xml:space="preserve">Source link</w:t>
          </w:r>
        </w:hyperlink>
      </w:hyperlink>
    </w:p>
    <w:p>
      <w:pPr>
        <w:numPr>
          <w:ilvl w:val="0"/>
          <w:numId w:val="1033"/>
        </w:numPr>
        <w:pStyle w:val="Compact"/>
      </w:pPr>
      <w:hyperlink r:id="rId65">
        <w:hyperlink r:id="rId65">
          <w:r>
            <w:rPr>
              <w:rStyle w:val="Hyperlink"/>
            </w:rPr>
            <w:t xml:space="preserve">Source link</w:t>
          </w:r>
        </w:hyperlink>
      </w:hyperlink>
    </w:p>
    <w:p>
      <w:pPr>
        <w:numPr>
          <w:ilvl w:val="0"/>
          <w:numId w:val="1033"/>
        </w:numPr>
        <w:pStyle w:val="Compact"/>
      </w:pPr>
      <w:hyperlink r:id="rId66">
        <w:hyperlink r:id="rId66">
          <w:r>
            <w:rPr>
              <w:rStyle w:val="Hyperlink"/>
            </w:rPr>
            <w:t xml:space="preserve">Source link</w:t>
          </w:r>
        </w:hyperlink>
      </w:hyperlink>
    </w:p>
    <w:p>
      <w:pPr>
        <w:numPr>
          <w:ilvl w:val="0"/>
          <w:numId w:val="1033"/>
        </w:numPr>
        <w:pStyle w:val="Compact"/>
      </w:pPr>
      <w:hyperlink r:id="rId67">
        <w:r>
          <w:rPr>
            <w:rStyle w:val="Hyperlink"/>
          </w:rPr>
          <w:t xml:space="preserve">https://www.bls.gov/ooh/production/bakers.htm</w:t>
        </w:r>
      </w:hyperlink>
    </w:p>
    <w:p>
      <w:pPr>
        <w:numPr>
          <w:ilvl w:val="0"/>
          <w:numId w:val="1033"/>
        </w:numPr>
        <w:pStyle w:val="Compact"/>
      </w:pPr>
      <w:hyperlink r:id="rId68">
        <w:hyperlink r:id="rId68">
          <w:r>
            <w:rPr>
              <w:rStyle w:val="Hyperlink"/>
            </w:rPr>
            <w:t xml:space="preserve">Source link</w:t>
          </w:r>
        </w:hyperlink>
      </w:hyperlink>
    </w:p>
    <w:p>
      <w:pPr>
        <w:numPr>
          <w:ilvl w:val="0"/>
          <w:numId w:val="1033"/>
        </w:numPr>
        <w:pStyle w:val="Compact"/>
      </w:pPr>
      <w:hyperlink r:id="rId69">
        <w:hyperlink r:id="rId69">
          <w:r>
            <w:rPr>
              <w:rStyle w:val="Hyperlink"/>
            </w:rPr>
            <w:t xml:space="preserve">Source link</w:t>
          </w:r>
        </w:hyperlink>
      </w:hyperlink>
    </w:p>
    <w:p>
      <w:pPr>
        <w:numPr>
          <w:ilvl w:val="0"/>
          <w:numId w:val="1033"/>
        </w:numPr>
        <w:pStyle w:val="Compact"/>
      </w:pPr>
      <w:hyperlink r:id="rId70">
        <w:hyperlink r:id="rId70">
          <w:r>
            <w:rPr>
              <w:rStyle w:val="Hyperlink"/>
            </w:rPr>
            <w:t xml:space="preserve">Source link</w:t>
          </w:r>
        </w:hyperlink>
      </w:hyperlink>
    </w:p>
    <w:p>
      <w:pPr>
        <w:numPr>
          <w:ilvl w:val="0"/>
          <w:numId w:val="1033"/>
        </w:numPr>
        <w:pStyle w:val="Compact"/>
      </w:pPr>
      <w:hyperlink r:id="rId71">
        <w:r>
          <w:rPr>
            <w:rStyle w:val="Hyperlink"/>
          </w:rPr>
          <w:t xml:space="preserve">https://www.fda.gov/media/183271/download</w:t>
        </w:r>
      </w:hyperlink>
    </w:p>
    <w:p>
      <w:pPr>
        <w:numPr>
          <w:ilvl w:val="0"/>
          <w:numId w:val="1033"/>
        </w:numPr>
        <w:pStyle w:val="Compact"/>
      </w:pPr>
      <w:hyperlink r:id="rId72">
        <w:hyperlink r:id="rId72">
          <w:r>
            <w:rPr>
              <w:rStyle w:val="Hyperlink"/>
            </w:rPr>
            <w:t xml:space="preserve">Source link</w:t>
          </w:r>
        </w:hyperlink>
      </w:hyperlink>
    </w:p>
    <w:p>
      <w:pPr>
        <w:numPr>
          <w:ilvl w:val="0"/>
          <w:numId w:val="1033"/>
        </w:numPr>
        <w:pStyle w:val="Compact"/>
      </w:pPr>
      <w:hyperlink r:id="rId73">
        <w:hyperlink r:id="rId73">
          <w:r>
            <w:rPr>
              <w:rStyle w:val="Hyperlink"/>
            </w:rPr>
            <w:t xml:space="preserve">Source link</w:t>
          </w:r>
        </w:hyperlink>
      </w:hyperlink>
    </w:p>
    <w:p>
      <w:pPr>
        <w:numPr>
          <w:ilvl w:val="0"/>
          <w:numId w:val="1033"/>
        </w:numPr>
        <w:pStyle w:val="Compact"/>
      </w:pPr>
      <w:hyperlink r:id="rId74">
        <w:hyperlink r:id="rId74">
          <w:r>
            <w:rPr>
              <w:rStyle w:val="Hyperlink"/>
            </w:rPr>
            <w:t xml:space="preserve">Source link</w:t>
          </w:r>
        </w:hyperlink>
      </w:hyperlink>
    </w:p>
    <w:p>
      <w:pPr>
        <w:numPr>
          <w:ilvl w:val="0"/>
          <w:numId w:val="1033"/>
        </w:numPr>
        <w:pStyle w:val="Compact"/>
      </w:pPr>
      <w:hyperlink r:id="rId75">
        <w:hyperlink r:id="rId75">
          <w:r>
            <w:rPr>
              <w:rStyle w:val="Hyperlink"/>
            </w:rPr>
            <w:t xml:space="preserve">Source link</w:t>
          </w:r>
        </w:hyperlink>
      </w:hyperlink>
    </w:p>
    <w:p>
      <w:pPr>
        <w:numPr>
          <w:ilvl w:val="0"/>
          <w:numId w:val="1033"/>
        </w:numPr>
        <w:pStyle w:val="Compact"/>
      </w:pPr>
      <w:hyperlink r:id="rId76">
        <w:hyperlink r:id="rId76">
          <w:r>
            <w:rPr>
              <w:rStyle w:val="Hyperlink"/>
            </w:rPr>
            <w:t xml:space="preserve">Source link</w:t>
          </w:r>
        </w:hyperlink>
      </w:hyperlink>
    </w:p>
    <w:p>
      <w:pPr>
        <w:numPr>
          <w:ilvl w:val="0"/>
          <w:numId w:val="1033"/>
        </w:numPr>
        <w:pStyle w:val="Compact"/>
      </w:pPr>
      <w:hyperlink r:id="rId77">
        <w:hyperlink r:id="rId77">
          <w:r>
            <w:rPr>
              <w:rStyle w:val="Hyperlink"/>
            </w:rPr>
            <w:t xml:space="preserve">Source link</w:t>
          </w:r>
        </w:hyperlink>
      </w:hyperlink>
    </w:p>
    <w:p>
      <w:pPr>
        <w:numPr>
          <w:ilvl w:val="0"/>
          <w:numId w:val="1033"/>
        </w:numPr>
        <w:pStyle w:val="Compact"/>
      </w:pPr>
      <w:hyperlink r:id="rId78">
        <w:hyperlink r:id="rId78">
          <w:r>
            <w:rPr>
              <w:rStyle w:val="Hyperlink"/>
            </w:rPr>
            <w:t xml:space="preserve">Source link</w:t>
          </w:r>
        </w:hyperlink>
      </w:hyperlink>
    </w:p>
    <w:p>
      <w:pPr>
        <w:numPr>
          <w:ilvl w:val="0"/>
          <w:numId w:val="1033"/>
        </w:numPr>
        <w:pStyle w:val="Compact"/>
      </w:pPr>
      <w:hyperlink r:id="rId79">
        <w:hyperlink r:id="rId79">
          <w:r>
            <w:rPr>
              <w:rStyle w:val="Hyperlink"/>
            </w:rPr>
            <w:t xml:space="preserve">Source link</w:t>
          </w:r>
        </w:hyperlink>
      </w:hyperlink>
    </w:p>
    <w:p>
      <w:pPr>
        <w:numPr>
          <w:ilvl w:val="0"/>
          <w:numId w:val="1033"/>
        </w:numPr>
        <w:pStyle w:val="Compact"/>
      </w:pPr>
      <w:hyperlink r:id="rId80">
        <w:hyperlink r:id="rId80">
          <w:r>
            <w:rPr>
              <w:rStyle w:val="Hyperlink"/>
            </w:rPr>
            <w:t xml:space="preserve">Source link</w:t>
          </w:r>
        </w:hyperlink>
      </w:hyperlink>
    </w:p>
    <w:p>
      <w:pPr>
        <w:numPr>
          <w:ilvl w:val="0"/>
          <w:numId w:val="1033"/>
        </w:numPr>
        <w:pStyle w:val="Compact"/>
      </w:pPr>
      <w:hyperlink r:id="rId81">
        <w:r>
          <w:rPr>
            <w:rStyle w:val="Hyperlink"/>
          </w:rPr>
          <w:t xml:space="preserve">https://www.apprenticeship.gov/</w:t>
        </w:r>
      </w:hyperlink>
    </w:p>
    <w:p>
      <w:pPr>
        <w:numPr>
          <w:ilvl w:val="0"/>
          <w:numId w:val="1033"/>
        </w:numPr>
        <w:pStyle w:val="Compact"/>
      </w:pPr>
      <w:hyperlink r:id="rId82">
        <w:hyperlink r:id="rId82">
          <w:r>
            <w:rPr>
              <w:rStyle w:val="Hyperlink"/>
            </w:rPr>
            <w:t xml:space="preserve">Source link</w:t>
          </w:r>
        </w:hyperlink>
      </w:hyperlink>
    </w:p>
    <w:p>
      <w:pPr>
        <w:numPr>
          <w:ilvl w:val="0"/>
          <w:numId w:val="1033"/>
        </w:numPr>
        <w:pStyle w:val="Compact"/>
      </w:pPr>
      <w:hyperlink r:id="rId83">
        <w:hyperlink r:id="rId83">
          <w:r>
            <w:rPr>
              <w:rStyle w:val="Hyperlink"/>
            </w:rPr>
            <w:t xml:space="preserve">Source link</w:t>
          </w:r>
        </w:hyperlink>
      </w:hyperlink>
    </w:p>
    <w:bookmarkEnd w:id="84"/>
    <w:bookmarkStart w:id="85" w:name="aviso-importante"/>
    <w:p>
      <w:pPr>
        <w:pStyle w:val="Heading2"/>
      </w:pPr>
      <w:r>
        <w:t xml:space="preserve">Aviso importante</w:t>
      </w:r>
    </w:p>
    <w:p>
      <w:pPr>
        <w:pStyle w:val="FirstParagraph"/>
      </w:pPr>
      <w:r>
        <w:t xml:space="preserve">Este guia fornece informações gerais de educação e planejamento de carreira. Não garante emprego, remuneração, admissão, financiamento, bolsas, colocação em aprendizagem, certificação, licenciamento, promoção, acomodação ou qualquer outro resultado. Requisitos e oportunidades variam conforme empregador, estabelecimento, jurisdição e tempo. Verifique decisões importantes com o empregador, provedor de treinamento, patrocinador do programa e autoridade governamental relevantes.</w:t>
      </w:r>
    </w:p>
    <w:bookmarkEnd w:id="85"/>
    <w:bookmarkStart w:id="86" w:name="limite-de-garantia"/>
    <w:p>
      <w:pPr>
        <w:pStyle w:val="Heading2"/>
      </w:pPr>
      <w:r>
        <w:t xml:space="preserve">Limite de garantia</w:t>
      </w:r>
    </w:p>
    <w:p>
      <w:pPr>
        <w:pStyle w:val="FirstParagraph"/>
      </w:pPr>
      <w:r>
        <w:t xml:space="preserve">Este mestre de trabalho da Versão 2 foi desenvolvido por meio de pesquisa e revisão editorial internas assistidas por máquina. Não constitui certificação humana independente, certificação profissional culinária ou de segurança dos alimentos, certificação profissional de tradução, revisão jurídica, certificação de acessibilidade, acreditação, aconselhamento de licenciamento, aprovação regulatória, aprovação de financiamento, aprovação de bolsa ou garantia de emprego ou remuneração.</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betowa.sena.edu.co/oferta/pasteleria?modality=P&amp;offertype=company&amp;programId=110212" TargetMode="External" /><Relationship Type="http://schemas.openxmlformats.org/officeDocument/2006/relationships/hyperlink" Id="rId76" Target="https://betowa.sena.edu.co/oferta/pasteleria?modality=V&amp;offertype=open&amp;programId=2481" TargetMode="External" /><Relationship Type="http://schemas.openxmlformats.org/officeDocument/2006/relationships/hyperlink" Id="rId77" Target="https://betowa.sena.edu.co/oferta/procesos-basicos-de-panaderia?modality=P&amp;offertype=open&amp;programId=19267" TargetMode="External" /><Relationship Type="http://schemas.openxmlformats.org/officeDocument/2006/relationships/hyperlink" Id="rId74" Target="https://on.jobbank.gc.ca/marketreport/wages-occupation/22246/ca" TargetMode="External" /><Relationship Type="http://schemas.openxmlformats.org/officeDocument/2006/relationships/hyperlink" Id="rId81" Target="https://www.apprenticeship.gov/" TargetMode="External" /><Relationship Type="http://schemas.openxmlformats.org/officeDocument/2006/relationships/hyperlink" Id="rId67" Target="https://www.bls.gov/ooh/production/bakers.htm"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0" Target="https://www.careeronestop.org/Toolkit/Training/find-scholarships.aspx" TargetMode="External" /><Relationship Type="http://schemas.openxmlformats.org/officeDocument/2006/relationships/hyperlink" Id="rId70" Target="https://www.fda.gov/food/fda-food-code/food-code-2022" TargetMode="External" /><Relationship Type="http://schemas.openxmlformats.org/officeDocument/2006/relationships/hyperlink" Id="rId69" Target="https://www.fda.gov/food/retail-food-protection/fda-food-code" TargetMode="External" /><Relationship Type="http://schemas.openxmlformats.org/officeDocument/2006/relationships/hyperlink" Id="rId71" Target="https://www.fda.gov/media/183271/download" TargetMode="External" /><Relationship Type="http://schemas.openxmlformats.org/officeDocument/2006/relationships/hyperlink" Id="rId82" Target="https://www.ilo.org/es/centro-interamericano-para-el-desarrollo-del-conocimiento-en-la-formacion" TargetMode="External" /><Relationship Type="http://schemas.openxmlformats.org/officeDocument/2006/relationships/hyperlink" Id="rId83" Target="https://www.ilo.org/es/publications/guia-para-la-transversalizacion-de-la-sst-en-programas-de-formacion-0" TargetMode="External" /><Relationship Type="http://schemas.openxmlformats.org/officeDocument/2006/relationships/hyperlink" Id="rId73" Target="https://www.jobbank.gc.ca/marketreport/requirements/22246/ca" TargetMode="External" /><Relationship Type="http://schemas.openxmlformats.org/officeDocument/2006/relationships/hyperlink" Id="rId72" Target="https://www.jobbank.gc.ca/marketreport/summary-occupation/22246/ca" TargetMode="External" /><Relationship Type="http://schemas.openxmlformats.org/officeDocument/2006/relationships/hyperlink" Id="rId65" Target="https://www.onetonline.org/link/details/51-3011.00" TargetMode="External" /><Relationship Type="http://schemas.openxmlformats.org/officeDocument/2006/relationships/hyperlink" Id="rId66" Target="https://www.onetonline.org/link/localwages/51-3011.00" TargetMode="External" /><Relationship Type="http://schemas.openxmlformats.org/officeDocument/2006/relationships/hyperlink" Id="rId64" Target="https://www.onetonline.org/link/summary/51-3011.00" TargetMode="External" /><Relationship Type="http://schemas.openxmlformats.org/officeDocument/2006/relationships/hyperlink" Id="rId68" Target="https://www.salary.com/research/salary/listing/baker-salary" TargetMode="External" /></Relationships>
</file>

<file path=word/_rels/footnotes.xml.rels><?xml version="1.0" encoding="UTF-8"?><Relationships xmlns="http://schemas.openxmlformats.org/package/2006/relationships"><Relationship Type="http://schemas.openxmlformats.org/officeDocument/2006/relationships/hyperlink" Id="rId75" Target="https://betowa.sena.edu.co/oferta/pasteleria?modality=P&amp;offertype=company&amp;programId=110212" TargetMode="External" /><Relationship Type="http://schemas.openxmlformats.org/officeDocument/2006/relationships/hyperlink" Id="rId76" Target="https://betowa.sena.edu.co/oferta/pasteleria?modality=V&amp;offertype=open&amp;programId=2481" TargetMode="External" /><Relationship Type="http://schemas.openxmlformats.org/officeDocument/2006/relationships/hyperlink" Id="rId77" Target="https://betowa.sena.edu.co/oferta/procesos-basicos-de-panaderia?modality=P&amp;offertype=open&amp;programId=19267" TargetMode="External" /><Relationship Type="http://schemas.openxmlformats.org/officeDocument/2006/relationships/hyperlink" Id="rId74" Target="https://on.jobbank.gc.ca/marketreport/wages-occupation/22246/ca" TargetMode="External" /><Relationship Type="http://schemas.openxmlformats.org/officeDocument/2006/relationships/hyperlink" Id="rId81" Target="https://www.apprenticeship.gov/" TargetMode="External" /><Relationship Type="http://schemas.openxmlformats.org/officeDocument/2006/relationships/hyperlink" Id="rId67" Target="https://www.bls.gov/ooh/production/bakers.htm"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0" Target="https://www.careeronestop.org/Toolkit/Training/find-scholarships.aspx" TargetMode="External" /><Relationship Type="http://schemas.openxmlformats.org/officeDocument/2006/relationships/hyperlink" Id="rId70" Target="https://www.fda.gov/food/fda-food-code/food-code-2022" TargetMode="External" /><Relationship Type="http://schemas.openxmlformats.org/officeDocument/2006/relationships/hyperlink" Id="rId69" Target="https://www.fda.gov/food/retail-food-protection/fda-food-code" TargetMode="External" /><Relationship Type="http://schemas.openxmlformats.org/officeDocument/2006/relationships/hyperlink" Id="rId71" Target="https://www.fda.gov/media/183271/download" TargetMode="External" /><Relationship Type="http://schemas.openxmlformats.org/officeDocument/2006/relationships/hyperlink" Id="rId82" Target="https://www.ilo.org/es/centro-interamericano-para-el-desarrollo-del-conocimiento-en-la-formacion" TargetMode="External" /><Relationship Type="http://schemas.openxmlformats.org/officeDocument/2006/relationships/hyperlink" Id="rId83" Target="https://www.ilo.org/es/publications/guia-para-la-transversalizacion-de-la-sst-en-programas-de-formacion-0" TargetMode="External" /><Relationship Type="http://schemas.openxmlformats.org/officeDocument/2006/relationships/hyperlink" Id="rId73" Target="https://www.jobbank.gc.ca/marketreport/requirements/22246/ca" TargetMode="External" /><Relationship Type="http://schemas.openxmlformats.org/officeDocument/2006/relationships/hyperlink" Id="rId72" Target="https://www.jobbank.gc.ca/marketreport/summary-occupation/22246/ca" TargetMode="External" /><Relationship Type="http://schemas.openxmlformats.org/officeDocument/2006/relationships/hyperlink" Id="rId65" Target="https://www.onetonline.org/link/details/51-3011.00" TargetMode="External" /><Relationship Type="http://schemas.openxmlformats.org/officeDocument/2006/relationships/hyperlink" Id="rId66" Target="https://www.onetonline.org/link/localwages/51-3011.00" TargetMode="External" /><Relationship Type="http://schemas.openxmlformats.org/officeDocument/2006/relationships/hyperlink" Id="rId64" Target="https://www.onetonline.org/link/summary/51-3011.00" TargetMode="External" /><Relationship Type="http://schemas.openxmlformats.org/officeDocument/2006/relationships/hyperlink" Id="rId68" Target="https://www.salary.com/research/salary/listing/ba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2026-08-21T06:43:17Z</dcterms:created>
  <dcterms:modified xsi:type="dcterms:W3CDTF">2026-08-21T06:43:17Z</dcterms:modified>
</cp:coreProperties>
</file>

<file path=docProps/custom.xml><?xml version="1.0" encoding="utf-8"?>
<Properties xmlns="http://schemas.openxmlformats.org/officeDocument/2006/custom-properties" xmlns:vt="http://schemas.openxmlformats.org/officeDocument/2006/docPropsVTypes"/>
</file>