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41f2c6b6cad4336a68dd5a78375d42539518177"/>
    <w:p>
      <w:pPr>
        <w:pStyle w:val="Heading1"/>
      </w:pPr>
      <w:r>
        <w:t xml:space="preserve">Guia de Oportunidades para Toda a Vida 71 — Coordenador de eventos e assistente de reuniões</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do Brasil (pt-BR)</w:t>
      </w:r>
      <w:r>
        <w:br/>
      </w:r>
      <w:r>
        <w:rPr>
          <w:bCs/>
          <w:b/>
        </w:rPr>
        <w:t xml:space="preserve">Referência ocupacional dos Estados Unidos:</w:t>
      </w:r>
      <w:r>
        <w:t xml:space="preserve"> </w:t>
      </w:r>
      <w:r>
        <w:t xml:space="preserve">O*NET-SOC 13-1121.00 — Meeting, Convention, and Event Planners</w:t>
      </w:r>
      <w:r>
        <w:br/>
      </w:r>
      <w:r>
        <w:rPr>
          <w:bCs/>
          <w:b/>
        </w:rPr>
        <w:t xml:space="preserve">Comparação com o Canadá:</w:t>
      </w:r>
      <w:r>
        <w:t xml:space="preserve"> </w:t>
      </w:r>
      <w:r>
        <w:t xml:space="preserve">NOC 12103 — Conference and event planners</w:t>
      </w:r>
      <w:r>
        <w:br/>
      </w:r>
      <w:r>
        <w:rPr>
          <w:bCs/>
          <w:b/>
        </w:rPr>
        <w:t xml:space="preserve">Comparação com a Colômbia:</w:t>
      </w:r>
      <w:r>
        <w:t xml:space="preserve"> </w:t>
      </w:r>
      <w:r>
        <w:t xml:space="preserve">CUOC 33320 — Coordinadores y productores de conferencias, eventos y espectáculos</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Coordenadores de eventos e assistentes de reuniões ajudam a transformar uma ideia de evento em um plano viável e depois apoiam sua execução por meio de inscrições, coordenação de fornecedores, preparação do local, cronogramas, comunicação com participantes, suporte no local e acompanhamento após o evento.</w:t>
      </w:r>
    </w:p>
    <w:p>
      <w:pPr>
        <w:pStyle w:val="BodyText"/>
      </w:pPr>
      <w:r>
        <w:t xml:space="preserve">O trabalho pode apoiar reuniões empresariais, conferências, convenções, feiras, treinamentos, eventos universitários, programas comunitários, funções de hotéis, eventos de organizações sem fins lucrativos, casamentos, festivais, exposições, arrecadações de fundos, encontros internos de empresas, eventos híbridos ou virtuais. Os títulos variam bastante. Empregadores podem usar nomes como assistente de eventos, assistente de reuniões, coordenador de eventos, coordenador de conferências, especialista em eventos, coordenador de serviços de convenções, coordenador de banquetes, coordenador de programas ou coordenador de eventos especiais.</w:t>
      </w:r>
    </w:p>
    <w:p>
      <w:pPr>
        <w:pStyle w:val="BodyText"/>
      </w:pPr>
      <w:r>
        <w:t xml:space="preserve">Este guia utiliza</w:t>
      </w:r>
      <w:r>
        <w:t xml:space="preserve"> </w:t>
      </w:r>
      <w:r>
        <w:rPr>
          <w:bCs/>
          <w:b/>
        </w:rPr>
        <w:t xml:space="preserve">O*NET-SOC 13-1121.00 — Meeting, Convention, and Event Planners</w:t>
      </w:r>
      <w:r>
        <w:t xml:space="preserve"> </w:t>
      </w:r>
      <w:r>
        <w:t xml:space="preserve">como principal referência ocupacional dos Estados Unidos. Essa ocupação é mais ampla do que muitos cargos de “assistente” em nível inicial. Um assistente de reuniões pode apoiar apenas uma parte do processo, enquanto um planejador ou gerente sênior pode ser responsável por orçamento, contrato, local, assuntos jurídicos, segurança ou decisões do cliente. A abordagem mais segura para a carreira é compreender todo o ciclo de vida do evento e agir somente dentro da autoridade realmente atribuída pelo empregador ou cliente.</w:t>
      </w:r>
    </w:p>
    <w:bookmarkEnd w:id="20"/>
    <w:bookmarkStart w:id="21" w:name="Xfd6d280a058483afe36103f2b91d7792cb23a54"/>
    <w:p>
      <w:pPr>
        <w:pStyle w:val="Heading2"/>
      </w:pPr>
      <w:r>
        <w:t xml:space="preserve">Por que este trabalho pode ser uma oportunidade</w:t>
      </w:r>
    </w:p>
    <w:p>
      <w:pPr>
        <w:pStyle w:val="FirstParagraph"/>
      </w:pPr>
      <w:r>
        <w:t xml:space="preserve">O trabalho com eventos combina organização, atendimento ao cliente, comunicação, administração, resolução de problemas, coordenação de fornecedores, programação, tecnologia e trabalho em equipe. Muitas dessas capacidades podem ser transferidas de hotelaria, apoio administrativo, atendimento ao cliente, vendas, turismo, educação, organizações sem fins lucrativos, marketing, coordenação de projetos, varejo, alimentação ou liderança voluntária.</w:t>
      </w:r>
    </w:p>
    <w:p>
      <w:pPr>
        <w:pStyle w:val="BodyText"/>
      </w:pPr>
      <w:r>
        <w:t xml:space="preserve">A área pode ser adequada para pessoas que gostam de:</w:t>
      </w:r>
    </w:p>
    <w:p>
      <w:pPr>
        <w:numPr>
          <w:ilvl w:val="0"/>
          <w:numId w:val="1001"/>
        </w:numPr>
        <w:pStyle w:val="Compact"/>
      </w:pPr>
      <w:r>
        <w:t xml:space="preserve">organizar detalhes em uma sequência clara;</w:t>
      </w:r>
    </w:p>
    <w:p>
      <w:pPr>
        <w:numPr>
          <w:ilvl w:val="0"/>
          <w:numId w:val="1001"/>
        </w:numPr>
        <w:pStyle w:val="Compact"/>
      </w:pPr>
      <w:r>
        <w:t xml:space="preserve">ajudar as pessoas a se sentirem bem-vindas e informadas;</w:t>
      </w:r>
    </w:p>
    <w:p>
      <w:pPr>
        <w:numPr>
          <w:ilvl w:val="0"/>
          <w:numId w:val="1001"/>
        </w:numPr>
        <w:pStyle w:val="Compact"/>
      </w:pPr>
      <w:r>
        <w:t xml:space="preserve">comunicar-se com fornecedores e equipes diferentes;</w:t>
      </w:r>
    </w:p>
    <w:p>
      <w:pPr>
        <w:numPr>
          <w:ilvl w:val="0"/>
          <w:numId w:val="1001"/>
        </w:numPr>
        <w:pStyle w:val="Compact"/>
      </w:pPr>
      <w:r>
        <w:t xml:space="preserve">resolver problemas práticos sob pressão de tempo;</w:t>
      </w:r>
    </w:p>
    <w:p>
      <w:pPr>
        <w:numPr>
          <w:ilvl w:val="0"/>
          <w:numId w:val="1001"/>
        </w:numPr>
        <w:pStyle w:val="Compact"/>
      </w:pPr>
      <w:r>
        <w:t xml:space="preserve">revisar o trabalho para garantir precisão;</w:t>
      </w:r>
    </w:p>
    <w:p>
      <w:pPr>
        <w:numPr>
          <w:ilvl w:val="0"/>
          <w:numId w:val="1001"/>
        </w:numPr>
        <w:pStyle w:val="Compact"/>
      </w:pPr>
      <w:r>
        <w:t xml:space="preserve">manter cronogramas, listas, orçamentos e registros atualizados;</w:t>
      </w:r>
    </w:p>
    <w:p>
      <w:pPr>
        <w:numPr>
          <w:ilvl w:val="0"/>
          <w:numId w:val="1001"/>
        </w:numPr>
        <w:pStyle w:val="Compact"/>
      </w:pPr>
      <w:r>
        <w:t xml:space="preserve">apoiar acessibilidade e participação inclusiva;</w:t>
      </w:r>
    </w:p>
    <w:p>
      <w:pPr>
        <w:numPr>
          <w:ilvl w:val="0"/>
          <w:numId w:val="1001"/>
        </w:numPr>
        <w:pStyle w:val="Compact"/>
      </w:pPr>
      <w:r>
        <w:t xml:space="preserve">acompanhar um projeto desde o planejamento até um resultado visível.</w:t>
      </w:r>
    </w:p>
    <w:p>
      <w:pPr>
        <w:pStyle w:val="FirstParagraph"/>
      </w:pPr>
      <w:r>
        <w:t xml:space="preserve">O trabalho também pode ser exigente. Datas de eventos não mudam simplesmente porque um fornecedor atrasou ou surgiu um problema. Alguns cargos envolvem começar cedo, trabalhar à noite ou nos fins de semana, viajar, permanecer em pé, levantar objetos dentro das exigências do cargo, responder a mudanças rápidas, trabalhar em ambientes cheios e atender várias solicitações ao mesmo tempo. Uma experiência realista do trabalho, atividade voluntária, estágio, função em hotelaria ou pequeno projeto de evento supervisionado pode ajudar a pessoa a decidir se o ritmo combina com ela antes de pagar por treinamento especializado.</w:t>
      </w:r>
    </w:p>
    <w:bookmarkEnd w:id="21"/>
    <w:bookmarkStart w:id="25" w:name="X5ff2fcf0105abd7e8e8c2f3fabcf2aeee8b1019"/>
    <w:p>
      <w:pPr>
        <w:pStyle w:val="Heading2"/>
      </w:pPr>
      <w:r>
        <w:t xml:space="preserve">Assistente, coordenador, planejador e gerente não têm o mesmo nível de autoridade</w:t>
      </w:r>
    </w:p>
    <w:p>
      <w:pPr>
        <w:pStyle w:val="FirstParagraph"/>
      </w:pPr>
      <w:r>
        <w:t xml:space="preserve">Empregadores usam os títulos de formas diferentes, portanto é importante sempre ler a descrição real da vaga. Uma distinção prática é:</w:t>
      </w:r>
    </w:p>
    <w:bookmarkStart w:id="22" w:name="assistente-de-reunião-ou-evento"/>
    <w:p>
      <w:pPr>
        <w:pStyle w:val="Heading3"/>
      </w:pPr>
      <w:r>
        <w:t xml:space="preserve">Assistente de reunião ou evento</w:t>
      </w:r>
    </w:p>
    <w:p>
      <w:pPr>
        <w:pStyle w:val="FirstParagraph"/>
      </w:pPr>
      <w:r>
        <w:t xml:space="preserve">Um assistente pode:</w:t>
      </w:r>
    </w:p>
    <w:p>
      <w:pPr>
        <w:numPr>
          <w:ilvl w:val="0"/>
          <w:numId w:val="1002"/>
        </w:numPr>
        <w:pStyle w:val="Compact"/>
      </w:pPr>
      <w:r>
        <w:t xml:space="preserve">atualizar listas de participantes;</w:t>
      </w:r>
    </w:p>
    <w:p>
      <w:pPr>
        <w:numPr>
          <w:ilvl w:val="0"/>
          <w:numId w:val="1002"/>
        </w:numPr>
        <w:pStyle w:val="Compact"/>
      </w:pPr>
      <w:r>
        <w:t xml:space="preserve">preparar crachás ou materiais;</w:t>
      </w:r>
    </w:p>
    <w:p>
      <w:pPr>
        <w:numPr>
          <w:ilvl w:val="0"/>
          <w:numId w:val="1002"/>
        </w:numPr>
        <w:pStyle w:val="Compact"/>
      </w:pPr>
      <w:r>
        <w:t xml:space="preserve">enviar lembretes aprovados;</w:t>
      </w:r>
    </w:p>
    <w:p>
      <w:pPr>
        <w:numPr>
          <w:ilvl w:val="0"/>
          <w:numId w:val="1002"/>
        </w:numPr>
        <w:pStyle w:val="Compact"/>
      </w:pPr>
      <w:r>
        <w:t xml:space="preserve">agendar reuniões;</w:t>
      </w:r>
    </w:p>
    <w:p>
      <w:pPr>
        <w:numPr>
          <w:ilvl w:val="0"/>
          <w:numId w:val="1002"/>
        </w:numPr>
        <w:pStyle w:val="Compact"/>
      </w:pPr>
      <w:r>
        <w:t xml:space="preserve">manter listas de verificação;</w:t>
      </w:r>
    </w:p>
    <w:p>
      <w:pPr>
        <w:numPr>
          <w:ilvl w:val="0"/>
          <w:numId w:val="1002"/>
        </w:numPr>
        <w:pStyle w:val="Compact"/>
      </w:pPr>
      <w:r>
        <w:t xml:space="preserve">coletar documentos de fornecedores;</w:t>
      </w:r>
    </w:p>
    <w:p>
      <w:pPr>
        <w:numPr>
          <w:ilvl w:val="0"/>
          <w:numId w:val="1002"/>
        </w:numPr>
        <w:pStyle w:val="Compact"/>
      </w:pPr>
      <w:r>
        <w:t xml:space="preserve">apoiar inscrições e credenciamento;</w:t>
      </w:r>
    </w:p>
    <w:p>
      <w:pPr>
        <w:numPr>
          <w:ilvl w:val="0"/>
          <w:numId w:val="1002"/>
        </w:numPr>
        <w:pStyle w:val="Compact"/>
      </w:pPr>
      <w:r>
        <w:t xml:space="preserve">preparar informações de hospedagem ou assentos;</w:t>
      </w:r>
    </w:p>
    <w:p>
      <w:pPr>
        <w:numPr>
          <w:ilvl w:val="0"/>
          <w:numId w:val="1002"/>
        </w:numPr>
        <w:pStyle w:val="Compact"/>
      </w:pPr>
      <w:r>
        <w:t xml:space="preserve">ajudar com sinalização ou materiais;</w:t>
      </w:r>
    </w:p>
    <w:p>
      <w:pPr>
        <w:numPr>
          <w:ilvl w:val="0"/>
          <w:numId w:val="1002"/>
        </w:numPr>
        <w:pStyle w:val="Compact"/>
      </w:pPr>
      <w:r>
        <w:t xml:space="preserve">registrar itens de ação;</w:t>
      </w:r>
    </w:p>
    <w:p>
      <w:pPr>
        <w:numPr>
          <w:ilvl w:val="0"/>
          <w:numId w:val="1002"/>
        </w:numPr>
        <w:pStyle w:val="Compact"/>
      </w:pPr>
      <w:r>
        <w:t xml:space="preserve">encaminhar problemas ao coordenador ou gerente responsável.</w:t>
      </w:r>
    </w:p>
    <w:bookmarkEnd w:id="22"/>
    <w:bookmarkStart w:id="23" w:name="coordenador-de-eventos"/>
    <w:p>
      <w:pPr>
        <w:pStyle w:val="Heading3"/>
      </w:pPr>
      <w:r>
        <w:t xml:space="preserve">Coordenador de eventos</w:t>
      </w:r>
    </w:p>
    <w:p>
      <w:pPr>
        <w:pStyle w:val="FirstParagraph"/>
      </w:pPr>
      <w:r>
        <w:t xml:space="preserve">Um coordenador pode também:</w:t>
      </w:r>
    </w:p>
    <w:p>
      <w:pPr>
        <w:numPr>
          <w:ilvl w:val="0"/>
          <w:numId w:val="1003"/>
        </w:numPr>
        <w:pStyle w:val="Compact"/>
      </w:pPr>
      <w:r>
        <w:t xml:space="preserve">coordenar fornecedores e cronogramas aprovados;</w:t>
      </w:r>
    </w:p>
    <w:p>
      <w:pPr>
        <w:numPr>
          <w:ilvl w:val="0"/>
          <w:numId w:val="1003"/>
        </w:numPr>
        <w:pStyle w:val="Compact"/>
      </w:pPr>
      <w:r>
        <w:t xml:space="preserve">confirmar detalhes do local;</w:t>
      </w:r>
    </w:p>
    <w:p>
      <w:pPr>
        <w:numPr>
          <w:ilvl w:val="0"/>
          <w:numId w:val="1003"/>
        </w:numPr>
        <w:pStyle w:val="Compact"/>
      </w:pPr>
      <w:r>
        <w:t xml:space="preserve">administrar fluxos de inscrição;</w:t>
      </w:r>
    </w:p>
    <w:p>
      <w:pPr>
        <w:numPr>
          <w:ilvl w:val="0"/>
          <w:numId w:val="1003"/>
        </w:numPr>
        <w:pStyle w:val="Compact"/>
      </w:pPr>
      <w:r>
        <w:t xml:space="preserve">acompanhar o orçamento em relação aos valores autorizados;</w:t>
      </w:r>
    </w:p>
    <w:p>
      <w:pPr>
        <w:numPr>
          <w:ilvl w:val="0"/>
          <w:numId w:val="1003"/>
        </w:numPr>
        <w:pStyle w:val="Compact"/>
      </w:pPr>
      <w:r>
        <w:t xml:space="preserve">coordenar alimentação, audiovisual, montagem de sala, transporte, equipe ou adaptações de acessibilidade;</w:t>
      </w:r>
    </w:p>
    <w:p>
      <w:pPr>
        <w:numPr>
          <w:ilvl w:val="0"/>
          <w:numId w:val="1003"/>
        </w:numPr>
        <w:pStyle w:val="Compact"/>
      </w:pPr>
      <w:r>
        <w:t xml:space="preserve">manter o roteiro operacional ou</w:t>
      </w:r>
      <w:r>
        <w:t xml:space="preserve"> </w:t>
      </w:r>
      <w:r>
        <w:rPr>
          <w:iCs/>
          <w:i/>
        </w:rPr>
        <w:t xml:space="preserve">run of show</w:t>
      </w:r>
      <w:r>
        <w:t xml:space="preserve">;</w:t>
      </w:r>
    </w:p>
    <w:p>
      <w:pPr>
        <w:numPr>
          <w:ilvl w:val="0"/>
          <w:numId w:val="1003"/>
        </w:numPr>
        <w:pStyle w:val="Compact"/>
      </w:pPr>
      <w:r>
        <w:t xml:space="preserve">liderar tarefas atribuídas no local;</w:t>
      </w:r>
    </w:p>
    <w:p>
      <w:pPr>
        <w:numPr>
          <w:ilvl w:val="0"/>
          <w:numId w:val="1003"/>
        </w:numPr>
        <w:pStyle w:val="Compact"/>
      </w:pPr>
      <w:r>
        <w:t xml:space="preserve">conciliar faturas ou registros do evento dentro da autoridade delegada.</w:t>
      </w:r>
    </w:p>
    <w:bookmarkEnd w:id="23"/>
    <w:bookmarkStart w:id="24" w:name="planejador-ou-gerente"/>
    <w:p>
      <w:pPr>
        <w:pStyle w:val="Heading3"/>
      </w:pPr>
      <w:r>
        <w:t xml:space="preserve">Planejador ou gerente</w:t>
      </w:r>
    </w:p>
    <w:p>
      <w:pPr>
        <w:pStyle w:val="FirstParagraph"/>
      </w:pPr>
      <w:r>
        <w:t xml:space="preserve">Um planejador ou gerente pode ter autoridade mais ampla sobre:</w:t>
      </w:r>
    </w:p>
    <w:p>
      <w:pPr>
        <w:numPr>
          <w:ilvl w:val="0"/>
          <w:numId w:val="1004"/>
        </w:numPr>
        <w:pStyle w:val="Compact"/>
      </w:pPr>
      <w:r>
        <w:t xml:space="preserve">estratégia do cliente e objetivos do evento;</w:t>
      </w:r>
    </w:p>
    <w:p>
      <w:pPr>
        <w:numPr>
          <w:ilvl w:val="0"/>
          <w:numId w:val="1004"/>
        </w:numPr>
        <w:pStyle w:val="Compact"/>
      </w:pPr>
      <w:r>
        <w:t xml:space="preserve">escolha do local;</w:t>
      </w:r>
    </w:p>
    <w:p>
      <w:pPr>
        <w:numPr>
          <w:ilvl w:val="0"/>
          <w:numId w:val="1004"/>
        </w:numPr>
        <w:pStyle w:val="Compact"/>
      </w:pPr>
      <w:r>
        <w:t xml:space="preserve">aprovação de orçamento;</w:t>
      </w:r>
    </w:p>
    <w:p>
      <w:pPr>
        <w:numPr>
          <w:ilvl w:val="0"/>
          <w:numId w:val="1004"/>
        </w:numPr>
        <w:pStyle w:val="Compact"/>
      </w:pPr>
      <w:r>
        <w:t xml:space="preserve">contratos e compras;</w:t>
      </w:r>
    </w:p>
    <w:p>
      <w:pPr>
        <w:numPr>
          <w:ilvl w:val="0"/>
          <w:numId w:val="1004"/>
        </w:numPr>
        <w:pStyle w:val="Compact"/>
      </w:pPr>
      <w:r>
        <w:t xml:space="preserve">requisitos de seguros;</w:t>
      </w:r>
    </w:p>
    <w:p>
      <w:pPr>
        <w:numPr>
          <w:ilvl w:val="0"/>
          <w:numId w:val="1004"/>
        </w:numPr>
        <w:pStyle w:val="Compact"/>
      </w:pPr>
      <w:r>
        <w:t xml:space="preserve">licenças ou coordenação regulatória;</w:t>
      </w:r>
    </w:p>
    <w:p>
      <w:pPr>
        <w:numPr>
          <w:ilvl w:val="0"/>
          <w:numId w:val="1004"/>
        </w:numPr>
        <w:pStyle w:val="Compact"/>
      </w:pPr>
      <w:r>
        <w:t xml:space="preserve">planejamento de riscos e emergências;</w:t>
      </w:r>
    </w:p>
    <w:p>
      <w:pPr>
        <w:numPr>
          <w:ilvl w:val="0"/>
          <w:numId w:val="1004"/>
        </w:numPr>
        <w:pStyle w:val="Compact"/>
      </w:pPr>
      <w:r>
        <w:t xml:space="preserve">autoridade sobre equipes;</w:t>
      </w:r>
    </w:p>
    <w:p>
      <w:pPr>
        <w:numPr>
          <w:ilvl w:val="0"/>
          <w:numId w:val="1004"/>
        </w:numPr>
        <w:pStyle w:val="Compact"/>
      </w:pPr>
      <w:r>
        <w:t xml:space="preserve">patrocínios;</w:t>
      </w:r>
    </w:p>
    <w:p>
      <w:pPr>
        <w:numPr>
          <w:ilvl w:val="0"/>
          <w:numId w:val="1004"/>
        </w:numPr>
        <w:pStyle w:val="Compact"/>
      </w:pPr>
      <w:r>
        <w:t xml:space="preserve">relatórios executivos ou para clientes;</w:t>
      </w:r>
    </w:p>
    <w:p>
      <w:pPr>
        <w:numPr>
          <w:ilvl w:val="0"/>
          <w:numId w:val="1004"/>
        </w:numPr>
        <w:pStyle w:val="Compact"/>
      </w:pPr>
      <w:r>
        <w:t xml:space="preserve">seleção final de fornecedores;</w:t>
      </w:r>
    </w:p>
    <w:p>
      <w:pPr>
        <w:numPr>
          <w:ilvl w:val="0"/>
          <w:numId w:val="1004"/>
        </w:numPr>
        <w:pStyle w:val="Compact"/>
      </w:pPr>
      <w:r>
        <w:t xml:space="preserve">compromissos financeiros;</w:t>
      </w:r>
    </w:p>
    <w:p>
      <w:pPr>
        <w:numPr>
          <w:ilvl w:val="0"/>
          <w:numId w:val="1004"/>
        </w:numPr>
        <w:pStyle w:val="Compact"/>
      </w:pPr>
      <w:r>
        <w:t xml:space="preserve">decisões de escalonamento e cancelamento.</w:t>
      </w:r>
    </w:p>
    <w:p>
      <w:pPr>
        <w:pStyle w:val="FirstParagraph"/>
      </w:pPr>
      <w:r>
        <w:t xml:space="preserve">Essas distinções são exemplos, não regras universais. A autoridade real depende da autorização escrita do empregador, do contrato, do processo de compras, da legislação local, das regras do local e do tipo de evento.</w:t>
      </w:r>
    </w:p>
    <w:bookmarkEnd w:id="24"/>
    <w:bookmarkEnd w:id="25"/>
    <w:bookmarkStart w:id="26" w:name="responsabilidades-típicas"/>
    <w:p>
      <w:pPr>
        <w:pStyle w:val="Heading2"/>
      </w:pPr>
      <w:r>
        <w:t xml:space="preserve">Responsabilidades típicas</w:t>
      </w:r>
    </w:p>
    <w:p>
      <w:pPr>
        <w:pStyle w:val="FirstParagraph"/>
      </w:pPr>
      <w:r>
        <w:t xml:space="preserve">Dependendo do empregador, um coordenador de eventos ou assistente de reuniões pode:</w:t>
      </w:r>
    </w:p>
    <w:p>
      <w:pPr>
        <w:numPr>
          <w:ilvl w:val="0"/>
          <w:numId w:val="1005"/>
        </w:numPr>
        <w:pStyle w:val="Compact"/>
      </w:pPr>
      <w:r>
        <w:t xml:space="preserve">reunir-se com cliente, gerente ou parte interessada interna para compreender o propósito e o público do evento;</w:t>
      </w:r>
    </w:p>
    <w:p>
      <w:pPr>
        <w:numPr>
          <w:ilvl w:val="0"/>
          <w:numId w:val="1005"/>
        </w:numPr>
        <w:pStyle w:val="Compact"/>
      </w:pPr>
      <w:r>
        <w:t xml:space="preserve">documentar objetivos, datas, estimativas de participação, limites orçamentários, necessidades de acessibilidade e responsáveis por decisões;</w:t>
      </w:r>
    </w:p>
    <w:p>
      <w:pPr>
        <w:numPr>
          <w:ilvl w:val="0"/>
          <w:numId w:val="1005"/>
        </w:numPr>
        <w:pStyle w:val="Compact"/>
      </w:pPr>
      <w:r>
        <w:t xml:space="preserve">comparar opções de locais ou espaços de reunião;</w:t>
      </w:r>
    </w:p>
    <w:p>
      <w:pPr>
        <w:numPr>
          <w:ilvl w:val="0"/>
          <w:numId w:val="1005"/>
        </w:numPr>
        <w:pStyle w:val="Compact"/>
      </w:pPr>
      <w:r>
        <w:t xml:space="preserve">manter calendários de planejamento e listas de marcos;</w:t>
      </w:r>
    </w:p>
    <w:p>
      <w:pPr>
        <w:numPr>
          <w:ilvl w:val="0"/>
          <w:numId w:val="1005"/>
        </w:numPr>
        <w:pStyle w:val="Compact"/>
      </w:pPr>
      <w:r>
        <w:t xml:space="preserve">coordenar convites, inscrições, confirmações, lembretes e comunicações aprovadas aos participantes;</w:t>
      </w:r>
    </w:p>
    <w:p>
      <w:pPr>
        <w:numPr>
          <w:ilvl w:val="0"/>
          <w:numId w:val="1005"/>
        </w:numPr>
        <w:pStyle w:val="Compact"/>
      </w:pPr>
      <w:r>
        <w:t xml:space="preserve">acompanhar número de participantes e mudanças;</w:t>
      </w:r>
    </w:p>
    <w:p>
      <w:pPr>
        <w:numPr>
          <w:ilvl w:val="0"/>
          <w:numId w:val="1005"/>
        </w:numPr>
        <w:pStyle w:val="Compact"/>
      </w:pPr>
      <w:r>
        <w:t xml:space="preserve">apoiar hospedagem e transporte quando isso fizer parte da função;</w:t>
      </w:r>
    </w:p>
    <w:p>
      <w:pPr>
        <w:numPr>
          <w:ilvl w:val="0"/>
          <w:numId w:val="1005"/>
        </w:numPr>
        <w:pStyle w:val="Compact"/>
      </w:pPr>
      <w:r>
        <w:t xml:space="preserve">coordenar alimentação, montagem de salas, mesas, assentos, sinalização, expositores, equipamentos audiovisuais, impressão ou tecnologia do evento;</w:t>
      </w:r>
    </w:p>
    <w:p>
      <w:pPr>
        <w:numPr>
          <w:ilvl w:val="0"/>
          <w:numId w:val="1005"/>
        </w:numPr>
        <w:pStyle w:val="Compact"/>
      </w:pPr>
      <w:r>
        <w:t xml:space="preserve">confirmar horários de chegada, contatos, entregas e caminhos de escalonamento dos fornecedores;</w:t>
      </w:r>
    </w:p>
    <w:p>
      <w:pPr>
        <w:numPr>
          <w:ilvl w:val="0"/>
          <w:numId w:val="1005"/>
        </w:numPr>
        <w:pStyle w:val="Compact"/>
      </w:pPr>
      <w:r>
        <w:t xml:space="preserve">manter o roteiro operacional do evento;</w:t>
      </w:r>
    </w:p>
    <w:p>
      <w:pPr>
        <w:numPr>
          <w:ilvl w:val="0"/>
          <w:numId w:val="1005"/>
        </w:numPr>
        <w:pStyle w:val="Compact"/>
      </w:pPr>
      <w:r>
        <w:t xml:space="preserve">preparar materiais de orientação para equipe ou voluntários;</w:t>
      </w:r>
    </w:p>
    <w:p>
      <w:pPr>
        <w:numPr>
          <w:ilvl w:val="0"/>
          <w:numId w:val="1005"/>
        </w:numPr>
        <w:pStyle w:val="Compact"/>
      </w:pPr>
      <w:r>
        <w:t xml:space="preserve">ajudar a organizar palestrantes, apresentadores, painéis, facilitadores ou artistas;</w:t>
      </w:r>
    </w:p>
    <w:p>
      <w:pPr>
        <w:numPr>
          <w:ilvl w:val="0"/>
          <w:numId w:val="1005"/>
        </w:numPr>
        <w:pStyle w:val="Compact"/>
      </w:pPr>
      <w:r>
        <w:t xml:space="preserve">coletar arquivos de apresentação por sistemas aprovados;</w:t>
      </w:r>
    </w:p>
    <w:p>
      <w:pPr>
        <w:numPr>
          <w:ilvl w:val="0"/>
          <w:numId w:val="1005"/>
        </w:numPr>
        <w:pStyle w:val="Compact"/>
      </w:pPr>
      <w:r>
        <w:t xml:space="preserve">apoiar adaptações de acessibilidade e planejamento de comunicação acessível;</w:t>
      </w:r>
    </w:p>
    <w:p>
      <w:pPr>
        <w:numPr>
          <w:ilvl w:val="0"/>
          <w:numId w:val="1005"/>
        </w:numPr>
        <w:pStyle w:val="Compact"/>
      </w:pPr>
      <w:r>
        <w:t xml:space="preserve">acompanhar ordens de compra, despesas aprovadas, depósitos, faturas ou registros de conciliação;</w:t>
      </w:r>
    </w:p>
    <w:p>
      <w:pPr>
        <w:numPr>
          <w:ilvl w:val="0"/>
          <w:numId w:val="1005"/>
        </w:numPr>
        <w:pStyle w:val="Compact"/>
      </w:pPr>
      <w:r>
        <w:t xml:space="preserve">revisar faturas do evento em busca de discrepâncias evidentes e encaminhá-las ao aprovador autorizado;</w:t>
      </w:r>
    </w:p>
    <w:p>
      <w:pPr>
        <w:numPr>
          <w:ilvl w:val="0"/>
          <w:numId w:val="1005"/>
        </w:numPr>
        <w:pStyle w:val="Compact"/>
      </w:pPr>
      <w:r>
        <w:t xml:space="preserve">manter arquivos, contratos, aprovações, registros de participantes, informações de fornecedores e logs de mudanças conforme a política;</w:t>
      </w:r>
    </w:p>
    <w:p>
      <w:pPr>
        <w:numPr>
          <w:ilvl w:val="0"/>
          <w:numId w:val="1005"/>
        </w:numPr>
        <w:pStyle w:val="Compact"/>
      </w:pPr>
      <w:r>
        <w:t xml:space="preserve">verificar se a equipe conhece as informações de emergência do local e os contatos de escalonamento do evento;</w:t>
      </w:r>
    </w:p>
    <w:p>
      <w:pPr>
        <w:numPr>
          <w:ilvl w:val="0"/>
          <w:numId w:val="1005"/>
        </w:numPr>
        <w:pStyle w:val="Compact"/>
      </w:pPr>
      <w:r>
        <w:t xml:space="preserve">apoiar balcões de credenciamento, pontos de informação ou salas virtuais;</w:t>
      </w:r>
    </w:p>
    <w:p>
      <w:pPr>
        <w:numPr>
          <w:ilvl w:val="0"/>
          <w:numId w:val="1005"/>
        </w:numPr>
        <w:pStyle w:val="Compact"/>
      </w:pPr>
      <w:r>
        <w:t xml:space="preserve">documentar incidentes e escalá-los segundo os procedimentos do empregador ou do local;</w:t>
      </w:r>
    </w:p>
    <w:p>
      <w:pPr>
        <w:numPr>
          <w:ilvl w:val="0"/>
          <w:numId w:val="1005"/>
        </w:numPr>
        <w:pStyle w:val="Compact"/>
      </w:pPr>
      <w:r>
        <w:t xml:space="preserve">coletar feedback pós-evento quando autorizado;</w:t>
      </w:r>
    </w:p>
    <w:p>
      <w:pPr>
        <w:numPr>
          <w:ilvl w:val="0"/>
          <w:numId w:val="1005"/>
        </w:numPr>
        <w:pStyle w:val="Compact"/>
      </w:pPr>
      <w:r>
        <w:t xml:space="preserve">conciliar presença, materiais, faturas, pendências e lições aprendidas;</w:t>
      </w:r>
    </w:p>
    <w:p>
      <w:pPr>
        <w:numPr>
          <w:ilvl w:val="0"/>
          <w:numId w:val="1005"/>
        </w:numPr>
        <w:pStyle w:val="Compact"/>
      </w:pPr>
      <w:r>
        <w:t xml:space="preserve">arquivar ou eliminar registros conforme a política da organização.</w:t>
      </w:r>
    </w:p>
    <w:bookmarkEnd w:id="26"/>
    <w:bookmarkStart w:id="27" w:name="autoridade-e-limites-profissionais"/>
    <w:p>
      <w:pPr>
        <w:pStyle w:val="Heading2"/>
      </w:pPr>
      <w:r>
        <w:t xml:space="preserve">Autoridade e limites profissionais</w:t>
      </w:r>
    </w:p>
    <w:p>
      <w:pPr>
        <w:pStyle w:val="FirstParagraph"/>
      </w:pPr>
      <w:r>
        <w:t xml:space="preserve">Um título relacionado a eventos</w:t>
      </w:r>
      <w:r>
        <w:t xml:space="preserve"> </w:t>
      </w:r>
      <w:r>
        <w:rPr>
          <w:bCs/>
          <w:b/>
        </w:rPr>
        <w:t xml:space="preserve">não</w:t>
      </w:r>
      <w:r>
        <w:t xml:space="preserve"> </w:t>
      </w:r>
      <w:r>
        <w:t xml:space="preserve">autoriza automaticamente uma pessoa a:</w:t>
      </w:r>
    </w:p>
    <w:p>
      <w:pPr>
        <w:numPr>
          <w:ilvl w:val="0"/>
          <w:numId w:val="1006"/>
        </w:numPr>
        <w:pStyle w:val="Compact"/>
      </w:pPr>
      <w:r>
        <w:t xml:space="preserve">assinar contrato ou comprometer recursos financeiros da empresa;</w:t>
      </w:r>
    </w:p>
    <w:p>
      <w:pPr>
        <w:numPr>
          <w:ilvl w:val="0"/>
          <w:numId w:val="1006"/>
        </w:numPr>
        <w:pStyle w:val="Compact"/>
      </w:pPr>
      <w:r>
        <w:t xml:space="preserve">alterar instruções de pagamento de fornecedor sem verificação e aprovação;</w:t>
      </w:r>
    </w:p>
    <w:p>
      <w:pPr>
        <w:numPr>
          <w:ilvl w:val="0"/>
          <w:numId w:val="1006"/>
        </w:numPr>
        <w:pStyle w:val="Compact"/>
      </w:pPr>
      <w:r>
        <w:t xml:space="preserve">aprovar decisões de seguro, questões jurídicas, impostos, serviço de bebidas alcoólicas, normas contra incêndio, capacidade de ocupação, licenças ou autorizações;</w:t>
      </w:r>
    </w:p>
    <w:p>
      <w:pPr>
        <w:numPr>
          <w:ilvl w:val="0"/>
          <w:numId w:val="1006"/>
        </w:numPr>
        <w:pStyle w:val="Compact"/>
      </w:pPr>
      <w:r>
        <w:t xml:space="preserve">apresentar-se como advogado, profissional de segurança, socorrista, certificador de acessibilidade, profissional de saúde, consultor de imigração ou representante governamental;</w:t>
      </w:r>
    </w:p>
    <w:p>
      <w:pPr>
        <w:numPr>
          <w:ilvl w:val="0"/>
          <w:numId w:val="1006"/>
        </w:numPr>
        <w:pStyle w:val="Compact"/>
      </w:pPr>
      <w:r>
        <w:t xml:space="preserve">garantir que um evento está em conformidade legal ou completamente seguro;</w:t>
      </w:r>
    </w:p>
    <w:p>
      <w:pPr>
        <w:numPr>
          <w:ilvl w:val="0"/>
          <w:numId w:val="1006"/>
        </w:numPr>
        <w:pStyle w:val="Compact"/>
      </w:pPr>
      <w:r>
        <w:t xml:space="preserve">ignorar procedimentos de emergência do local ou instruções de profissionais de resposta autorizados;</w:t>
      </w:r>
    </w:p>
    <w:p>
      <w:pPr>
        <w:numPr>
          <w:ilvl w:val="0"/>
          <w:numId w:val="1006"/>
        </w:numPr>
        <w:pStyle w:val="Compact"/>
      </w:pPr>
      <w:r>
        <w:t xml:space="preserve">divulgar listas de participantes, planos de viagem, informações alimentares, informações sobre deficiência, dados de contato, dados de pagamento, documentos de identidade ou agendas privadas a pessoas não verificadas;</w:t>
      </w:r>
    </w:p>
    <w:p>
      <w:pPr>
        <w:numPr>
          <w:ilvl w:val="0"/>
          <w:numId w:val="1006"/>
        </w:numPr>
        <w:pStyle w:val="Compact"/>
      </w:pPr>
      <w:r>
        <w:t xml:space="preserve">carregar contratos confidenciais, informações de participantes, dados de pagamento, credenciais ou informações empresariais privadas em serviço de IA ou nuvem não aprovado;</w:t>
      </w:r>
    </w:p>
    <w:p>
      <w:pPr>
        <w:numPr>
          <w:ilvl w:val="0"/>
          <w:numId w:val="1006"/>
        </w:numPr>
        <w:pStyle w:val="Compact"/>
      </w:pPr>
      <w:r>
        <w:t xml:space="preserve">inventar compromissos de acessibilidade que não foram confirmados;</w:t>
      </w:r>
    </w:p>
    <w:p>
      <w:pPr>
        <w:numPr>
          <w:ilvl w:val="0"/>
          <w:numId w:val="1006"/>
        </w:numPr>
        <w:pStyle w:val="Compact"/>
      </w:pPr>
      <w:r>
        <w:t xml:space="preserve">garantir o resultado de fornecedor, local, palestrante, licença, patrocínio, reembolso ou cancelamento;</w:t>
      </w:r>
    </w:p>
    <w:p>
      <w:pPr>
        <w:numPr>
          <w:ilvl w:val="0"/>
          <w:numId w:val="1006"/>
        </w:numPr>
        <w:pStyle w:val="Compact"/>
      </w:pPr>
      <w:r>
        <w:t xml:space="preserve">aprovar evento acima da autoridade orçamentária delegada;</w:t>
      </w:r>
    </w:p>
    <w:p>
      <w:pPr>
        <w:numPr>
          <w:ilvl w:val="0"/>
          <w:numId w:val="1006"/>
        </w:numPr>
        <w:pStyle w:val="Compact"/>
      </w:pPr>
      <w:r>
        <w:t xml:space="preserve">criar faturas, recibos, registros de presença, certificados, documentos de seguro, licenças ou confirmações de fornecedores fictícios;</w:t>
      </w:r>
    </w:p>
    <w:p>
      <w:pPr>
        <w:numPr>
          <w:ilvl w:val="0"/>
          <w:numId w:val="1006"/>
        </w:numPr>
        <w:pStyle w:val="Compact"/>
      </w:pPr>
      <w:r>
        <w:t xml:space="preserve">ignorar procedimentos relacionados a assédio, ameaça, emergência médica, multidão, incêndio, cibersegurança, fraude ou outros caminhos de escalonamento;</w:t>
      </w:r>
    </w:p>
    <w:p>
      <w:pPr>
        <w:numPr>
          <w:ilvl w:val="0"/>
          <w:numId w:val="1006"/>
        </w:numPr>
        <w:pStyle w:val="Compact"/>
      </w:pPr>
      <w:r>
        <w:t xml:space="preserve">usar resultado de IA como única autoridade para contratos, preços, obrigações legais, instruções de emergência, obrigações de acessibilidade, termos de fornecedores, requisitos de viagem ou outras decisões relevantes.</w:t>
      </w:r>
    </w:p>
    <w:p>
      <w:pPr>
        <w:pStyle w:val="FirstParagraph"/>
      </w:pPr>
      <w:r>
        <w:t xml:space="preserve">Quando a autoridade não estiver clara, o assunto deve ser documentado e encaminhado ao gerente apropriado, compras, jurídico/compliance, finanças, representante do local, contato de acessibilidade, equipe de segurança, coordenador de emergências, seguradora ou autoridade pública.</w:t>
      </w:r>
    </w:p>
    <w:bookmarkEnd w:id="27"/>
    <w:bookmarkStart w:id="28" w:name="ambiente-de-trabalho"/>
    <w:p>
      <w:pPr>
        <w:pStyle w:val="Heading2"/>
      </w:pPr>
      <w:r>
        <w:t xml:space="preserve">Ambiente de trabalho</w:t>
      </w:r>
    </w:p>
    <w:p>
      <w:pPr>
        <w:pStyle w:val="FirstParagraph"/>
      </w:pPr>
      <w:r>
        <w:t xml:space="preserve">O trabalho de eventos pode alternar entre planejamento em escritório e execução ativa.</w:t>
      </w:r>
    </w:p>
    <w:p>
      <w:pPr>
        <w:pStyle w:val="BodyText"/>
      </w:pPr>
      <w:r>
        <w:t xml:space="preserve">O planejamento pode envolver:</w:t>
      </w:r>
    </w:p>
    <w:p>
      <w:pPr>
        <w:numPr>
          <w:ilvl w:val="0"/>
          <w:numId w:val="1007"/>
        </w:numPr>
        <w:pStyle w:val="Compact"/>
      </w:pPr>
      <w:r>
        <w:t xml:space="preserve">e-mail, telefone, chat e videoconferências;</w:t>
      </w:r>
    </w:p>
    <w:p>
      <w:pPr>
        <w:numPr>
          <w:ilvl w:val="0"/>
          <w:numId w:val="1007"/>
        </w:numPr>
        <w:pStyle w:val="Compact"/>
      </w:pPr>
      <w:r>
        <w:t xml:space="preserve">planilhas e sistemas de inscrição;</w:t>
      </w:r>
    </w:p>
    <w:p>
      <w:pPr>
        <w:numPr>
          <w:ilvl w:val="0"/>
          <w:numId w:val="1007"/>
        </w:numPr>
        <w:pStyle w:val="Compact"/>
      </w:pPr>
      <w:r>
        <w:t xml:space="preserve">orçamentos e registros de compras;</w:t>
      </w:r>
    </w:p>
    <w:p>
      <w:pPr>
        <w:numPr>
          <w:ilvl w:val="0"/>
          <w:numId w:val="1007"/>
        </w:numPr>
        <w:pStyle w:val="Compact"/>
      </w:pPr>
      <w:r>
        <w:t xml:space="preserve">propostas e contratos de fornecedores;</w:t>
      </w:r>
    </w:p>
    <w:p>
      <w:pPr>
        <w:numPr>
          <w:ilvl w:val="0"/>
          <w:numId w:val="1007"/>
        </w:numPr>
        <w:pStyle w:val="Compact"/>
      </w:pPr>
      <w:r>
        <w:t xml:space="preserve">calendários e planos de projeto;</w:t>
      </w:r>
    </w:p>
    <w:p>
      <w:pPr>
        <w:numPr>
          <w:ilvl w:val="0"/>
          <w:numId w:val="1007"/>
        </w:numPr>
        <w:pStyle w:val="Compact"/>
      </w:pPr>
      <w:r>
        <w:t xml:space="preserve">plataformas de eventos virtuais;</w:t>
      </w:r>
    </w:p>
    <w:p>
      <w:pPr>
        <w:numPr>
          <w:ilvl w:val="0"/>
          <w:numId w:val="1007"/>
        </w:numPr>
        <w:pStyle w:val="Compact"/>
      </w:pPr>
      <w:r>
        <w:t xml:space="preserve">apresentações e documentos do evento;</w:t>
      </w:r>
    </w:p>
    <w:p>
      <w:pPr>
        <w:numPr>
          <w:ilvl w:val="0"/>
          <w:numId w:val="1007"/>
        </w:numPr>
        <w:pStyle w:val="Compact"/>
      </w:pPr>
      <w:r>
        <w:t xml:space="preserve">comunicação com participantes e palestrantes.</w:t>
      </w:r>
    </w:p>
    <w:p>
      <w:pPr>
        <w:pStyle w:val="FirstParagraph"/>
      </w:pPr>
      <w:r>
        <w:t xml:space="preserve">No dia do evento, o trabalho pode envolver:</w:t>
      </w:r>
    </w:p>
    <w:p>
      <w:pPr>
        <w:numPr>
          <w:ilvl w:val="0"/>
          <w:numId w:val="1008"/>
        </w:numPr>
        <w:pStyle w:val="Compact"/>
      </w:pPr>
      <w:r>
        <w:t xml:space="preserve">longos períodos em pé ou caminhando;</w:t>
      </w:r>
    </w:p>
    <w:p>
      <w:pPr>
        <w:numPr>
          <w:ilvl w:val="0"/>
          <w:numId w:val="1008"/>
        </w:numPr>
        <w:pStyle w:val="Compact"/>
      </w:pPr>
      <w:r>
        <w:t xml:space="preserve">montagem cedo ou desmontagem tarde;</w:t>
      </w:r>
    </w:p>
    <w:p>
      <w:pPr>
        <w:numPr>
          <w:ilvl w:val="0"/>
          <w:numId w:val="1008"/>
        </w:numPr>
        <w:pStyle w:val="Compact"/>
      </w:pPr>
      <w:r>
        <w:t xml:space="preserve">espaços lotados;</w:t>
      </w:r>
    </w:p>
    <w:p>
      <w:pPr>
        <w:numPr>
          <w:ilvl w:val="0"/>
          <w:numId w:val="1008"/>
        </w:numPr>
        <w:pStyle w:val="Compact"/>
      </w:pPr>
      <w:r>
        <w:t xml:space="preserve">perguntas repetidas de participantes;</w:t>
      </w:r>
    </w:p>
    <w:p>
      <w:pPr>
        <w:numPr>
          <w:ilvl w:val="0"/>
          <w:numId w:val="1008"/>
        </w:numPr>
        <w:pStyle w:val="Compact"/>
      </w:pPr>
      <w:r>
        <w:t xml:space="preserve">coordenação com local, alimentação, audiovisual, segurança, transporte e limpeza;</w:t>
      </w:r>
    </w:p>
    <w:p>
      <w:pPr>
        <w:numPr>
          <w:ilvl w:val="0"/>
          <w:numId w:val="1008"/>
        </w:numPr>
        <w:pStyle w:val="Compact"/>
      </w:pPr>
      <w:r>
        <w:t xml:space="preserve">mudanças rápidas de horário;</w:t>
      </w:r>
    </w:p>
    <w:p>
      <w:pPr>
        <w:numPr>
          <w:ilvl w:val="0"/>
          <w:numId w:val="1008"/>
        </w:numPr>
        <w:pStyle w:val="Compact"/>
      </w:pPr>
      <w:r>
        <w:t xml:space="preserve">ruído, clima, viagens ou limitações de acesso físico, dependendo do local;</w:t>
      </w:r>
    </w:p>
    <w:p>
      <w:pPr>
        <w:numPr>
          <w:ilvl w:val="0"/>
          <w:numId w:val="1008"/>
        </w:numPr>
        <w:pStyle w:val="Compact"/>
      </w:pPr>
      <w:r>
        <w:t xml:space="preserve">pressão para resolver problemas sem ultrapassar a autoridade atribuída.</w:t>
      </w:r>
    </w:p>
    <w:p>
      <w:pPr>
        <w:pStyle w:val="FirstParagraph"/>
      </w:pPr>
      <w:r>
        <w:t xml:space="preserve">Alguns cargos são remotos ou híbridos durante o planejamento e presenciais na execução. Eventos totalmente virtuais também exigem conexão confiável, contas seguras, controle cuidadoso de acesso, materiais digitais acessíveis, funções claras de moderação e procedimentos de contingência.</w:t>
      </w:r>
    </w:p>
    <w:p>
      <w:pPr>
        <w:pStyle w:val="BodyText"/>
      </w:pPr>
      <w:r>
        <w:t xml:space="preserve">Se uma vaga incluir levantamento de peso, direção, longos períodos em pé, manipulação de alimentos, serviço de bebidas alcoólicas, viagens ou outras atividades físicas ou reguladas específicas, esses requisitos devem ser confirmados na vaga e com o empregador, e não presumidos pelo título.</w:t>
      </w:r>
    </w:p>
    <w:bookmarkEnd w:id="28"/>
    <w:bookmarkStart w:id="34" w:name="Xec39930e61c04b9d0dfa2da01ff9d27d1f62e1a"/>
    <w:p>
      <w:pPr>
        <w:pStyle w:val="Heading2"/>
      </w:pPr>
      <w:r>
        <w:t xml:space="preserve">Habilidades valorizadas pelos empregadores</w:t>
      </w:r>
    </w:p>
    <w:bookmarkStart w:id="29" w:name="organização-e-coordenação"/>
    <w:p>
      <w:pPr>
        <w:pStyle w:val="Heading3"/>
      </w:pPr>
      <w:r>
        <w:t xml:space="preserve">Organização e coordenação</w:t>
      </w:r>
    </w:p>
    <w:p>
      <w:pPr>
        <w:numPr>
          <w:ilvl w:val="0"/>
          <w:numId w:val="1009"/>
        </w:numPr>
        <w:pStyle w:val="Compact"/>
      </w:pPr>
      <w:r>
        <w:t xml:space="preserve">gerenciamento de calendário;</w:t>
      </w:r>
    </w:p>
    <w:p>
      <w:pPr>
        <w:numPr>
          <w:ilvl w:val="0"/>
          <w:numId w:val="1009"/>
        </w:numPr>
        <w:pStyle w:val="Compact"/>
      </w:pPr>
      <w:r>
        <w:t xml:space="preserve">sequenciamento de tarefas;</w:t>
      </w:r>
    </w:p>
    <w:p>
      <w:pPr>
        <w:numPr>
          <w:ilvl w:val="0"/>
          <w:numId w:val="1009"/>
        </w:numPr>
        <w:pStyle w:val="Compact"/>
      </w:pPr>
      <w:r>
        <w:t xml:space="preserve">acompanhamento de prazos;</w:t>
      </w:r>
    </w:p>
    <w:p>
      <w:pPr>
        <w:numPr>
          <w:ilvl w:val="0"/>
          <w:numId w:val="1009"/>
        </w:numPr>
        <w:pStyle w:val="Compact"/>
      </w:pPr>
      <w:r>
        <w:t xml:space="preserve">atenção aos detalhes;</w:t>
      </w:r>
    </w:p>
    <w:p>
      <w:pPr>
        <w:numPr>
          <w:ilvl w:val="0"/>
          <w:numId w:val="1009"/>
        </w:numPr>
        <w:pStyle w:val="Compact"/>
      </w:pPr>
      <w:r>
        <w:t xml:space="preserve">controle de mudanças;</w:t>
      </w:r>
    </w:p>
    <w:p>
      <w:pPr>
        <w:numPr>
          <w:ilvl w:val="0"/>
          <w:numId w:val="1009"/>
        </w:numPr>
        <w:pStyle w:val="Compact"/>
      </w:pPr>
      <w:r>
        <w:t xml:space="preserve">acompanhamento;</w:t>
      </w:r>
    </w:p>
    <w:p>
      <w:pPr>
        <w:numPr>
          <w:ilvl w:val="0"/>
          <w:numId w:val="1009"/>
        </w:numPr>
        <w:pStyle w:val="Compact"/>
      </w:pPr>
      <w:r>
        <w:t xml:space="preserve">organização de documentos;</w:t>
      </w:r>
    </w:p>
    <w:p>
      <w:pPr>
        <w:numPr>
          <w:ilvl w:val="0"/>
          <w:numId w:val="1009"/>
        </w:numPr>
        <w:pStyle w:val="Compact"/>
      </w:pPr>
      <w:r>
        <w:t xml:space="preserve">registros precisos;</w:t>
      </w:r>
    </w:p>
    <w:p>
      <w:pPr>
        <w:numPr>
          <w:ilvl w:val="0"/>
          <w:numId w:val="1009"/>
        </w:numPr>
        <w:pStyle w:val="Compact"/>
      </w:pPr>
      <w:r>
        <w:t xml:space="preserve">priorização;</w:t>
      </w:r>
    </w:p>
    <w:p>
      <w:pPr>
        <w:numPr>
          <w:ilvl w:val="0"/>
          <w:numId w:val="1009"/>
        </w:numPr>
        <w:pStyle w:val="Compact"/>
      </w:pPr>
      <w:r>
        <w:t xml:space="preserve">disciplina em transições de trabalho.</w:t>
      </w:r>
    </w:p>
    <w:bookmarkEnd w:id="29"/>
    <w:bookmarkStart w:id="30" w:name="comunicação-e-atendimento"/>
    <w:p>
      <w:pPr>
        <w:pStyle w:val="Heading3"/>
      </w:pPr>
      <w:r>
        <w:t xml:space="preserve">Comunicação e atendimento</w:t>
      </w:r>
    </w:p>
    <w:p>
      <w:pPr>
        <w:numPr>
          <w:ilvl w:val="0"/>
          <w:numId w:val="1010"/>
        </w:numPr>
        <w:pStyle w:val="Compact"/>
      </w:pPr>
      <w:r>
        <w:t xml:space="preserve">escuta ativa;</w:t>
      </w:r>
    </w:p>
    <w:p>
      <w:pPr>
        <w:numPr>
          <w:ilvl w:val="0"/>
          <w:numId w:val="1010"/>
        </w:numPr>
        <w:pStyle w:val="Compact"/>
      </w:pPr>
      <w:r>
        <w:t xml:space="preserve">e-mails e mensagens claros;</w:t>
      </w:r>
    </w:p>
    <w:p>
      <w:pPr>
        <w:numPr>
          <w:ilvl w:val="0"/>
          <w:numId w:val="1010"/>
        </w:numPr>
        <w:pStyle w:val="Compact"/>
      </w:pPr>
      <w:r>
        <w:t xml:space="preserve">comunicação telefônica profissional;</w:t>
      </w:r>
    </w:p>
    <w:p>
      <w:pPr>
        <w:numPr>
          <w:ilvl w:val="0"/>
          <w:numId w:val="1010"/>
        </w:numPr>
        <w:pStyle w:val="Compact"/>
      </w:pPr>
      <w:r>
        <w:t xml:space="preserve">atendimento ao cliente;</w:t>
      </w:r>
    </w:p>
    <w:p>
      <w:pPr>
        <w:numPr>
          <w:ilvl w:val="0"/>
          <w:numId w:val="1010"/>
        </w:numPr>
        <w:pStyle w:val="Compact"/>
      </w:pPr>
      <w:r>
        <w:t xml:space="preserve">alinhamento de expectativas;</w:t>
      </w:r>
    </w:p>
    <w:p>
      <w:pPr>
        <w:numPr>
          <w:ilvl w:val="0"/>
          <w:numId w:val="1010"/>
        </w:numPr>
        <w:pStyle w:val="Compact"/>
      </w:pPr>
      <w:r>
        <w:t xml:space="preserve">desescalada de conflitos;</w:t>
      </w:r>
    </w:p>
    <w:p>
      <w:pPr>
        <w:numPr>
          <w:ilvl w:val="0"/>
          <w:numId w:val="1010"/>
        </w:numPr>
        <w:pStyle w:val="Compact"/>
      </w:pPr>
      <w:r>
        <w:t xml:space="preserve">relatórios de status concisos;</w:t>
      </w:r>
    </w:p>
    <w:p>
      <w:pPr>
        <w:numPr>
          <w:ilvl w:val="0"/>
          <w:numId w:val="1010"/>
        </w:numPr>
        <w:pStyle w:val="Compact"/>
      </w:pPr>
      <w:r>
        <w:t xml:space="preserve">comunicação com fornecedores;</w:t>
      </w:r>
    </w:p>
    <w:p>
      <w:pPr>
        <w:numPr>
          <w:ilvl w:val="0"/>
          <w:numId w:val="1010"/>
        </w:numPr>
        <w:pStyle w:val="Compact"/>
      </w:pPr>
      <w:r>
        <w:t xml:space="preserve">apoio a palestrantes e participantes;</w:t>
      </w:r>
    </w:p>
    <w:p>
      <w:pPr>
        <w:numPr>
          <w:ilvl w:val="0"/>
          <w:numId w:val="1010"/>
        </w:numPr>
        <w:pStyle w:val="Compact"/>
      </w:pPr>
      <w:r>
        <w:t xml:space="preserve">comunicação intercultural respeitosa.</w:t>
      </w:r>
    </w:p>
    <w:bookmarkEnd w:id="30"/>
    <w:bookmarkStart w:id="31" w:name="orçamento-e-administração"/>
    <w:p>
      <w:pPr>
        <w:pStyle w:val="Heading3"/>
      </w:pPr>
      <w:r>
        <w:t xml:space="preserve">Orçamento e administração</w:t>
      </w:r>
    </w:p>
    <w:p>
      <w:pPr>
        <w:numPr>
          <w:ilvl w:val="0"/>
          <w:numId w:val="1011"/>
        </w:numPr>
        <w:pStyle w:val="Compact"/>
      </w:pPr>
      <w:r>
        <w:t xml:space="preserve">uso básico de planilhas;</w:t>
      </w:r>
    </w:p>
    <w:p>
      <w:pPr>
        <w:numPr>
          <w:ilvl w:val="0"/>
          <w:numId w:val="1011"/>
        </w:numPr>
        <w:pStyle w:val="Compact"/>
      </w:pPr>
      <w:r>
        <w:t xml:space="preserve">revisão de faturas;</w:t>
      </w:r>
    </w:p>
    <w:p>
      <w:pPr>
        <w:numPr>
          <w:ilvl w:val="0"/>
          <w:numId w:val="1011"/>
        </w:numPr>
        <w:pStyle w:val="Compact"/>
      </w:pPr>
      <w:r>
        <w:t xml:space="preserve">acompanhamento de despesas;</w:t>
      </w:r>
    </w:p>
    <w:p>
      <w:pPr>
        <w:numPr>
          <w:ilvl w:val="0"/>
          <w:numId w:val="1011"/>
        </w:numPr>
        <w:pStyle w:val="Compact"/>
      </w:pPr>
      <w:r>
        <w:t xml:space="preserve">conhecimento de ordens de compra;</w:t>
      </w:r>
    </w:p>
    <w:p>
      <w:pPr>
        <w:numPr>
          <w:ilvl w:val="0"/>
          <w:numId w:val="1011"/>
        </w:numPr>
        <w:pStyle w:val="Compact"/>
      </w:pPr>
      <w:r>
        <w:t xml:space="preserve">comparação de propostas;</w:t>
      </w:r>
    </w:p>
    <w:p>
      <w:pPr>
        <w:numPr>
          <w:ilvl w:val="0"/>
          <w:numId w:val="1011"/>
        </w:numPr>
        <w:pStyle w:val="Compact"/>
      </w:pPr>
      <w:r>
        <w:t xml:space="preserve">documentação de aprovações;</w:t>
      </w:r>
    </w:p>
    <w:p>
      <w:pPr>
        <w:numPr>
          <w:ilvl w:val="0"/>
          <w:numId w:val="1011"/>
        </w:numPr>
        <w:pStyle w:val="Compact"/>
      </w:pPr>
      <w:r>
        <w:t xml:space="preserve">manutenção de trilha de auditoria;</w:t>
      </w:r>
    </w:p>
    <w:p>
      <w:pPr>
        <w:numPr>
          <w:ilvl w:val="0"/>
          <w:numId w:val="1011"/>
        </w:numPr>
        <w:pStyle w:val="Compact"/>
      </w:pPr>
      <w:r>
        <w:t xml:space="preserve">conciliação de quantidades e cobranças;</w:t>
      </w:r>
    </w:p>
    <w:p>
      <w:pPr>
        <w:numPr>
          <w:ilvl w:val="0"/>
          <w:numId w:val="1011"/>
        </w:numPr>
        <w:pStyle w:val="Compact"/>
      </w:pPr>
      <w:r>
        <w:t xml:space="preserve">compreensão da diferença entre estimativa, orçamento aprovado, custo comprometido e fatura final.</w:t>
      </w:r>
    </w:p>
    <w:bookmarkEnd w:id="31"/>
    <w:bookmarkStart w:id="32" w:name="operações-de-eventos"/>
    <w:p>
      <w:pPr>
        <w:pStyle w:val="Heading3"/>
      </w:pPr>
      <w:r>
        <w:t xml:space="preserve">Operações de eventos</w:t>
      </w:r>
    </w:p>
    <w:p>
      <w:pPr>
        <w:numPr>
          <w:ilvl w:val="0"/>
          <w:numId w:val="1012"/>
        </w:numPr>
        <w:pStyle w:val="Compact"/>
      </w:pPr>
      <w:r>
        <w:t xml:space="preserve">fluxos de inscrição;</w:t>
      </w:r>
    </w:p>
    <w:p>
      <w:pPr>
        <w:numPr>
          <w:ilvl w:val="0"/>
          <w:numId w:val="1012"/>
        </w:numPr>
        <w:pStyle w:val="Compact"/>
      </w:pPr>
      <w:r>
        <w:t xml:space="preserve">montagem de sala e planos de assentos;</w:t>
      </w:r>
    </w:p>
    <w:p>
      <w:pPr>
        <w:numPr>
          <w:ilvl w:val="0"/>
          <w:numId w:val="1012"/>
        </w:numPr>
        <w:pStyle w:val="Compact"/>
      </w:pPr>
      <w:r>
        <w:t xml:space="preserve">coordenação de alimentação;</w:t>
      </w:r>
    </w:p>
    <w:p>
      <w:pPr>
        <w:numPr>
          <w:ilvl w:val="0"/>
          <w:numId w:val="1012"/>
        </w:numPr>
        <w:pStyle w:val="Compact"/>
      </w:pPr>
      <w:r>
        <w:t xml:space="preserve">coordenação audiovisual;</w:t>
      </w:r>
    </w:p>
    <w:p>
      <w:pPr>
        <w:numPr>
          <w:ilvl w:val="0"/>
          <w:numId w:val="1012"/>
        </w:numPr>
        <w:pStyle w:val="Compact"/>
      </w:pPr>
      <w:r>
        <w:t xml:space="preserve">sinalização e orientação;</w:t>
      </w:r>
    </w:p>
    <w:p>
      <w:pPr>
        <w:numPr>
          <w:ilvl w:val="0"/>
          <w:numId w:val="1012"/>
        </w:numPr>
        <w:pStyle w:val="Compact"/>
      </w:pPr>
      <w:r>
        <w:t xml:space="preserve">apoio a palestrantes;</w:t>
      </w:r>
    </w:p>
    <w:p>
      <w:pPr>
        <w:numPr>
          <w:ilvl w:val="0"/>
          <w:numId w:val="1012"/>
        </w:numPr>
        <w:pStyle w:val="Compact"/>
      </w:pPr>
      <w:r>
        <w:t xml:space="preserve">coordenação de transporte;</w:t>
      </w:r>
    </w:p>
    <w:p>
      <w:pPr>
        <w:numPr>
          <w:ilvl w:val="0"/>
          <w:numId w:val="1012"/>
        </w:numPr>
        <w:pStyle w:val="Compact"/>
      </w:pPr>
      <w:r>
        <w:t xml:space="preserve">coordenação de hospedagem;</w:t>
      </w:r>
    </w:p>
    <w:p>
      <w:pPr>
        <w:numPr>
          <w:ilvl w:val="0"/>
          <w:numId w:val="1012"/>
        </w:numPr>
        <w:pStyle w:val="Compact"/>
      </w:pPr>
      <w:r>
        <w:t xml:space="preserve">escalas de equipe;</w:t>
      </w:r>
    </w:p>
    <w:p>
      <w:pPr>
        <w:numPr>
          <w:ilvl w:val="0"/>
          <w:numId w:val="1012"/>
        </w:numPr>
        <w:pStyle w:val="Compact"/>
      </w:pPr>
      <w:r>
        <w:t xml:space="preserve">gerenciamento do roteiro operacional;</w:t>
      </w:r>
    </w:p>
    <w:p>
      <w:pPr>
        <w:numPr>
          <w:ilvl w:val="0"/>
          <w:numId w:val="1012"/>
        </w:numPr>
        <w:pStyle w:val="Compact"/>
      </w:pPr>
      <w:r>
        <w:t xml:space="preserve">planejamento de contingências;</w:t>
      </w:r>
    </w:p>
    <w:p>
      <w:pPr>
        <w:numPr>
          <w:ilvl w:val="0"/>
          <w:numId w:val="1012"/>
        </w:numPr>
        <w:pStyle w:val="Compact"/>
      </w:pPr>
      <w:r>
        <w:t xml:space="preserve">encerramento pós-evento.</w:t>
      </w:r>
    </w:p>
    <w:bookmarkEnd w:id="32"/>
    <w:bookmarkStart w:id="33" w:name="tecnologia"/>
    <w:p>
      <w:pPr>
        <w:pStyle w:val="Heading3"/>
      </w:pPr>
      <w:r>
        <w:t xml:space="preserve">Tecnologia</w:t>
      </w:r>
    </w:p>
    <w:p>
      <w:pPr>
        <w:pStyle w:val="FirstParagraph"/>
      </w:pPr>
      <w:r>
        <w:t xml:space="preserve">Os sistemas específicos variam. Empregadores podem utilizar:</w:t>
      </w:r>
    </w:p>
    <w:p>
      <w:pPr>
        <w:numPr>
          <w:ilvl w:val="0"/>
          <w:numId w:val="1013"/>
        </w:numPr>
        <w:pStyle w:val="Compact"/>
      </w:pPr>
      <w:r>
        <w:t xml:space="preserve">Microsoft Excel, Word, PowerPoint, Outlook, Teams ou ferramentas equivalentes;</w:t>
      </w:r>
    </w:p>
    <w:p>
      <w:pPr>
        <w:numPr>
          <w:ilvl w:val="0"/>
          <w:numId w:val="1013"/>
        </w:numPr>
        <w:pStyle w:val="Compact"/>
      </w:pPr>
      <w:r>
        <w:t xml:space="preserve">Google Workspace;</w:t>
      </w:r>
    </w:p>
    <w:p>
      <w:pPr>
        <w:numPr>
          <w:ilvl w:val="0"/>
          <w:numId w:val="1013"/>
        </w:numPr>
        <w:pStyle w:val="Compact"/>
      </w:pPr>
      <w:r>
        <w:t xml:space="preserve">ferramentas de gestão de projetos ou tarefas;</w:t>
      </w:r>
    </w:p>
    <w:p>
      <w:pPr>
        <w:numPr>
          <w:ilvl w:val="0"/>
          <w:numId w:val="1013"/>
        </w:numPr>
        <w:pStyle w:val="Compact"/>
      </w:pPr>
      <w:r>
        <w:t xml:space="preserve">sistemas de relacionamento com clientes;</w:t>
      </w:r>
    </w:p>
    <w:p>
      <w:pPr>
        <w:numPr>
          <w:ilvl w:val="0"/>
          <w:numId w:val="1013"/>
        </w:numPr>
        <w:pStyle w:val="Compact"/>
      </w:pPr>
      <w:r>
        <w:t xml:space="preserve">plataformas de inscrição em eventos;</w:t>
      </w:r>
    </w:p>
    <w:p>
      <w:pPr>
        <w:numPr>
          <w:ilvl w:val="0"/>
          <w:numId w:val="1013"/>
        </w:numPr>
        <w:pStyle w:val="Compact"/>
      </w:pPr>
      <w:r>
        <w:t xml:space="preserve">plataformas de reuniões virtuais e webinars;</w:t>
      </w:r>
    </w:p>
    <w:p>
      <w:pPr>
        <w:numPr>
          <w:ilvl w:val="0"/>
          <w:numId w:val="1013"/>
        </w:numPr>
        <w:pStyle w:val="Compact"/>
      </w:pPr>
      <w:r>
        <w:t xml:space="preserve">sistemas de hotéis ou locais;</w:t>
      </w:r>
    </w:p>
    <w:p>
      <w:pPr>
        <w:numPr>
          <w:ilvl w:val="0"/>
          <w:numId w:val="1013"/>
        </w:numPr>
        <w:pStyle w:val="Compact"/>
      </w:pPr>
      <w:r>
        <w:t xml:space="preserve">sistemas de despesas e compras;</w:t>
      </w:r>
    </w:p>
    <w:p>
      <w:pPr>
        <w:numPr>
          <w:ilvl w:val="0"/>
          <w:numId w:val="1013"/>
        </w:numPr>
        <w:pStyle w:val="Compact"/>
      </w:pPr>
      <w:r>
        <w:t xml:space="preserve">ferramentas de pesquisa;</w:t>
      </w:r>
    </w:p>
    <w:p>
      <w:pPr>
        <w:numPr>
          <w:ilvl w:val="0"/>
          <w:numId w:val="1013"/>
        </w:numPr>
        <w:pStyle w:val="Compact"/>
      </w:pPr>
      <w:r>
        <w:t xml:space="preserve">sistemas de sinalização digital ou crachás;</w:t>
      </w:r>
    </w:p>
    <w:p>
      <w:pPr>
        <w:numPr>
          <w:ilvl w:val="0"/>
          <w:numId w:val="1013"/>
        </w:numPr>
        <w:pStyle w:val="Compact"/>
      </w:pPr>
      <w:r>
        <w:t xml:space="preserve">assistentes de IA aprovados;</w:t>
      </w:r>
    </w:p>
    <w:p>
      <w:pPr>
        <w:numPr>
          <w:ilvl w:val="0"/>
          <w:numId w:val="1013"/>
        </w:numPr>
        <w:pStyle w:val="Compact"/>
      </w:pPr>
      <w:r>
        <w:t xml:space="preserve">plataformas específicas do empregador para eventos ou hotelaria.</w:t>
      </w:r>
    </w:p>
    <w:p>
      <w:pPr>
        <w:pStyle w:val="FirstParagraph"/>
      </w:pPr>
      <w:r>
        <w:t xml:space="preserve">O nome de um produto em uma vaga é uma preferência do empregador, não uma credencial legal universal. É melhor aprender conceitos transferíveis — inscrição, permissões, relatórios, cronogramas, orçamentos, modelos, exportações e proteção de dados — para adaptar-se a diferentes plataformas.</w:t>
      </w:r>
    </w:p>
    <w:bookmarkEnd w:id="33"/>
    <w:bookmarkEnd w:id="34"/>
    <w:bookmarkStart w:id="40" w:name="o-ciclo-de-vida-de-um-evento"/>
    <w:p>
      <w:pPr>
        <w:pStyle w:val="Heading2"/>
      </w:pPr>
      <w:r>
        <w:t xml:space="preserve">O ciclo de vida de um evento</w:t>
      </w:r>
    </w:p>
    <w:p>
      <w:pPr>
        <w:pStyle w:val="FirstParagraph"/>
      </w:pPr>
      <w:r>
        <w:t xml:space="preserve">Um ciclo simples ajuda a tornar o trabalho compreensível.</w:t>
      </w:r>
    </w:p>
    <w:bookmarkStart w:id="35" w:name="X11edf6b03d376fcfa70f948c5a81e8131e83636"/>
    <w:p>
      <w:pPr>
        <w:pStyle w:val="Heading3"/>
      </w:pPr>
      <w:r>
        <w:t xml:space="preserve">1. Definir</w:t>
      </w:r>
    </w:p>
    <w:p>
      <w:pPr>
        <w:pStyle w:val="FirstParagraph"/>
      </w:pPr>
      <w:r>
        <w:t xml:space="preserve">Esclarecer:</w:t>
      </w:r>
    </w:p>
    <w:p>
      <w:pPr>
        <w:numPr>
          <w:ilvl w:val="0"/>
          <w:numId w:val="1014"/>
        </w:numPr>
        <w:pStyle w:val="Compact"/>
      </w:pPr>
      <w:r>
        <w:t xml:space="preserve">propósito;</w:t>
      </w:r>
    </w:p>
    <w:p>
      <w:pPr>
        <w:numPr>
          <w:ilvl w:val="0"/>
          <w:numId w:val="1014"/>
        </w:numPr>
        <w:pStyle w:val="Compact"/>
      </w:pPr>
      <w:r>
        <w:t xml:space="preserve">público;</w:t>
      </w:r>
    </w:p>
    <w:p>
      <w:pPr>
        <w:numPr>
          <w:ilvl w:val="0"/>
          <w:numId w:val="1014"/>
        </w:numPr>
        <w:pStyle w:val="Compact"/>
      </w:pPr>
      <w:r>
        <w:t xml:space="preserve">responsável pelo evento;</w:t>
      </w:r>
    </w:p>
    <w:p>
      <w:pPr>
        <w:numPr>
          <w:ilvl w:val="0"/>
          <w:numId w:val="1014"/>
        </w:numPr>
        <w:pStyle w:val="Compact"/>
      </w:pPr>
      <w:r>
        <w:t xml:space="preserve">tomadores de decisão;</w:t>
      </w:r>
    </w:p>
    <w:p>
      <w:pPr>
        <w:numPr>
          <w:ilvl w:val="0"/>
          <w:numId w:val="1014"/>
        </w:numPr>
        <w:pStyle w:val="Compact"/>
      </w:pPr>
      <w:r>
        <w:t xml:space="preserve">data e horário;</w:t>
      </w:r>
    </w:p>
    <w:p>
      <w:pPr>
        <w:numPr>
          <w:ilvl w:val="0"/>
          <w:numId w:val="1014"/>
        </w:numPr>
        <w:pStyle w:val="Compact"/>
      </w:pPr>
      <w:r>
        <w:t xml:space="preserve">local ou formato virtual;</w:t>
      </w:r>
    </w:p>
    <w:p>
      <w:pPr>
        <w:numPr>
          <w:ilvl w:val="0"/>
          <w:numId w:val="1014"/>
        </w:numPr>
        <w:pStyle w:val="Compact"/>
      </w:pPr>
      <w:r>
        <w:t xml:space="preserve">estimativa de participantes;</w:t>
      </w:r>
    </w:p>
    <w:p>
      <w:pPr>
        <w:numPr>
          <w:ilvl w:val="0"/>
          <w:numId w:val="1014"/>
        </w:numPr>
        <w:pStyle w:val="Compact"/>
      </w:pPr>
      <w:r>
        <w:t xml:space="preserve">faixa de orçamento;</w:t>
      </w:r>
    </w:p>
    <w:p>
      <w:pPr>
        <w:numPr>
          <w:ilvl w:val="0"/>
          <w:numId w:val="1014"/>
        </w:numPr>
        <w:pStyle w:val="Compact"/>
      </w:pPr>
      <w:r>
        <w:t xml:space="preserve">requisitos de acessibilidade;</w:t>
      </w:r>
    </w:p>
    <w:p>
      <w:pPr>
        <w:numPr>
          <w:ilvl w:val="0"/>
          <w:numId w:val="1014"/>
        </w:numPr>
        <w:pStyle w:val="Compact"/>
      </w:pPr>
      <w:r>
        <w:t xml:space="preserve">medidas de sucesso;</w:t>
      </w:r>
    </w:p>
    <w:p>
      <w:pPr>
        <w:numPr>
          <w:ilvl w:val="0"/>
          <w:numId w:val="1014"/>
        </w:numPr>
        <w:pStyle w:val="Compact"/>
      </w:pPr>
      <w:r>
        <w:t xml:space="preserve">principais restrições.</w:t>
      </w:r>
    </w:p>
    <w:p>
      <w:pPr>
        <w:pStyle w:val="FirstParagraph"/>
      </w:pPr>
      <w:r>
        <w:t xml:space="preserve">Não se deve começar a gastar ou prometer entregas antes de definir claramente a autoridade.</w:t>
      </w:r>
    </w:p>
    <w:bookmarkEnd w:id="35"/>
    <w:bookmarkStart w:id="36" w:name="Xd1f446f4fbfff816477edb15ea5bfe40d965ccc"/>
    <w:p>
      <w:pPr>
        <w:pStyle w:val="Heading3"/>
      </w:pPr>
      <w:r>
        <w:t xml:space="preserve">2. Planejar</w:t>
      </w:r>
    </w:p>
    <w:p>
      <w:pPr>
        <w:pStyle w:val="FirstParagraph"/>
      </w:pPr>
      <w:r>
        <w:t xml:space="preserve">Construir:</w:t>
      </w:r>
    </w:p>
    <w:p>
      <w:pPr>
        <w:numPr>
          <w:ilvl w:val="0"/>
          <w:numId w:val="1015"/>
        </w:numPr>
        <w:pStyle w:val="Compact"/>
      </w:pPr>
      <w:r>
        <w:t xml:space="preserve">marcos;</w:t>
      </w:r>
    </w:p>
    <w:p>
      <w:pPr>
        <w:numPr>
          <w:ilvl w:val="0"/>
          <w:numId w:val="1015"/>
        </w:numPr>
        <w:pStyle w:val="Compact"/>
      </w:pPr>
      <w:r>
        <w:t xml:space="preserve">responsáveis por tarefas;</w:t>
      </w:r>
    </w:p>
    <w:p>
      <w:pPr>
        <w:numPr>
          <w:ilvl w:val="0"/>
          <w:numId w:val="1015"/>
        </w:numPr>
        <w:pStyle w:val="Compact"/>
      </w:pPr>
      <w:r>
        <w:t xml:space="preserve">requisitos de fornecedores;</w:t>
      </w:r>
    </w:p>
    <w:p>
      <w:pPr>
        <w:numPr>
          <w:ilvl w:val="0"/>
          <w:numId w:val="1015"/>
        </w:numPr>
        <w:pStyle w:val="Compact"/>
      </w:pPr>
      <w:r>
        <w:t xml:space="preserve">processo de inscrição;</w:t>
      </w:r>
    </w:p>
    <w:p>
      <w:pPr>
        <w:numPr>
          <w:ilvl w:val="0"/>
          <w:numId w:val="1015"/>
        </w:numPr>
        <w:pStyle w:val="Compact"/>
      </w:pPr>
      <w:r>
        <w:t xml:space="preserve">calendário de comunicações;</w:t>
      </w:r>
    </w:p>
    <w:p>
      <w:pPr>
        <w:numPr>
          <w:ilvl w:val="0"/>
          <w:numId w:val="1015"/>
        </w:numPr>
        <w:pStyle w:val="Compact"/>
      </w:pPr>
      <w:r>
        <w:t xml:space="preserve">plano de sala ou plataforma;</w:t>
      </w:r>
    </w:p>
    <w:p>
      <w:pPr>
        <w:numPr>
          <w:ilvl w:val="0"/>
          <w:numId w:val="1015"/>
        </w:numPr>
        <w:pStyle w:val="Compact"/>
      </w:pPr>
      <w:r>
        <w:t xml:space="preserve">requisitos de alimentação e audiovisual;</w:t>
      </w:r>
    </w:p>
    <w:p>
      <w:pPr>
        <w:numPr>
          <w:ilvl w:val="0"/>
          <w:numId w:val="1015"/>
        </w:numPr>
        <w:pStyle w:val="Compact"/>
      </w:pPr>
      <w:r>
        <w:t xml:space="preserve">necessidades de transporte ou hospedagem quando aplicável;</w:t>
      </w:r>
    </w:p>
    <w:p>
      <w:pPr>
        <w:numPr>
          <w:ilvl w:val="0"/>
          <w:numId w:val="1015"/>
        </w:numPr>
        <w:pStyle w:val="Compact"/>
      </w:pPr>
      <w:r>
        <w:t xml:space="preserve">plano de equipe;</w:t>
      </w:r>
    </w:p>
    <w:p>
      <w:pPr>
        <w:numPr>
          <w:ilvl w:val="0"/>
          <w:numId w:val="1015"/>
        </w:numPr>
        <w:pStyle w:val="Compact"/>
      </w:pPr>
      <w:r>
        <w:t xml:space="preserve">plano de acessibilidade;</w:t>
      </w:r>
    </w:p>
    <w:p>
      <w:pPr>
        <w:numPr>
          <w:ilvl w:val="0"/>
          <w:numId w:val="1015"/>
        </w:numPr>
        <w:pStyle w:val="Compact"/>
      </w:pPr>
      <w:r>
        <w:t xml:space="preserve">contatos de emergência e escalonamento;</w:t>
      </w:r>
    </w:p>
    <w:p>
      <w:pPr>
        <w:numPr>
          <w:ilvl w:val="0"/>
          <w:numId w:val="1015"/>
        </w:numPr>
        <w:pStyle w:val="Compact"/>
      </w:pPr>
      <w:r>
        <w:t xml:space="preserve">opções de contingência;</w:t>
      </w:r>
    </w:p>
    <w:p>
      <w:pPr>
        <w:numPr>
          <w:ilvl w:val="0"/>
          <w:numId w:val="1015"/>
        </w:numPr>
        <w:pStyle w:val="Compact"/>
      </w:pPr>
      <w:r>
        <w:t xml:space="preserve">controle orçamentário.</w:t>
      </w:r>
    </w:p>
    <w:bookmarkEnd w:id="36"/>
    <w:bookmarkStart w:id="37" w:name="X4b19d8151e2c5b80a6ca2138e2ee8e7504dcc09"/>
    <w:p>
      <w:pPr>
        <w:pStyle w:val="Heading3"/>
      </w:pPr>
      <w:r>
        <w:t xml:space="preserve">3. Confirmar</w:t>
      </w:r>
    </w:p>
    <w:p>
      <w:pPr>
        <w:pStyle w:val="FirstParagraph"/>
      </w:pPr>
      <w:r>
        <w:t xml:space="preserve">Antes do evento, confirmar:</w:t>
      </w:r>
    </w:p>
    <w:p>
      <w:pPr>
        <w:numPr>
          <w:ilvl w:val="0"/>
          <w:numId w:val="1016"/>
        </w:numPr>
        <w:pStyle w:val="Compact"/>
      </w:pPr>
      <w:r>
        <w:t xml:space="preserve">local e fornecedores aprovados;</w:t>
      </w:r>
    </w:p>
    <w:p>
      <w:pPr>
        <w:numPr>
          <w:ilvl w:val="0"/>
          <w:numId w:val="1016"/>
        </w:numPr>
        <w:pStyle w:val="Compact"/>
      </w:pPr>
      <w:r>
        <w:t xml:space="preserve">horários e janelas de acesso;</w:t>
      </w:r>
    </w:p>
    <w:p>
      <w:pPr>
        <w:numPr>
          <w:ilvl w:val="0"/>
          <w:numId w:val="1016"/>
        </w:numPr>
        <w:pStyle w:val="Compact"/>
      </w:pPr>
      <w:r>
        <w:t xml:space="preserve">número de participantes;</w:t>
      </w:r>
    </w:p>
    <w:p>
      <w:pPr>
        <w:numPr>
          <w:ilvl w:val="0"/>
          <w:numId w:val="1016"/>
        </w:numPr>
        <w:pStyle w:val="Compact"/>
      </w:pPr>
      <w:r>
        <w:t xml:space="preserve">quantidades de alimentação;</w:t>
      </w:r>
    </w:p>
    <w:p>
      <w:pPr>
        <w:numPr>
          <w:ilvl w:val="0"/>
          <w:numId w:val="1016"/>
        </w:numPr>
        <w:pStyle w:val="Compact"/>
      </w:pPr>
      <w:r>
        <w:t xml:space="preserve">montagem da sala;</w:t>
      </w:r>
    </w:p>
    <w:p>
      <w:pPr>
        <w:numPr>
          <w:ilvl w:val="0"/>
          <w:numId w:val="1016"/>
        </w:numPr>
        <w:pStyle w:val="Compact"/>
      </w:pPr>
      <w:r>
        <w:t xml:space="preserve">requisitos audiovisuais;</w:t>
      </w:r>
    </w:p>
    <w:p>
      <w:pPr>
        <w:numPr>
          <w:ilvl w:val="0"/>
          <w:numId w:val="1016"/>
        </w:numPr>
        <w:pStyle w:val="Compact"/>
      </w:pPr>
      <w:r>
        <w:t xml:space="preserve">chegada e materiais de palestrantes;</w:t>
      </w:r>
    </w:p>
    <w:p>
      <w:pPr>
        <w:numPr>
          <w:ilvl w:val="0"/>
          <w:numId w:val="1016"/>
        </w:numPr>
        <w:pStyle w:val="Compact"/>
      </w:pPr>
      <w:r>
        <w:t xml:space="preserve">adaptações de acessibilidade;</w:t>
      </w:r>
    </w:p>
    <w:p>
      <w:pPr>
        <w:numPr>
          <w:ilvl w:val="0"/>
          <w:numId w:val="1016"/>
        </w:numPr>
        <w:pStyle w:val="Compact"/>
      </w:pPr>
      <w:r>
        <w:t xml:space="preserve">atribuições de equipe ou voluntários;</w:t>
      </w:r>
    </w:p>
    <w:p>
      <w:pPr>
        <w:numPr>
          <w:ilvl w:val="0"/>
          <w:numId w:val="1016"/>
        </w:numPr>
        <w:pStyle w:val="Compact"/>
      </w:pPr>
      <w:r>
        <w:t xml:space="preserve">sinalização;</w:t>
      </w:r>
    </w:p>
    <w:p>
      <w:pPr>
        <w:numPr>
          <w:ilvl w:val="0"/>
          <w:numId w:val="1016"/>
        </w:numPr>
        <w:pStyle w:val="Compact"/>
      </w:pPr>
      <w:r>
        <w:t xml:space="preserve">detalhes de transporte ou hospedagem;</w:t>
      </w:r>
    </w:p>
    <w:p>
      <w:pPr>
        <w:numPr>
          <w:ilvl w:val="0"/>
          <w:numId w:val="1016"/>
        </w:numPr>
        <w:pStyle w:val="Compact"/>
      </w:pPr>
      <w:r>
        <w:t xml:space="preserve">contatos de emergência e procedimentos do local;</w:t>
      </w:r>
    </w:p>
    <w:p>
      <w:pPr>
        <w:numPr>
          <w:ilvl w:val="0"/>
          <w:numId w:val="1016"/>
        </w:numPr>
        <w:pStyle w:val="Compact"/>
      </w:pPr>
      <w:r>
        <w:t xml:space="preserve">situação de pagamentos ou faturas por canais aprovados.</w:t>
      </w:r>
    </w:p>
    <w:p>
      <w:pPr>
        <w:pStyle w:val="FirstParagraph"/>
      </w:pPr>
      <w:r>
        <w:t xml:space="preserve">Uma confirmação deve ser documentada. Memória não é um controle.</w:t>
      </w:r>
    </w:p>
    <w:bookmarkEnd w:id="37"/>
    <w:bookmarkStart w:id="38" w:name="X4970ec83076f641ef47dcc20c8f959d3f652438"/>
    <w:p>
      <w:pPr>
        <w:pStyle w:val="Heading3"/>
      </w:pPr>
      <w:r>
        <w:t xml:space="preserve">4. Executar</w:t>
      </w:r>
    </w:p>
    <w:p>
      <w:pPr>
        <w:pStyle w:val="FirstParagraph"/>
      </w:pPr>
      <w:r>
        <w:t xml:space="preserve">Durante o evento:</w:t>
      </w:r>
    </w:p>
    <w:p>
      <w:pPr>
        <w:numPr>
          <w:ilvl w:val="0"/>
          <w:numId w:val="1017"/>
        </w:numPr>
        <w:pStyle w:val="Compact"/>
      </w:pPr>
      <w:r>
        <w:t xml:space="preserve">seguir o roteiro operacional;</w:t>
      </w:r>
    </w:p>
    <w:p>
      <w:pPr>
        <w:numPr>
          <w:ilvl w:val="0"/>
          <w:numId w:val="1017"/>
        </w:numPr>
        <w:pStyle w:val="Compact"/>
      </w:pPr>
      <w:r>
        <w:t xml:space="preserve">manter contatos autorizados disponíveis;</w:t>
      </w:r>
    </w:p>
    <w:p>
      <w:pPr>
        <w:numPr>
          <w:ilvl w:val="0"/>
          <w:numId w:val="1017"/>
        </w:numPr>
        <w:pStyle w:val="Compact"/>
      </w:pPr>
      <w:r>
        <w:t xml:space="preserve">acompanhar credenciamento e prontidão do espaço;</w:t>
      </w:r>
    </w:p>
    <w:p>
      <w:pPr>
        <w:numPr>
          <w:ilvl w:val="0"/>
          <w:numId w:val="1017"/>
        </w:numPr>
        <w:pStyle w:val="Compact"/>
      </w:pPr>
      <w:r>
        <w:t xml:space="preserve">registrar mudanças;</w:t>
      </w:r>
    </w:p>
    <w:p>
      <w:pPr>
        <w:numPr>
          <w:ilvl w:val="0"/>
          <w:numId w:val="1017"/>
        </w:numPr>
        <w:pStyle w:val="Compact"/>
      </w:pPr>
      <w:r>
        <w:t xml:space="preserve">comunicar-se com clareza;</w:t>
      </w:r>
    </w:p>
    <w:p>
      <w:pPr>
        <w:numPr>
          <w:ilvl w:val="0"/>
          <w:numId w:val="1017"/>
        </w:numPr>
        <w:pStyle w:val="Compact"/>
      </w:pPr>
      <w:r>
        <w:t xml:space="preserve">proteger informações dos participantes;</w:t>
      </w:r>
    </w:p>
    <w:p>
      <w:pPr>
        <w:numPr>
          <w:ilvl w:val="0"/>
          <w:numId w:val="1017"/>
        </w:numPr>
        <w:pStyle w:val="Compact"/>
      </w:pPr>
      <w:r>
        <w:t xml:space="preserve">seguir os procedimentos de segurança e emergência do local;</w:t>
      </w:r>
    </w:p>
    <w:p>
      <w:pPr>
        <w:numPr>
          <w:ilvl w:val="0"/>
          <w:numId w:val="1017"/>
        </w:numPr>
        <w:pStyle w:val="Compact"/>
      </w:pPr>
      <w:r>
        <w:t xml:space="preserve">escalar problemas em vez de improvisar fora da autoridade;</w:t>
      </w:r>
    </w:p>
    <w:p>
      <w:pPr>
        <w:numPr>
          <w:ilvl w:val="0"/>
          <w:numId w:val="1017"/>
        </w:numPr>
        <w:pStyle w:val="Compact"/>
      </w:pPr>
      <w:r>
        <w:t xml:space="preserve">registrar incidentes ou decisões importantes conforme a política.</w:t>
      </w:r>
    </w:p>
    <w:bookmarkEnd w:id="38"/>
    <w:bookmarkStart w:id="39" w:name="X2f3461dca3c1729f4efc81ec1431b1d85ff208d"/>
    <w:p>
      <w:pPr>
        <w:pStyle w:val="Heading3"/>
      </w:pPr>
      <w:r>
        <w:t xml:space="preserve">5. Encerrar</w:t>
      </w:r>
    </w:p>
    <w:p>
      <w:pPr>
        <w:pStyle w:val="FirstParagraph"/>
      </w:pPr>
      <w:r>
        <w:t xml:space="preserve">Após o evento:</w:t>
      </w:r>
    </w:p>
    <w:p>
      <w:pPr>
        <w:numPr>
          <w:ilvl w:val="0"/>
          <w:numId w:val="1018"/>
        </w:numPr>
        <w:pStyle w:val="Compact"/>
      </w:pPr>
      <w:r>
        <w:t xml:space="preserve">conciliar presença;</w:t>
      </w:r>
    </w:p>
    <w:p>
      <w:pPr>
        <w:numPr>
          <w:ilvl w:val="0"/>
          <w:numId w:val="1018"/>
        </w:numPr>
        <w:pStyle w:val="Compact"/>
      </w:pPr>
      <w:r>
        <w:t xml:space="preserve">coletar feedback aprovado;</w:t>
      </w:r>
    </w:p>
    <w:p>
      <w:pPr>
        <w:numPr>
          <w:ilvl w:val="0"/>
          <w:numId w:val="1018"/>
        </w:numPr>
        <w:pStyle w:val="Compact"/>
      </w:pPr>
      <w:r>
        <w:t xml:space="preserve">confirmar conclusão dos fornecedores;</w:t>
      </w:r>
    </w:p>
    <w:p>
      <w:pPr>
        <w:numPr>
          <w:ilvl w:val="0"/>
          <w:numId w:val="1018"/>
        </w:numPr>
        <w:pStyle w:val="Compact"/>
      </w:pPr>
      <w:r>
        <w:t xml:space="preserve">encaminhar faturas para revisão ou aprovação;</w:t>
      </w:r>
    </w:p>
    <w:p>
      <w:pPr>
        <w:numPr>
          <w:ilvl w:val="0"/>
          <w:numId w:val="1018"/>
        </w:numPr>
        <w:pStyle w:val="Compact"/>
      </w:pPr>
      <w:r>
        <w:t xml:space="preserve">documentar pendências;</w:t>
      </w:r>
    </w:p>
    <w:p>
      <w:pPr>
        <w:numPr>
          <w:ilvl w:val="0"/>
          <w:numId w:val="1018"/>
        </w:numPr>
        <w:pStyle w:val="Compact"/>
      </w:pPr>
      <w:r>
        <w:t xml:space="preserve">devolver ou inventariar equipamentos e materiais;</w:t>
      </w:r>
    </w:p>
    <w:p>
      <w:pPr>
        <w:numPr>
          <w:ilvl w:val="0"/>
          <w:numId w:val="1018"/>
        </w:numPr>
        <w:pStyle w:val="Compact"/>
      </w:pPr>
      <w:r>
        <w:t xml:space="preserve">encerrar permissões de acesso quando apropriado;</w:t>
      </w:r>
    </w:p>
    <w:p>
      <w:pPr>
        <w:numPr>
          <w:ilvl w:val="0"/>
          <w:numId w:val="1018"/>
        </w:numPr>
        <w:pStyle w:val="Compact"/>
      </w:pPr>
      <w:r>
        <w:t xml:space="preserve">arquivar registros conforme a política;</w:t>
      </w:r>
    </w:p>
    <w:p>
      <w:pPr>
        <w:numPr>
          <w:ilvl w:val="0"/>
          <w:numId w:val="1018"/>
        </w:numPr>
        <w:pStyle w:val="Compact"/>
      </w:pPr>
      <w:r>
        <w:t xml:space="preserve">documentar lições aprendidas.</w:t>
      </w:r>
    </w:p>
    <w:bookmarkEnd w:id="39"/>
    <w:bookmarkEnd w:id="40"/>
    <w:bookmarkStart w:id="41" w:name="acessibilidade-e-planejamento-inclusivo"/>
    <w:p>
      <w:pPr>
        <w:pStyle w:val="Heading2"/>
      </w:pPr>
      <w:r>
        <w:t xml:space="preserve">Acessibilidade e planejamento inclusivo</w:t>
      </w:r>
    </w:p>
    <w:p>
      <w:pPr>
        <w:pStyle w:val="FirstParagraph"/>
      </w:pPr>
      <w:r>
        <w:t xml:space="preserve">A acessibilidade deve ser considerada desde o início, e não acrescentada no último momento.</w:t>
      </w:r>
    </w:p>
    <w:p>
      <w:pPr>
        <w:pStyle w:val="BodyText"/>
      </w:pPr>
      <w:r>
        <w:t xml:space="preserve">Nos Estados Unidos, o Departamento de Justiça identifica centros de convenções, auditórios, salas de conferências, hotéis, restaurantes, teatros e outros locais abertos ao público entre ambientes que podem estar sujeitos às obrigações de acomodações públicas da ADA. As obrigações legais aplicáveis dependem da entidade, evento, local e circunstâncias.</w:t>
      </w:r>
    </w:p>
    <w:p>
      <w:pPr>
        <w:pStyle w:val="BodyText"/>
      </w:pPr>
      <w:r>
        <w:t xml:space="preserve">Um coordenador pode apoiar a acessibilidade consultando o responsável autorizado pelo evento ou o local sobre:</w:t>
      </w:r>
    </w:p>
    <w:p>
      <w:pPr>
        <w:numPr>
          <w:ilvl w:val="0"/>
          <w:numId w:val="1019"/>
        </w:numPr>
        <w:pStyle w:val="Compact"/>
      </w:pPr>
      <w:r>
        <w:t xml:space="preserve">rotas sem degraus e entradas acessíveis;</w:t>
      </w:r>
    </w:p>
    <w:p>
      <w:pPr>
        <w:numPr>
          <w:ilvl w:val="0"/>
          <w:numId w:val="1019"/>
        </w:numPr>
        <w:pStyle w:val="Compact"/>
      </w:pPr>
      <w:r>
        <w:t xml:space="preserve">assentos acessíveis e para acompanhantes quando aplicável;</w:t>
      </w:r>
    </w:p>
    <w:p>
      <w:pPr>
        <w:numPr>
          <w:ilvl w:val="0"/>
          <w:numId w:val="1019"/>
        </w:numPr>
        <w:pStyle w:val="Compact"/>
      </w:pPr>
      <w:r>
        <w:t xml:space="preserve">banheiros acessíveis;</w:t>
      </w:r>
    </w:p>
    <w:p>
      <w:pPr>
        <w:numPr>
          <w:ilvl w:val="0"/>
          <w:numId w:val="1019"/>
        </w:numPr>
        <w:pStyle w:val="Compact"/>
      </w:pPr>
      <w:r>
        <w:t xml:space="preserve">acesso ao palco ou área de apresentação;</w:t>
      </w:r>
    </w:p>
    <w:p>
      <w:pPr>
        <w:numPr>
          <w:ilvl w:val="0"/>
          <w:numId w:val="1019"/>
        </w:numPr>
        <w:pStyle w:val="Compact"/>
      </w:pPr>
      <w:r>
        <w:t xml:space="preserve">opções de dispositivos de assistência auditiva;</w:t>
      </w:r>
    </w:p>
    <w:p>
      <w:pPr>
        <w:numPr>
          <w:ilvl w:val="0"/>
          <w:numId w:val="1019"/>
        </w:numPr>
        <w:pStyle w:val="Compact"/>
      </w:pPr>
      <w:r>
        <w:t xml:space="preserve">legendagem ou interpretação;</w:t>
      </w:r>
    </w:p>
    <w:p>
      <w:pPr>
        <w:numPr>
          <w:ilvl w:val="0"/>
          <w:numId w:val="1019"/>
        </w:numPr>
        <w:pStyle w:val="Compact"/>
      </w:pPr>
      <w:r>
        <w:t xml:space="preserve">inscrição digital acessível;</w:t>
      </w:r>
    </w:p>
    <w:p>
      <w:pPr>
        <w:numPr>
          <w:ilvl w:val="0"/>
          <w:numId w:val="1019"/>
        </w:numPr>
        <w:pStyle w:val="Compact"/>
      </w:pPr>
      <w:r>
        <w:t xml:space="preserve">fontes legíveis e contraste adequado nos materiais;</w:t>
      </w:r>
    </w:p>
    <w:p>
      <w:pPr>
        <w:numPr>
          <w:ilvl w:val="0"/>
          <w:numId w:val="1019"/>
        </w:numPr>
        <w:pStyle w:val="Compact"/>
      </w:pPr>
      <w:r>
        <w:t xml:space="preserve">formatos alternativos quando necessários;</w:t>
      </w:r>
    </w:p>
    <w:p>
      <w:pPr>
        <w:numPr>
          <w:ilvl w:val="0"/>
          <w:numId w:val="1019"/>
        </w:numPr>
        <w:pStyle w:val="Compact"/>
      </w:pPr>
      <w:r>
        <w:t xml:space="preserve">processos de comunicação sobre necessidades alimentares e alergias;</w:t>
      </w:r>
    </w:p>
    <w:p>
      <w:pPr>
        <w:numPr>
          <w:ilvl w:val="0"/>
          <w:numId w:val="1019"/>
        </w:numPr>
        <w:pStyle w:val="Compact"/>
      </w:pPr>
      <w:r>
        <w:t xml:space="preserve">procedimentos para animais de serviço;</w:t>
      </w:r>
    </w:p>
    <w:p>
      <w:pPr>
        <w:numPr>
          <w:ilvl w:val="0"/>
          <w:numId w:val="1019"/>
        </w:numPr>
        <w:pStyle w:val="Compact"/>
      </w:pPr>
      <w:r>
        <w:t xml:space="preserve">espaços tranquilos ou com menor estímulo quando viáveis;</w:t>
      </w:r>
    </w:p>
    <w:p>
      <w:pPr>
        <w:numPr>
          <w:ilvl w:val="0"/>
          <w:numId w:val="1019"/>
        </w:numPr>
        <w:pStyle w:val="Compact"/>
      </w:pPr>
      <w:r>
        <w:t xml:space="preserve">informações sobre transporte ou áreas de desembarque acessíveis;</w:t>
      </w:r>
    </w:p>
    <w:p>
      <w:pPr>
        <w:numPr>
          <w:ilvl w:val="0"/>
          <w:numId w:val="1019"/>
        </w:numPr>
        <w:pStyle w:val="Compact"/>
      </w:pPr>
      <w:r>
        <w:t xml:space="preserve">procedimentos de apoio durante evacuação;</w:t>
      </w:r>
    </w:p>
    <w:p>
      <w:pPr>
        <w:numPr>
          <w:ilvl w:val="0"/>
          <w:numId w:val="1019"/>
        </w:numPr>
        <w:pStyle w:val="Compact"/>
      </w:pPr>
      <w:r>
        <w:t xml:space="preserve">formas privadas de solicitar adaptações.</w:t>
      </w:r>
    </w:p>
    <w:p>
      <w:pPr>
        <w:pStyle w:val="FirstParagraph"/>
      </w:pPr>
      <w:r>
        <w:t xml:space="preserve">Não se deve solicitar detalhes médicos desnecessários. Deve-se coletar somente a informação necessária para organizar a adaptação autorizada, usar sistemas aprovados, restringir adequadamente o acesso e seguir as regras de retenção da organização.</w:t>
      </w:r>
    </w:p>
    <w:p>
      <w:pPr>
        <w:pStyle w:val="BodyText"/>
      </w:pPr>
      <w:r>
        <w:t xml:space="preserve">As leis e padrões de acessibilidade variam por país e jurisdição. Este guia é educacional e não certifica que evento, local, site ou organização esteja legalmente em conformidade com requisitos de acessibilidade.</w:t>
      </w:r>
    </w:p>
    <w:bookmarkEnd w:id="41"/>
    <w:bookmarkStart w:id="42" w:name="X371ff2f755f06f893f513256b9e667aa260533e"/>
    <w:p>
      <w:pPr>
        <w:pStyle w:val="Heading2"/>
      </w:pPr>
      <w:r>
        <w:t xml:space="preserve">Segurança do evento e preparação para emergências</w:t>
      </w:r>
    </w:p>
    <w:p>
      <w:pPr>
        <w:pStyle w:val="FirstParagraph"/>
      </w:pPr>
      <w:r>
        <w:t xml:space="preserve">O planejamento de segurança pertence ao empregador responsável, local, proprietário do evento e profissionais qualificados, e não a um assistente iniciante agindo sozinho.</w:t>
      </w:r>
    </w:p>
    <w:p>
      <w:pPr>
        <w:pStyle w:val="BodyText"/>
      </w:pPr>
      <w:r>
        <w:t xml:space="preserve">A orientação da OSHA explica que planos de ação de emergência podem incluir procedimentos de comunicação, evacuação, contabilização de pessoas, funções de emergência e treinamento quando as normas aplicáveis exigem um plano. Para o trabalho em eventos, o coordenador deve pelo menos conhecer os procedimentos estabelecidos pelo local e os limites de sua função.</w:t>
      </w:r>
    </w:p>
    <w:p>
      <w:pPr>
        <w:pStyle w:val="BodyText"/>
      </w:pPr>
      <w:r>
        <w:t xml:space="preserve">Antes do evento, confirmar por meio do local ou responsável autorizado:</w:t>
      </w:r>
    </w:p>
    <w:p>
      <w:pPr>
        <w:numPr>
          <w:ilvl w:val="0"/>
          <w:numId w:val="1020"/>
        </w:numPr>
        <w:pStyle w:val="Compact"/>
      </w:pPr>
      <w:r>
        <w:t xml:space="preserve">números de contato de emergência;</w:t>
      </w:r>
    </w:p>
    <w:p>
      <w:pPr>
        <w:numPr>
          <w:ilvl w:val="0"/>
          <w:numId w:val="1020"/>
        </w:numPr>
        <w:pStyle w:val="Compact"/>
      </w:pPr>
      <w:r>
        <w:t xml:space="preserve">quem tem autoridade para interromper ou modificar o evento;</w:t>
      </w:r>
    </w:p>
    <w:p>
      <w:pPr>
        <w:numPr>
          <w:ilvl w:val="0"/>
          <w:numId w:val="1020"/>
        </w:numPr>
        <w:pStyle w:val="Compact"/>
      </w:pPr>
      <w:r>
        <w:t xml:space="preserve">rotas de evacuação e saídas;</w:t>
      </w:r>
    </w:p>
    <w:p>
      <w:pPr>
        <w:numPr>
          <w:ilvl w:val="0"/>
          <w:numId w:val="1020"/>
        </w:numPr>
        <w:pStyle w:val="Compact"/>
      </w:pPr>
      <w:r>
        <w:t xml:space="preserve">procedimentos de reunião ou contabilização quando utilizados;</w:t>
      </w:r>
    </w:p>
    <w:p>
      <w:pPr>
        <w:numPr>
          <w:ilvl w:val="0"/>
          <w:numId w:val="1020"/>
        </w:numPr>
        <w:pStyle w:val="Compact"/>
      </w:pPr>
      <w:r>
        <w:t xml:space="preserve">processo de resposta médica;</w:t>
      </w:r>
    </w:p>
    <w:p>
      <w:pPr>
        <w:numPr>
          <w:ilvl w:val="0"/>
          <w:numId w:val="1020"/>
        </w:numPr>
        <w:pStyle w:val="Compact"/>
      </w:pPr>
      <w:r>
        <w:t xml:space="preserve">contatos de prevenção contra incêndio ou segurança de vida;</w:t>
      </w:r>
    </w:p>
    <w:p>
      <w:pPr>
        <w:numPr>
          <w:ilvl w:val="0"/>
          <w:numId w:val="1020"/>
        </w:numPr>
        <w:pStyle w:val="Compact"/>
      </w:pPr>
      <w:r>
        <w:t xml:space="preserve">procedimentos para clima severo quando aplicável;</w:t>
      </w:r>
    </w:p>
    <w:p>
      <w:pPr>
        <w:numPr>
          <w:ilvl w:val="0"/>
          <w:numId w:val="1020"/>
        </w:numPr>
        <w:pStyle w:val="Compact"/>
      </w:pPr>
      <w:r>
        <w:t xml:space="preserve">procedimentos de assistência de acessibilidade;</w:t>
      </w:r>
    </w:p>
    <w:p>
      <w:pPr>
        <w:numPr>
          <w:ilvl w:val="0"/>
          <w:numId w:val="1020"/>
        </w:numPr>
        <w:pStyle w:val="Compact"/>
      </w:pPr>
      <w:r>
        <w:t xml:space="preserve">procedimento para criança perdida ou pessoa vulnerável, se aplicável;</w:t>
      </w:r>
    </w:p>
    <w:p>
      <w:pPr>
        <w:numPr>
          <w:ilvl w:val="0"/>
          <w:numId w:val="1020"/>
        </w:numPr>
        <w:pStyle w:val="Compact"/>
      </w:pPr>
      <w:r>
        <w:t xml:space="preserve">método de relato de incidentes;</w:t>
      </w:r>
    </w:p>
    <w:p>
      <w:pPr>
        <w:numPr>
          <w:ilvl w:val="0"/>
          <w:numId w:val="1020"/>
        </w:numPr>
        <w:pStyle w:val="Compact"/>
      </w:pPr>
      <w:r>
        <w:t xml:space="preserve">quem se comunica com serviços públicos de emergência;</w:t>
      </w:r>
    </w:p>
    <w:p>
      <w:pPr>
        <w:numPr>
          <w:ilvl w:val="0"/>
          <w:numId w:val="1020"/>
        </w:numPr>
        <w:pStyle w:val="Compact"/>
      </w:pPr>
      <w:r>
        <w:t xml:space="preserve">método de comunicação alternativo se os sistemas normais falharem.</w:t>
      </w:r>
    </w:p>
    <w:p>
      <w:pPr>
        <w:pStyle w:val="FirstParagraph"/>
      </w:pPr>
      <w:r>
        <w:t xml:space="preserve">Não se devem obstruir saídas, exceder limites de ocupação definidos, desativar sistemas de segurança, direcionar pessoas a áreas restritas ou contrariar instruções de profissionais de resposta autorizados.</w:t>
      </w:r>
    </w:p>
    <w:p>
      <w:pPr>
        <w:pStyle w:val="BodyText"/>
      </w:pPr>
      <w:r>
        <w:t xml:space="preserve">Eventos grandes, de alto risco, ao ar livre, políticos, de entretenimento, com álcool, pirotecnia, estruturas temporárias ou grandes multidões podem exigir planejamento especializado e licenças locais. O trabalhador deve identificar os profissionais e autoridades responsáveis em vez de tentar autocertificar a conformidade.</w:t>
      </w:r>
    </w:p>
    <w:bookmarkEnd w:id="42"/>
    <w:bookmarkStart w:id="43" w:name="privacidade-e-cibersegurança"/>
    <w:p>
      <w:pPr>
        <w:pStyle w:val="Heading2"/>
      </w:pPr>
      <w:r>
        <w:t xml:space="preserve">Privacidade e cibersegurança</w:t>
      </w:r>
    </w:p>
    <w:p>
      <w:pPr>
        <w:pStyle w:val="FirstParagraph"/>
      </w:pPr>
      <w:r>
        <w:t xml:space="preserve">As operações de eventos podem envolver informações pessoais e empresariais valiosas:</w:t>
      </w:r>
    </w:p>
    <w:p>
      <w:pPr>
        <w:numPr>
          <w:ilvl w:val="0"/>
          <w:numId w:val="1021"/>
        </w:numPr>
        <w:pStyle w:val="Compact"/>
      </w:pPr>
      <w:r>
        <w:t xml:space="preserve">nomes e contatos de participantes;</w:t>
      </w:r>
    </w:p>
    <w:p>
      <w:pPr>
        <w:numPr>
          <w:ilvl w:val="0"/>
          <w:numId w:val="1021"/>
        </w:numPr>
        <w:pStyle w:val="Compact"/>
      </w:pPr>
      <w:r>
        <w:t xml:space="preserve">vínculo com empregador ou organização;</w:t>
      </w:r>
    </w:p>
    <w:p>
      <w:pPr>
        <w:numPr>
          <w:ilvl w:val="0"/>
          <w:numId w:val="1021"/>
        </w:numPr>
        <w:pStyle w:val="Compact"/>
      </w:pPr>
      <w:r>
        <w:t xml:space="preserve">informações de viagem e hotel;</w:t>
      </w:r>
    </w:p>
    <w:p>
      <w:pPr>
        <w:numPr>
          <w:ilvl w:val="0"/>
          <w:numId w:val="1021"/>
        </w:numPr>
        <w:pStyle w:val="Compact"/>
      </w:pPr>
      <w:r>
        <w:t xml:space="preserve">informações alimentares;</w:t>
      </w:r>
    </w:p>
    <w:p>
      <w:pPr>
        <w:numPr>
          <w:ilvl w:val="0"/>
          <w:numId w:val="1021"/>
        </w:numPr>
        <w:pStyle w:val="Compact"/>
      </w:pPr>
      <w:r>
        <w:t xml:space="preserve">solicitações de acessibilidade;</w:t>
      </w:r>
    </w:p>
    <w:p>
      <w:pPr>
        <w:numPr>
          <w:ilvl w:val="0"/>
          <w:numId w:val="1021"/>
        </w:numPr>
        <w:pStyle w:val="Compact"/>
      </w:pPr>
      <w:r>
        <w:t xml:space="preserve">horários de palestrantes;</w:t>
      </w:r>
    </w:p>
    <w:p>
      <w:pPr>
        <w:numPr>
          <w:ilvl w:val="0"/>
          <w:numId w:val="1021"/>
        </w:numPr>
        <w:pStyle w:val="Compact"/>
      </w:pPr>
      <w:r>
        <w:t xml:space="preserve">itinerários de executivos ou VIPs;</w:t>
      </w:r>
    </w:p>
    <w:p>
      <w:pPr>
        <w:numPr>
          <w:ilvl w:val="0"/>
          <w:numId w:val="1021"/>
        </w:numPr>
        <w:pStyle w:val="Compact"/>
      </w:pPr>
      <w:r>
        <w:t xml:space="preserve">informações de pagamento;</w:t>
      </w:r>
    </w:p>
    <w:p>
      <w:pPr>
        <w:numPr>
          <w:ilvl w:val="0"/>
          <w:numId w:val="1021"/>
        </w:numPr>
        <w:pStyle w:val="Compact"/>
      </w:pPr>
      <w:r>
        <w:t xml:space="preserve">dados bancários de fornecedores;</w:t>
      </w:r>
    </w:p>
    <w:p>
      <w:pPr>
        <w:numPr>
          <w:ilvl w:val="0"/>
          <w:numId w:val="1021"/>
        </w:numPr>
        <w:pStyle w:val="Compact"/>
      </w:pPr>
      <w:r>
        <w:t xml:space="preserve">contratos e preços;</w:t>
      </w:r>
    </w:p>
    <w:p>
      <w:pPr>
        <w:numPr>
          <w:ilvl w:val="0"/>
          <w:numId w:val="1021"/>
        </w:numPr>
        <w:pStyle w:val="Compact"/>
      </w:pPr>
      <w:r>
        <w:t xml:space="preserve">crachás ou códigos QR;</w:t>
      </w:r>
    </w:p>
    <w:p>
      <w:pPr>
        <w:numPr>
          <w:ilvl w:val="0"/>
          <w:numId w:val="1021"/>
        </w:numPr>
        <w:pStyle w:val="Compact"/>
      </w:pPr>
      <w:r>
        <w:t xml:space="preserve">links e credenciais de reuniões virtuais;</w:t>
      </w:r>
    </w:p>
    <w:p>
      <w:pPr>
        <w:numPr>
          <w:ilvl w:val="0"/>
          <w:numId w:val="1021"/>
        </w:numPr>
        <w:pStyle w:val="Compact"/>
      </w:pPr>
      <w:r>
        <w:t xml:space="preserve">fotografias ou gravações;</w:t>
      </w:r>
    </w:p>
    <w:p>
      <w:pPr>
        <w:numPr>
          <w:ilvl w:val="0"/>
          <w:numId w:val="1021"/>
        </w:numPr>
        <w:pStyle w:val="Compact"/>
      </w:pPr>
      <w:r>
        <w:t xml:space="preserve">agendas internas ou apresentações confidenciais.</w:t>
      </w:r>
    </w:p>
    <w:p>
      <w:pPr>
        <w:pStyle w:val="FirstParagraph"/>
      </w:pPr>
      <w:r>
        <w:t xml:space="preserve">A orientação Secure Our World da CISA enfatiza reconhecimento de</w:t>
      </w:r>
      <w:r>
        <w:t xml:space="preserve"> </w:t>
      </w:r>
      <w:r>
        <w:rPr>
          <w:iCs/>
          <w:i/>
        </w:rPr>
        <w:t xml:space="preserve">phishing</w:t>
      </w:r>
      <w:r>
        <w:t xml:space="preserve">, senhas fortes, autenticação multifator e atualizações de software. Esses princípios devem ser aplicados por meio de sistemas e procedimentos aprovados pelo empregador.</w:t>
      </w:r>
    </w:p>
    <w:p>
      <w:pPr>
        <w:pStyle w:val="BodyText"/>
      </w:pPr>
      <w:r>
        <w:t xml:space="preserve">Boas práticas incluem:</w:t>
      </w:r>
    </w:p>
    <w:p>
      <w:pPr>
        <w:numPr>
          <w:ilvl w:val="0"/>
          <w:numId w:val="1022"/>
        </w:numPr>
        <w:pStyle w:val="Compact"/>
      </w:pPr>
      <w:r>
        <w:t xml:space="preserve">ativar MFA quando a organização oferecer esse recurso;</w:t>
      </w:r>
    </w:p>
    <w:p>
      <w:pPr>
        <w:numPr>
          <w:ilvl w:val="0"/>
          <w:numId w:val="1022"/>
        </w:numPr>
        <w:pStyle w:val="Compact"/>
      </w:pPr>
      <w:r>
        <w:t xml:space="preserve">usar credenciais únicas e gerenciador de senhas aprovado quando fornecido;</w:t>
      </w:r>
    </w:p>
    <w:p>
      <w:pPr>
        <w:numPr>
          <w:ilvl w:val="0"/>
          <w:numId w:val="1022"/>
        </w:numPr>
        <w:pStyle w:val="Compact"/>
      </w:pPr>
      <w:r>
        <w:t xml:space="preserve">verificar solicitações inesperadas de mudança de dados bancários ou de pagamento de fornecedor por um método independente e aprovado;</w:t>
      </w:r>
    </w:p>
    <w:p>
      <w:pPr>
        <w:numPr>
          <w:ilvl w:val="0"/>
          <w:numId w:val="1022"/>
        </w:numPr>
        <w:pStyle w:val="Compact"/>
      </w:pPr>
      <w:r>
        <w:t xml:space="preserve">não enviar planilhas de participantes para e-mail pessoal;</w:t>
      </w:r>
    </w:p>
    <w:p>
      <w:pPr>
        <w:numPr>
          <w:ilvl w:val="0"/>
          <w:numId w:val="1022"/>
        </w:numPr>
        <w:pStyle w:val="Compact"/>
      </w:pPr>
      <w:r>
        <w:t xml:space="preserve">evitar links públicos que exponham dados privados de inscrição ou reunião;</w:t>
      </w:r>
    </w:p>
    <w:p>
      <w:pPr>
        <w:numPr>
          <w:ilvl w:val="0"/>
          <w:numId w:val="1022"/>
        </w:numPr>
        <w:pStyle w:val="Compact"/>
      </w:pPr>
      <w:r>
        <w:t xml:space="preserve">conceder acesso somente a quem precisa;</w:t>
      </w:r>
    </w:p>
    <w:p>
      <w:pPr>
        <w:numPr>
          <w:ilvl w:val="0"/>
          <w:numId w:val="1022"/>
        </w:numPr>
        <w:pStyle w:val="Compact"/>
      </w:pPr>
      <w:r>
        <w:t xml:space="preserve">remover acesso ao fim do projeto quando isso fizer parte da função;</w:t>
      </w:r>
    </w:p>
    <w:p>
      <w:pPr>
        <w:numPr>
          <w:ilvl w:val="0"/>
          <w:numId w:val="1022"/>
        </w:numPr>
        <w:pStyle w:val="Compact"/>
      </w:pPr>
      <w:r>
        <w:t xml:space="preserve">não reutilizar links públicos antigos para sessões confidenciais;</w:t>
      </w:r>
    </w:p>
    <w:p>
      <w:pPr>
        <w:numPr>
          <w:ilvl w:val="0"/>
          <w:numId w:val="1022"/>
        </w:numPr>
        <w:pStyle w:val="Compact"/>
      </w:pPr>
      <w:r>
        <w:t xml:space="preserve">verificar o destinatário antes de enviar informações de participantes ou contratos;</w:t>
      </w:r>
    </w:p>
    <w:p>
      <w:pPr>
        <w:numPr>
          <w:ilvl w:val="0"/>
          <w:numId w:val="1022"/>
        </w:numPr>
        <w:pStyle w:val="Compact"/>
      </w:pPr>
      <w:r>
        <w:t xml:space="preserve">relatar rapidamente suspeitas de</w:t>
      </w:r>
      <w:r>
        <w:t xml:space="preserve"> </w:t>
      </w:r>
      <w:r>
        <w:rPr>
          <w:iCs/>
          <w:i/>
        </w:rPr>
        <w:t xml:space="preserve">phishing</w:t>
      </w:r>
      <w:r>
        <w:t xml:space="preserve">, fraude, comprometimento de conta ou exposição de dados;</w:t>
      </w:r>
    </w:p>
    <w:p>
      <w:pPr>
        <w:numPr>
          <w:ilvl w:val="0"/>
          <w:numId w:val="1022"/>
        </w:numPr>
        <w:pStyle w:val="Compact"/>
      </w:pPr>
      <w:r>
        <w:t xml:space="preserve">seguir as regras de retenção e descarte do empregador;</w:t>
      </w:r>
    </w:p>
    <w:p>
      <w:pPr>
        <w:numPr>
          <w:ilvl w:val="0"/>
          <w:numId w:val="1022"/>
        </w:numPr>
        <w:pStyle w:val="Compact"/>
      </w:pPr>
      <w:r>
        <w:t xml:space="preserve">nunca coletar informações sensíveis adicionais “por precaução”.</w:t>
      </w:r>
    </w:p>
    <w:p>
      <w:pPr>
        <w:pStyle w:val="FirstParagraph"/>
      </w:pPr>
      <w:r>
        <w:t xml:space="preserve">Um coordenador não deve criar uma política de cibersegurança por conta própria. Deve seguir ferramentas, controles e processos de escalonamento aprovados pela organização.</w:t>
      </w:r>
    </w:p>
    <w:bookmarkEnd w:id="43"/>
    <w:bookmarkStart w:id="44" w:name="Xa8677534f798fa138a8347871fa1649aa5f3d66"/>
    <w:p>
      <w:pPr>
        <w:pStyle w:val="Heading2"/>
      </w:pPr>
      <w:r>
        <w:t xml:space="preserve">Uso responsável de inteligência artificial em eventos</w:t>
      </w:r>
    </w:p>
    <w:p>
      <w:pPr>
        <w:pStyle w:val="FirstParagraph"/>
      </w:pPr>
      <w:r>
        <w:t xml:space="preserve">A IA pode ser útil para tarefas de baixo risco quando a organização permitir.</w:t>
      </w:r>
    </w:p>
    <w:p>
      <w:pPr>
        <w:pStyle w:val="BodyText"/>
      </w:pPr>
      <w:r>
        <w:t xml:space="preserve">Usos razoáveis podem incluir:</w:t>
      </w:r>
    </w:p>
    <w:p>
      <w:pPr>
        <w:numPr>
          <w:ilvl w:val="0"/>
          <w:numId w:val="1023"/>
        </w:numPr>
        <w:pStyle w:val="Compact"/>
      </w:pPr>
      <w:r>
        <w:t xml:space="preserve">gerar ideias de temas ou estruturas de agenda;</w:t>
      </w:r>
    </w:p>
    <w:p>
      <w:pPr>
        <w:numPr>
          <w:ilvl w:val="0"/>
          <w:numId w:val="1023"/>
        </w:numPr>
        <w:pStyle w:val="Compact"/>
      </w:pPr>
      <w:r>
        <w:t xml:space="preserve">criar um primeiro rascunho de lista de verificação;</w:t>
      </w:r>
    </w:p>
    <w:p>
      <w:pPr>
        <w:numPr>
          <w:ilvl w:val="0"/>
          <w:numId w:val="1023"/>
        </w:numPr>
        <w:pStyle w:val="Compact"/>
      </w:pPr>
      <w:r>
        <w:t xml:space="preserve">redigir texto rotineiro para convites;</w:t>
      </w:r>
    </w:p>
    <w:p>
      <w:pPr>
        <w:numPr>
          <w:ilvl w:val="0"/>
          <w:numId w:val="1023"/>
        </w:numPr>
        <w:pStyle w:val="Compact"/>
      </w:pPr>
      <w:r>
        <w:t xml:space="preserve">transformar anotações em lista de ações;</w:t>
      </w:r>
    </w:p>
    <w:p>
      <w:pPr>
        <w:numPr>
          <w:ilvl w:val="0"/>
          <w:numId w:val="1023"/>
        </w:numPr>
        <w:pStyle w:val="Compact"/>
      </w:pPr>
      <w:r>
        <w:t xml:space="preserve">revisar comunicações não sensíveis;</w:t>
      </w:r>
    </w:p>
    <w:p>
      <w:pPr>
        <w:numPr>
          <w:ilvl w:val="0"/>
          <w:numId w:val="1023"/>
        </w:numPr>
        <w:pStyle w:val="Compact"/>
      </w:pPr>
      <w:r>
        <w:t xml:space="preserve">sugerir categorias para revisão de riscos ou logística;</w:t>
      </w:r>
    </w:p>
    <w:p>
      <w:pPr>
        <w:numPr>
          <w:ilvl w:val="0"/>
          <w:numId w:val="1023"/>
        </w:numPr>
        <w:pStyle w:val="Compact"/>
      </w:pPr>
      <w:r>
        <w:t xml:space="preserve">gerar cenários fictícios de treinamento;</w:t>
      </w:r>
    </w:p>
    <w:p>
      <w:pPr>
        <w:numPr>
          <w:ilvl w:val="0"/>
          <w:numId w:val="1023"/>
        </w:numPr>
        <w:pStyle w:val="Compact"/>
      </w:pPr>
      <w:r>
        <w:t xml:space="preserve">resumir informações públicas não sensíveis;</w:t>
      </w:r>
    </w:p>
    <w:p>
      <w:pPr>
        <w:numPr>
          <w:ilvl w:val="0"/>
          <w:numId w:val="1023"/>
        </w:numPr>
        <w:pStyle w:val="Compact"/>
      </w:pPr>
      <w:r>
        <w:t xml:space="preserve">criar um primeiro rascunho de pesquisa pós-evento.</w:t>
      </w:r>
    </w:p>
    <w:p>
      <w:pPr>
        <w:pStyle w:val="FirstParagraph"/>
      </w:pPr>
      <w:r>
        <w:t xml:space="preserve">Ainda assim, é necessária verificação humana.</w:t>
      </w:r>
    </w:p>
    <w:p>
      <w:pPr>
        <w:pStyle w:val="BodyText"/>
      </w:pPr>
      <w:r>
        <w:t xml:space="preserve">Não se deve depender somente de IA para:</w:t>
      </w:r>
    </w:p>
    <w:p>
      <w:pPr>
        <w:numPr>
          <w:ilvl w:val="0"/>
          <w:numId w:val="1024"/>
        </w:numPr>
        <w:pStyle w:val="Compact"/>
      </w:pPr>
      <w:r>
        <w:t xml:space="preserve">interpretação de contratos;</w:t>
      </w:r>
    </w:p>
    <w:p>
      <w:pPr>
        <w:numPr>
          <w:ilvl w:val="0"/>
          <w:numId w:val="1024"/>
        </w:numPr>
        <w:pStyle w:val="Compact"/>
      </w:pPr>
      <w:r>
        <w:t xml:space="preserve">preços ou disponibilidade em tempo real;</w:t>
      </w:r>
    </w:p>
    <w:p>
      <w:pPr>
        <w:numPr>
          <w:ilvl w:val="0"/>
          <w:numId w:val="1024"/>
        </w:numPr>
        <w:pStyle w:val="Compact"/>
      </w:pPr>
      <w:r>
        <w:t xml:space="preserve">requisitos legais;</w:t>
      </w:r>
    </w:p>
    <w:p>
      <w:pPr>
        <w:numPr>
          <w:ilvl w:val="0"/>
          <w:numId w:val="1024"/>
        </w:numPr>
        <w:pStyle w:val="Compact"/>
      </w:pPr>
      <w:r>
        <w:t xml:space="preserve">licenças;</w:t>
      </w:r>
    </w:p>
    <w:p>
      <w:pPr>
        <w:numPr>
          <w:ilvl w:val="0"/>
          <w:numId w:val="1024"/>
        </w:numPr>
        <w:pStyle w:val="Compact"/>
      </w:pPr>
      <w:r>
        <w:t xml:space="preserve">cobertura de seguros;</w:t>
      </w:r>
    </w:p>
    <w:p>
      <w:pPr>
        <w:numPr>
          <w:ilvl w:val="0"/>
          <w:numId w:val="1024"/>
        </w:numPr>
        <w:pStyle w:val="Compact"/>
      </w:pPr>
      <w:r>
        <w:t xml:space="preserve">instruções de emergência;</w:t>
      </w:r>
    </w:p>
    <w:p>
      <w:pPr>
        <w:numPr>
          <w:ilvl w:val="0"/>
          <w:numId w:val="1024"/>
        </w:numPr>
        <w:pStyle w:val="Compact"/>
      </w:pPr>
      <w:r>
        <w:t xml:space="preserve">capacidade de ocupação ou requisitos de segurança do local;</w:t>
      </w:r>
    </w:p>
    <w:p>
      <w:pPr>
        <w:numPr>
          <w:ilvl w:val="0"/>
          <w:numId w:val="1024"/>
        </w:numPr>
        <w:pStyle w:val="Compact"/>
      </w:pPr>
      <w:r>
        <w:t xml:space="preserve">compromissos de acessibilidade;</w:t>
      </w:r>
    </w:p>
    <w:p>
      <w:pPr>
        <w:numPr>
          <w:ilvl w:val="0"/>
          <w:numId w:val="1024"/>
        </w:numPr>
        <w:pStyle w:val="Compact"/>
      </w:pPr>
      <w:r>
        <w:t xml:space="preserve">mudanças de pagamento de fornecedores;</w:t>
      </w:r>
    </w:p>
    <w:p>
      <w:pPr>
        <w:numPr>
          <w:ilvl w:val="0"/>
          <w:numId w:val="1024"/>
        </w:numPr>
        <w:pStyle w:val="Compact"/>
      </w:pPr>
      <w:r>
        <w:t xml:space="preserve">requisitos de visto ou viagem;</w:t>
      </w:r>
    </w:p>
    <w:p>
      <w:pPr>
        <w:numPr>
          <w:ilvl w:val="0"/>
          <w:numId w:val="1024"/>
        </w:numPr>
        <w:pStyle w:val="Compact"/>
      </w:pPr>
      <w:r>
        <w:t xml:space="preserve">decisões tributárias;</w:t>
      </w:r>
    </w:p>
    <w:p>
      <w:pPr>
        <w:numPr>
          <w:ilvl w:val="0"/>
          <w:numId w:val="1024"/>
        </w:numPr>
        <w:pStyle w:val="Compact"/>
      </w:pPr>
      <w:r>
        <w:t xml:space="preserve">requisitos para serviço de bebidas alcoólicas;</w:t>
      </w:r>
    </w:p>
    <w:p>
      <w:pPr>
        <w:numPr>
          <w:ilvl w:val="0"/>
          <w:numId w:val="1024"/>
        </w:numPr>
        <w:pStyle w:val="Compact"/>
      </w:pPr>
      <w:r>
        <w:t xml:space="preserve">orientação médica;</w:t>
      </w:r>
    </w:p>
    <w:p>
      <w:pPr>
        <w:numPr>
          <w:ilvl w:val="0"/>
          <w:numId w:val="1024"/>
        </w:numPr>
        <w:pStyle w:val="Compact"/>
      </w:pPr>
      <w:r>
        <w:t xml:space="preserve">decisões de segurança;</w:t>
      </w:r>
    </w:p>
    <w:p>
      <w:pPr>
        <w:numPr>
          <w:ilvl w:val="0"/>
          <w:numId w:val="1024"/>
        </w:numPr>
        <w:pStyle w:val="Compact"/>
      </w:pPr>
      <w:r>
        <w:t xml:space="preserve">listas finais de participantes;</w:t>
      </w:r>
    </w:p>
    <w:p>
      <w:pPr>
        <w:numPr>
          <w:ilvl w:val="0"/>
          <w:numId w:val="1024"/>
        </w:numPr>
        <w:pStyle w:val="Compact"/>
      </w:pPr>
      <w:r>
        <w:t xml:space="preserve">agendas confidenciais de executivos.</w:t>
      </w:r>
    </w:p>
    <w:p>
      <w:pPr>
        <w:pStyle w:val="FirstParagraph"/>
      </w:pPr>
      <w:r>
        <w:t xml:space="preserve">Não se deve inserir em ferramenta de IA informações privadas de participantes, informações sobre deficiência, dados de cartão de pagamento, dados bancários, senhas, tokens de acesso, contratos não publicados, apresentações confidenciais ou outras informações protegidas, salvo quando a organização tiver aprovado explicitamente a ferramenta e o caso de uso.</w:t>
      </w:r>
    </w:p>
    <w:p>
      <w:pPr>
        <w:pStyle w:val="BodyText"/>
      </w:pPr>
      <w:r>
        <w:t xml:space="preserve">O AI Risk Management Framework do NIST oferece uma estrutura voluntária para gestão de riscos de IA. Uma regra prática para eventos é:</w:t>
      </w:r>
      <w:r>
        <w:t xml:space="preserve"> </w:t>
      </w:r>
      <w:r>
        <w:rPr>
          <w:bCs/>
          <w:b/>
        </w:rPr>
        <w:t xml:space="preserve">a IA pode ajudar a redigir ou organizar; uma pessoa autorizada deve verificar fatos e decisões relevantes em sistemas-fonte atuais e confiáveis.</w:t>
      </w:r>
    </w:p>
    <w:bookmarkEnd w:id="44"/>
    <w:bookmarkStart w:id="45" w:name="Xa94d008b93735fa2d2345d4a8939e7673411aad"/>
    <w:p>
      <w:pPr>
        <w:pStyle w:val="Heading2"/>
      </w:pPr>
      <w:r>
        <w:t xml:space="preserve">Educação e caminhos de entrada — Estados Unidos</w:t>
      </w:r>
    </w:p>
    <w:p>
      <w:pPr>
        <w:pStyle w:val="FirstParagraph"/>
      </w:pPr>
      <w:r>
        <w:t xml:space="preserve">O BLS informa que planejadores de reuniões, convenções e eventos normalmente precisam de</w:t>
      </w:r>
      <w:r>
        <w:t xml:space="preserve"> </w:t>
      </w:r>
      <w:r>
        <w:rPr>
          <w:bCs/>
          <w:b/>
        </w:rPr>
        <w:t xml:space="preserve">bacharelado</w:t>
      </w:r>
      <w:r>
        <w:t xml:space="preserve">, embora experiência relacionada ao planejamento de eventos possa ser útil. O O*NET coloca a ocupação em uma zona de preparação mais alta, o que corresponde a muitos cargos completos de planejador.</w:t>
      </w:r>
    </w:p>
    <w:p>
      <w:pPr>
        <w:pStyle w:val="BodyText"/>
      </w:pPr>
      <w:r>
        <w:t xml:space="preserve">Isso não significa que todo cargo de assistente ou coordenador de eventos exija o mesmo diploma. Empregadores podem contratar pessoas com:</w:t>
      </w:r>
    </w:p>
    <w:p>
      <w:pPr>
        <w:numPr>
          <w:ilvl w:val="0"/>
          <w:numId w:val="1025"/>
        </w:numPr>
        <w:pStyle w:val="Compact"/>
      </w:pPr>
      <w:r>
        <w:t xml:space="preserve">experiência em hotelaria;</w:t>
      </w:r>
    </w:p>
    <w:p>
      <w:pPr>
        <w:numPr>
          <w:ilvl w:val="0"/>
          <w:numId w:val="1025"/>
        </w:numPr>
        <w:pStyle w:val="Compact"/>
      </w:pPr>
      <w:r>
        <w:t xml:space="preserve">experiência de apoio administrativo;</w:t>
      </w:r>
    </w:p>
    <w:p>
      <w:pPr>
        <w:numPr>
          <w:ilvl w:val="0"/>
          <w:numId w:val="1025"/>
        </w:numPr>
        <w:pStyle w:val="Compact"/>
      </w:pPr>
      <w:r>
        <w:t xml:space="preserve">experiência em atendimento ao cliente;</w:t>
      </w:r>
    </w:p>
    <w:p>
      <w:pPr>
        <w:numPr>
          <w:ilvl w:val="0"/>
          <w:numId w:val="1025"/>
        </w:numPr>
        <w:pStyle w:val="Compact"/>
      </w:pPr>
      <w:r>
        <w:t xml:space="preserve">experiência em hotéis ou banquetes;</w:t>
      </w:r>
    </w:p>
    <w:p>
      <w:pPr>
        <w:numPr>
          <w:ilvl w:val="0"/>
          <w:numId w:val="1025"/>
        </w:numPr>
        <w:pStyle w:val="Compact"/>
      </w:pPr>
      <w:r>
        <w:t xml:space="preserve">experiência em marketing ou comunicação;</w:t>
      </w:r>
    </w:p>
    <w:p>
      <w:pPr>
        <w:numPr>
          <w:ilvl w:val="0"/>
          <w:numId w:val="1025"/>
        </w:numPr>
        <w:pStyle w:val="Compact"/>
      </w:pPr>
      <w:r>
        <w:t xml:space="preserve">experiência em eventos comunitários ou de organizações sem fins lucrativos;</w:t>
      </w:r>
    </w:p>
    <w:p>
      <w:pPr>
        <w:numPr>
          <w:ilvl w:val="0"/>
          <w:numId w:val="1025"/>
        </w:numPr>
        <w:pStyle w:val="Compact"/>
      </w:pPr>
      <w:r>
        <w:t xml:space="preserve">certificado ou formação de nível associado;</w:t>
      </w:r>
    </w:p>
    <w:p>
      <w:pPr>
        <w:numPr>
          <w:ilvl w:val="0"/>
          <w:numId w:val="1025"/>
        </w:numPr>
        <w:pStyle w:val="Compact"/>
      </w:pPr>
      <w:r>
        <w:t xml:space="preserve">experiência de estágio;</w:t>
      </w:r>
    </w:p>
    <w:p>
      <w:pPr>
        <w:numPr>
          <w:ilvl w:val="0"/>
          <w:numId w:val="1025"/>
        </w:numPr>
        <w:pStyle w:val="Compact"/>
      </w:pPr>
      <w:r>
        <w:t xml:space="preserve">portfólio sólido junto com experiência relevante.</w:t>
      </w:r>
    </w:p>
    <w:p>
      <w:pPr>
        <w:pStyle w:val="FirstParagraph"/>
      </w:pPr>
      <w:r>
        <w:t xml:space="preserve">Uma sequência de baixo custo pode ser:</w:t>
      </w:r>
    </w:p>
    <w:p>
      <w:pPr>
        <w:numPr>
          <w:ilvl w:val="0"/>
          <w:numId w:val="1026"/>
        </w:numPr>
        <w:pStyle w:val="Compact"/>
      </w:pPr>
      <w:r>
        <w:t xml:space="preserve">fortalecer e-mail, calendário, planilhas, documentos e atendimento ao cliente;</w:t>
      </w:r>
    </w:p>
    <w:p>
      <w:pPr>
        <w:numPr>
          <w:ilvl w:val="0"/>
          <w:numId w:val="1026"/>
        </w:numPr>
        <w:pStyle w:val="Compact"/>
      </w:pPr>
      <w:r>
        <w:t xml:space="preserve">aprender vocabulário básico de eventos e o ciclo de vida do evento;</w:t>
      </w:r>
    </w:p>
    <w:p>
      <w:pPr>
        <w:numPr>
          <w:ilvl w:val="0"/>
          <w:numId w:val="1026"/>
        </w:numPr>
        <w:pStyle w:val="Compact"/>
      </w:pPr>
      <w:r>
        <w:t xml:space="preserve">praticar um plano fictício sem dados pessoais reais;</w:t>
      </w:r>
    </w:p>
    <w:p>
      <w:pPr>
        <w:numPr>
          <w:ilvl w:val="0"/>
          <w:numId w:val="1026"/>
        </w:numPr>
        <w:pStyle w:val="Compact"/>
      </w:pPr>
      <w:r>
        <w:t xml:space="preserve">atuar como voluntário ou trabalhar em ambiente supervisionado quando apropriado;</w:t>
      </w:r>
    </w:p>
    <w:p>
      <w:pPr>
        <w:numPr>
          <w:ilvl w:val="0"/>
          <w:numId w:val="1026"/>
        </w:numPr>
        <w:pStyle w:val="Compact"/>
      </w:pPr>
      <w:r>
        <w:t xml:space="preserve">criar portfólio simples com artefatos de planejamento;</w:t>
      </w:r>
    </w:p>
    <w:p>
      <w:pPr>
        <w:numPr>
          <w:ilvl w:val="0"/>
          <w:numId w:val="1026"/>
        </w:numPr>
        <w:pStyle w:val="Compact"/>
      </w:pPr>
      <w:r>
        <w:t xml:space="preserve">candidatar-se a funções como assistente de eventos, assistente de reuniões, assistente de conferências, assistente de credenciamento, coordenador de banquetes, assistente de programas, coordenador administrativo ou coordenador júnior de eventos;</w:t>
      </w:r>
    </w:p>
    <w:p>
      <w:pPr>
        <w:numPr>
          <w:ilvl w:val="0"/>
          <w:numId w:val="1026"/>
        </w:numPr>
        <w:pStyle w:val="Compact"/>
      </w:pPr>
      <w:r>
        <w:t xml:space="preserve">aprender sistemas aprovados, procedimentos de segurança, processo de fornecedores e controles orçamentários do empregador;</w:t>
      </w:r>
    </w:p>
    <w:p>
      <w:pPr>
        <w:numPr>
          <w:ilvl w:val="0"/>
          <w:numId w:val="1026"/>
        </w:numPr>
        <w:pStyle w:val="Compact"/>
      </w:pPr>
      <w:r>
        <w:t xml:space="preserve">assumir responsabilidades mais amplas de coordenação ou planejamento depois de demonstrar execução confiável.</w:t>
      </w:r>
    </w:p>
    <w:bookmarkEnd w:id="45"/>
    <w:bookmarkStart w:id="49" w:name="Xf0eb2bec7d2832b8f5474d82c9e20ed8cdde468"/>
    <w:p>
      <w:pPr>
        <w:pStyle w:val="Heading2"/>
      </w:pPr>
      <w:r>
        <w:t xml:space="preserve">Financiamento, treinamento gratuito ou de baixo custo e aprendizagem no trabalho — Estados Unidos</w:t>
      </w:r>
    </w:p>
    <w:bookmarkStart w:id="47" w:name="careeronestop-e-american-job-centers"/>
    <w:p>
      <w:pPr>
        <w:pStyle w:val="Heading3"/>
      </w:pPr>
      <w:r>
        <w:t xml:space="preserve">CareerOneStop e American Job Centers</w:t>
      </w:r>
    </w:p>
    <w:p>
      <w:pPr>
        <w:pStyle w:val="FirstParagraph"/>
      </w:pPr>
      <w:r>
        <w:t xml:space="preserve">O WIOA-Eligible Training Program Finder do CareerOneStop ajuda a identificar diretórios estaduais de programas que podem se qualificar para apoio pela Workforce Innovation and Opportunity Act:</w:t>
      </w:r>
    </w:p>
    <w:p>
      <w:pPr>
        <w:pStyle w:val="BodyText"/>
      </w:pPr>
      <w:hyperlink r:id="rId46">
        <w:hyperlink r:id="rId46">
          <w:r>
            <w:rPr>
              <w:rStyle w:val="Hyperlink"/>
            </w:rPr>
            <w:t xml:space="preserve">Source link</w:t>
          </w:r>
        </w:hyperlink>
      </w:hyperlink>
    </w:p>
    <w:p>
      <w:pPr>
        <w:pStyle w:val="BodyText"/>
      </w:pPr>
      <w:r>
        <w:t xml:space="preserve">Elegibilidade WIOA, financiamento, serviços de apoio e provedores aprovados variam. O financiamento não é automático. Um American Job Center pode explicar elegibilidade e serviços locais.</w:t>
      </w:r>
    </w:p>
    <w:p>
      <w:pPr>
        <w:pStyle w:val="BodyText"/>
      </w:pPr>
      <w:r>
        <w:t xml:space="preserve">É útil pesquisar categorias relacionadas além do título exato do evento, como:</w:t>
      </w:r>
    </w:p>
    <w:p>
      <w:pPr>
        <w:numPr>
          <w:ilvl w:val="0"/>
          <w:numId w:val="1027"/>
        </w:numPr>
        <w:pStyle w:val="Compact"/>
      </w:pPr>
      <w:r>
        <w:t xml:space="preserve">hotelaria;</w:t>
      </w:r>
    </w:p>
    <w:p>
      <w:pPr>
        <w:numPr>
          <w:ilvl w:val="0"/>
          <w:numId w:val="1027"/>
        </w:numPr>
        <w:pStyle w:val="Compact"/>
      </w:pPr>
      <w:r>
        <w:t xml:space="preserve">turismo;</w:t>
      </w:r>
    </w:p>
    <w:p>
      <w:pPr>
        <w:numPr>
          <w:ilvl w:val="0"/>
          <w:numId w:val="1027"/>
        </w:numPr>
        <w:pStyle w:val="Compact"/>
      </w:pPr>
      <w:r>
        <w:t xml:space="preserve">administração de empresas;</w:t>
      </w:r>
    </w:p>
    <w:p>
      <w:pPr>
        <w:numPr>
          <w:ilvl w:val="0"/>
          <w:numId w:val="1027"/>
        </w:numPr>
        <w:pStyle w:val="Compact"/>
      </w:pPr>
      <w:r>
        <w:t xml:space="preserve">coordenação de projetos;</w:t>
      </w:r>
    </w:p>
    <w:p>
      <w:pPr>
        <w:numPr>
          <w:ilvl w:val="0"/>
          <w:numId w:val="1027"/>
        </w:numPr>
        <w:pStyle w:val="Compact"/>
      </w:pPr>
      <w:r>
        <w:t xml:space="preserve">marketing;</w:t>
      </w:r>
    </w:p>
    <w:p>
      <w:pPr>
        <w:numPr>
          <w:ilvl w:val="0"/>
          <w:numId w:val="1027"/>
        </w:numPr>
        <w:pStyle w:val="Compact"/>
      </w:pPr>
      <w:r>
        <w:t xml:space="preserve">comunicação;</w:t>
      </w:r>
    </w:p>
    <w:p>
      <w:pPr>
        <w:numPr>
          <w:ilvl w:val="0"/>
          <w:numId w:val="1027"/>
        </w:numPr>
        <w:pStyle w:val="Compact"/>
      </w:pPr>
      <w:r>
        <w:t xml:space="preserve">administração de escritório;</w:t>
      </w:r>
    </w:p>
    <w:p>
      <w:pPr>
        <w:numPr>
          <w:ilvl w:val="0"/>
          <w:numId w:val="1027"/>
        </w:numPr>
        <w:pStyle w:val="Compact"/>
      </w:pPr>
      <w:r>
        <w:t xml:space="preserve">atendimento ao cliente;</w:t>
      </w:r>
    </w:p>
    <w:p>
      <w:pPr>
        <w:numPr>
          <w:ilvl w:val="0"/>
          <w:numId w:val="1027"/>
        </w:numPr>
        <w:pStyle w:val="Compact"/>
      </w:pPr>
      <w:r>
        <w:t xml:space="preserve">ferramentas digitais de produtividade.</w:t>
      </w:r>
    </w:p>
    <w:bookmarkEnd w:id="47"/>
    <w:bookmarkStart w:id="48" w:name="aprendizagem-no-trabalho"/>
    <w:p>
      <w:pPr>
        <w:pStyle w:val="Heading3"/>
      </w:pPr>
      <w:r>
        <w:t xml:space="preserve">Aprendizagem no trabalho</w:t>
      </w:r>
    </w:p>
    <w:p>
      <w:pPr>
        <w:pStyle w:val="FirstParagraph"/>
      </w:pPr>
      <w:r>
        <w:t xml:space="preserve">O O*NET oferece ligação com Apprenticeship.gov como recurso de descoberta para a ocupação, mas não se deve presumir que exista um Registered Apprenticeship formal em todas as localidades.</w:t>
      </w:r>
    </w:p>
    <w:p>
      <w:pPr>
        <w:pStyle w:val="BodyText"/>
      </w:pPr>
      <w:r>
        <w:t xml:space="preserve">A aprendizagem prática pode incluir:</w:t>
      </w:r>
    </w:p>
    <w:p>
      <w:pPr>
        <w:numPr>
          <w:ilvl w:val="0"/>
          <w:numId w:val="1028"/>
        </w:numPr>
        <w:pStyle w:val="Compact"/>
      </w:pPr>
      <w:r>
        <w:t xml:space="preserve">funções remuneradas de assistente de eventos;</w:t>
      </w:r>
    </w:p>
    <w:p>
      <w:pPr>
        <w:numPr>
          <w:ilvl w:val="0"/>
          <w:numId w:val="1028"/>
        </w:numPr>
        <w:pStyle w:val="Compact"/>
      </w:pPr>
      <w:r>
        <w:t xml:space="preserve">trabalho em banquetes ou serviços de conferência em hotéis;</w:t>
      </w:r>
    </w:p>
    <w:p>
      <w:pPr>
        <w:numPr>
          <w:ilvl w:val="0"/>
          <w:numId w:val="1028"/>
        </w:numPr>
        <w:pStyle w:val="Compact"/>
      </w:pPr>
      <w:r>
        <w:t xml:space="preserve">apoio a eventos universitários;</w:t>
      </w:r>
    </w:p>
    <w:p>
      <w:pPr>
        <w:numPr>
          <w:ilvl w:val="0"/>
          <w:numId w:val="1028"/>
        </w:numPr>
        <w:pStyle w:val="Compact"/>
      </w:pPr>
      <w:r>
        <w:t xml:space="preserve">eventos de organizações sem fins lucrativos;</w:t>
      </w:r>
    </w:p>
    <w:p>
      <w:pPr>
        <w:numPr>
          <w:ilvl w:val="0"/>
          <w:numId w:val="1028"/>
        </w:numPr>
        <w:pStyle w:val="Compact"/>
      </w:pPr>
      <w:r>
        <w:t xml:space="preserve">apoio em centros de convenções;</w:t>
      </w:r>
    </w:p>
    <w:p>
      <w:pPr>
        <w:numPr>
          <w:ilvl w:val="0"/>
          <w:numId w:val="1028"/>
        </w:numPr>
        <w:pStyle w:val="Compact"/>
      </w:pPr>
      <w:r>
        <w:t xml:space="preserve">estágios;</w:t>
      </w:r>
    </w:p>
    <w:p>
      <w:pPr>
        <w:numPr>
          <w:ilvl w:val="0"/>
          <w:numId w:val="1028"/>
        </w:numPr>
        <w:pStyle w:val="Compact"/>
      </w:pPr>
      <w:r>
        <w:t xml:space="preserve">operações de locais;</w:t>
      </w:r>
    </w:p>
    <w:p>
      <w:pPr>
        <w:numPr>
          <w:ilvl w:val="0"/>
          <w:numId w:val="1028"/>
        </w:numPr>
        <w:pStyle w:val="Compact"/>
      </w:pPr>
      <w:r>
        <w:t xml:space="preserve">mentoria do empregador;</w:t>
      </w:r>
    </w:p>
    <w:p>
      <w:pPr>
        <w:numPr>
          <w:ilvl w:val="0"/>
          <w:numId w:val="1028"/>
        </w:numPr>
        <w:pStyle w:val="Compact"/>
      </w:pPr>
      <w:r>
        <w:t xml:space="preserve">coordenação supervisionada de fornecedores;</w:t>
      </w:r>
    </w:p>
    <w:p>
      <w:pPr>
        <w:numPr>
          <w:ilvl w:val="0"/>
          <w:numId w:val="1028"/>
        </w:numPr>
        <w:pStyle w:val="Compact"/>
      </w:pPr>
      <w:r>
        <w:t xml:space="preserve">treinamento cruzado a partir de funções administrativas ou de hotelaria.</w:t>
      </w:r>
    </w:p>
    <w:p>
      <w:pPr>
        <w:pStyle w:val="FirstParagraph"/>
      </w:pPr>
      <w:r>
        <w:t xml:space="preserve">Nunca se deve descrever uma oportunidade como Registered Apprenticeship sem verificar o patrocinador e o registro do programa.</w:t>
      </w:r>
    </w:p>
    <w:bookmarkEnd w:id="48"/>
    <w:bookmarkEnd w:id="49"/>
    <w:bookmarkStart w:id="56" w:name="X94e4575d6a5b96627a59b94b56de95b9d2416aa"/>
    <w:p>
      <w:pPr>
        <w:pStyle w:val="Heading2"/>
      </w:pPr>
      <w:r>
        <w:t xml:space="preserve">Remuneração e perspectivas — Estados Unidos</w:t>
      </w:r>
    </w:p>
    <w:bookmarkStart w:id="53" w:name="referência-oficial"/>
    <w:p>
      <w:pPr>
        <w:pStyle w:val="Heading3"/>
      </w:pPr>
      <w:r>
        <w:t xml:space="preserve">Referência oficial</w:t>
      </w:r>
    </w:p>
    <w:p>
      <w:pPr>
        <w:pStyle w:val="FirstParagraph"/>
      </w:pPr>
      <w:r>
        <w:t xml:space="preserve">A página atual do O*NET informa dados salariais do BLS de</w:t>
      </w:r>
      <w:r>
        <w:t xml:space="preserve"> </w:t>
      </w:r>
      <w:r>
        <w:rPr>
          <w:bCs/>
          <w:b/>
        </w:rPr>
        <w:t xml:space="preserve">2025</w:t>
      </w:r>
      <w:r>
        <w:t xml:space="preserve"> </w:t>
      </w:r>
      <w:r>
        <w:t xml:space="preserve">para Meeting, Convention, and Event Planners:</w:t>
      </w:r>
    </w:p>
    <w:p>
      <w:pPr>
        <w:numPr>
          <w:ilvl w:val="0"/>
          <w:numId w:val="1029"/>
        </w:numPr>
        <w:pStyle w:val="Compact"/>
      </w:pPr>
      <w:r>
        <w:rPr>
          <w:bCs/>
          <w:b/>
        </w:rPr>
        <w:t xml:space="preserve">Salário mediano por hora:</w:t>
      </w:r>
      <w:r>
        <w:t xml:space="preserve"> </w:t>
      </w:r>
      <w:r>
        <w:rPr>
          <w:bCs/>
          <w:b/>
        </w:rPr>
        <w:t xml:space="preserve">$29.41</w:t>
      </w:r>
      <w:r>
        <w:t xml:space="preserve">;</w:t>
      </w:r>
    </w:p>
    <w:p>
      <w:pPr>
        <w:numPr>
          <w:ilvl w:val="0"/>
          <w:numId w:val="1029"/>
        </w:numPr>
        <w:pStyle w:val="Compact"/>
      </w:pPr>
      <w:r>
        <w:rPr>
          <w:bCs/>
          <w:b/>
        </w:rPr>
        <w:t xml:space="preserve">Salário mediano anual:</w:t>
      </w:r>
      <w:r>
        <w:t xml:space="preserve"> </w:t>
      </w:r>
      <w:r>
        <w:rPr>
          <w:bCs/>
          <w:b/>
        </w:rPr>
        <w:t xml:space="preserve">$61,160</w:t>
      </w:r>
      <w:r>
        <w:t xml:space="preserve">;</w:t>
      </w:r>
    </w:p>
    <w:p>
      <w:pPr>
        <w:numPr>
          <w:ilvl w:val="0"/>
          <w:numId w:val="1029"/>
        </w:numPr>
        <w:pStyle w:val="Compact"/>
      </w:pPr>
      <w:r>
        <w:rPr>
          <w:bCs/>
          <w:b/>
        </w:rPr>
        <w:t xml:space="preserve">Percentil 10 anual:</w:t>
      </w:r>
      <w:r>
        <w:t xml:space="preserve"> </w:t>
      </w:r>
      <w:r>
        <w:rPr>
          <w:bCs/>
          <w:b/>
        </w:rPr>
        <w:t xml:space="preserve">$36,830</w:t>
      </w:r>
      <w:r>
        <w:t xml:space="preserve">;</w:t>
      </w:r>
    </w:p>
    <w:p>
      <w:pPr>
        <w:numPr>
          <w:ilvl w:val="0"/>
          <w:numId w:val="1029"/>
        </w:numPr>
        <w:pStyle w:val="Compact"/>
      </w:pPr>
      <w:r>
        <w:rPr>
          <w:bCs/>
          <w:b/>
        </w:rPr>
        <w:t xml:space="preserve">Percentil 90 anual:</w:t>
      </w:r>
      <w:r>
        <w:t xml:space="preserve"> </w:t>
      </w:r>
      <w:r>
        <w:rPr>
          <w:bCs/>
          <w:b/>
        </w:rPr>
        <w:t xml:space="preserve">$101,700</w:t>
      </w:r>
      <w:r>
        <w:t xml:space="preserve">.</w:t>
      </w:r>
    </w:p>
    <w:p>
      <w:pPr>
        <w:pStyle w:val="FirstParagraph"/>
      </w:pPr>
      <w:r>
        <w:t xml:space="preserve">O O*NET também informa:</w:t>
      </w:r>
    </w:p>
    <w:p>
      <w:pPr>
        <w:numPr>
          <w:ilvl w:val="0"/>
          <w:numId w:val="1030"/>
        </w:numPr>
        <w:pStyle w:val="Compact"/>
      </w:pPr>
      <w:r>
        <w:t xml:space="preserve">aproximadamente</w:t>
      </w:r>
      <w:r>
        <w:t xml:space="preserve"> </w:t>
      </w:r>
      <w:r>
        <w:rPr>
          <w:bCs/>
          <w:b/>
        </w:rPr>
        <w:t xml:space="preserve">155,800 trabalhadores em 2024</w:t>
      </w:r>
      <w:r>
        <w:t xml:space="preserve">;</w:t>
      </w:r>
    </w:p>
    <w:p>
      <w:pPr>
        <w:numPr>
          <w:ilvl w:val="0"/>
          <w:numId w:val="1030"/>
        </w:numPr>
        <w:pStyle w:val="Compact"/>
      </w:pPr>
      <w:r>
        <w:t xml:space="preserve">crescimento projetado de</w:t>
      </w:r>
      <w:r>
        <w:t xml:space="preserve"> </w:t>
      </w:r>
      <w:r>
        <w:rPr>
          <w:bCs/>
          <w:b/>
        </w:rPr>
        <w:t xml:space="preserve">5% a 6% entre 2024 e 2034</w:t>
      </w:r>
      <w:r>
        <w:t xml:space="preserve">;</w:t>
      </w:r>
    </w:p>
    <w:p>
      <w:pPr>
        <w:numPr>
          <w:ilvl w:val="0"/>
          <w:numId w:val="1030"/>
        </w:numPr>
        <w:pStyle w:val="Compact"/>
      </w:pPr>
      <w:r>
        <w:t xml:space="preserve">aproximadamente</w:t>
      </w:r>
      <w:r>
        <w:t xml:space="preserve"> </w:t>
      </w:r>
      <w:r>
        <w:rPr>
          <w:bCs/>
          <w:b/>
        </w:rPr>
        <w:t xml:space="preserve">15,500 vagas projetadas por ano</w:t>
      </w:r>
      <w:r>
        <w:t xml:space="preserve"> </w:t>
      </w:r>
      <w:r>
        <w:t xml:space="preserve">durante o período de projeção.</w:t>
      </w:r>
    </w:p>
    <w:p>
      <w:pPr>
        <w:pStyle w:val="FirstParagraph"/>
      </w:pPr>
      <w:r>
        <w:t xml:space="preserve">O Occupational Outlook Handbook do BLS utiliza um salário mediano anterior de</w:t>
      </w:r>
      <w:r>
        <w:t xml:space="preserve"> </w:t>
      </w:r>
      <w:r>
        <w:rPr>
          <w:bCs/>
          <w:b/>
        </w:rPr>
        <w:t xml:space="preserve">$59,440 anuais em maio de 2024</w:t>
      </w:r>
      <w:r>
        <w:t xml:space="preserve"> </w:t>
      </w:r>
      <w:r>
        <w:t xml:space="preserve">e projeta</w:t>
      </w:r>
      <w:r>
        <w:t xml:space="preserve"> </w:t>
      </w:r>
      <w:r>
        <w:rPr>
          <w:bCs/>
          <w:b/>
        </w:rPr>
        <w:t xml:space="preserve">5% de crescimento entre 2024 e 2034</w:t>
      </w:r>
      <w:r>
        <w:t xml:space="preserve">. A diferença nas cifras salariais corresponde ao ano de referência. Para a principal referência atual, este guia usa os dados salariais de 2025 e mantém claramente identificado o período de projeção.</w:t>
      </w:r>
    </w:p>
    <w:p>
      <w:pPr>
        <w:pStyle w:val="BodyText"/>
      </w:pPr>
      <w:r>
        <w:t xml:space="preserve">Fontes:</w:t>
      </w:r>
      <w:r>
        <w:t xml:space="preserve"> </w:t>
      </w:r>
      <w:hyperlink r:id="rId50">
        <w:hyperlink r:id="rId50">
          <w:r>
            <w:rPr>
              <w:rStyle w:val="Hyperlink"/>
            </w:rPr>
            <w:t xml:space="preserve">Source link</w:t>
          </w:r>
        </w:hyperlink>
      </w:hyperlink>
      <w:r>
        <w:br/>
      </w:r>
      <w:hyperlink r:id="rId51">
        <w:hyperlink r:id="rId51">
          <w:r>
            <w:rPr>
              <w:rStyle w:val="Hyperlink"/>
            </w:rPr>
            <w:t xml:space="preserve">Source link</w:t>
          </w:r>
        </w:hyperlink>
      </w:hyperlink>
      <w:r>
        <w:br/>
      </w:r>
      <w:hyperlink r:id="rId52">
        <w:hyperlink r:id="rId52">
          <w:r>
            <w:rPr>
              <w:rStyle w:val="Hyperlink"/>
            </w:rPr>
            <w:t xml:space="preserve">Source link</w:t>
          </w:r>
        </w:hyperlink>
      </w:hyperlink>
    </w:p>
    <w:bookmarkEnd w:id="53"/>
    <w:bookmarkStart w:id="55" w:name="Xeba182781ff41b46751558e52675fe66a02e241"/>
    <w:p>
      <w:pPr>
        <w:pStyle w:val="Heading3"/>
      </w:pPr>
      <w:r>
        <w:t xml:space="preserve">Estimativa não governamental atual — Indeed</w:t>
      </w:r>
    </w:p>
    <w:p>
      <w:pPr>
        <w:pStyle w:val="FirstParagraph"/>
      </w:pPr>
      <w:r>
        <w:t xml:space="preserve">O Indeed informou salário-base médio nos Estados Unidos para</w:t>
      </w:r>
      <w:r>
        <w:t xml:space="preserve"> </w:t>
      </w:r>
      <w:r>
        <w:rPr>
          <w:bCs/>
          <w:b/>
        </w:rPr>
        <w:t xml:space="preserve">Event Coordinator</w:t>
      </w:r>
      <w:r>
        <w:t xml:space="preserve"> </w:t>
      </w:r>
      <w:r>
        <w:t xml:space="preserve">de aproximadamente</w:t>
      </w:r>
      <w:r>
        <w:t xml:space="preserve"> </w:t>
      </w:r>
      <w:r>
        <w:rPr>
          <w:bCs/>
          <w:b/>
        </w:rPr>
        <w:t xml:space="preserve">$22.75 por hora</w:t>
      </w:r>
      <w:r>
        <w:t xml:space="preserve">, com faixa exibida de aproximadamente</w:t>
      </w:r>
      <w:r>
        <w:t xml:space="preserve"> </w:t>
      </w:r>
      <w:r>
        <w:rPr>
          <w:bCs/>
          <w:b/>
        </w:rPr>
        <w:t xml:space="preserve">$14.88 a $34.79 por hora</w:t>
      </w:r>
      <w:r>
        <w:t xml:space="preserve">, com base em cerca de</w:t>
      </w:r>
      <w:r>
        <w:t xml:space="preserve"> </w:t>
      </w:r>
      <w:r>
        <w:rPr>
          <w:bCs/>
          <w:b/>
        </w:rPr>
        <w:t xml:space="preserve">5.1 mil salários provenientes de anúncios de emprego nos 36 meses anteriores</w:t>
      </w:r>
      <w:r>
        <w:t xml:space="preserve">, atualizado em</w:t>
      </w:r>
      <w:r>
        <w:t xml:space="preserve"> </w:t>
      </w:r>
      <w:r>
        <w:rPr>
          <w:bCs/>
          <w:b/>
        </w:rPr>
        <w:t xml:space="preserve">3 de agosto de 2026</w:t>
      </w:r>
      <w:r>
        <w:t xml:space="preserve">.</w:t>
      </w:r>
    </w:p>
    <w:p>
      <w:pPr>
        <w:pStyle w:val="BodyText"/>
      </w:pPr>
      <w:r>
        <w:t xml:space="preserve">Fonte:</w:t>
      </w:r>
      <w:r>
        <w:t xml:space="preserve"> </w:t>
      </w:r>
      <w:hyperlink r:id="rId54">
        <w:hyperlink r:id="rId54">
          <w:r>
            <w:rPr>
              <w:rStyle w:val="Hyperlink"/>
            </w:rPr>
            <w:t xml:space="preserve">Source link</w:t>
          </w:r>
        </w:hyperlink>
      </w:hyperlink>
    </w:p>
    <w:p>
      <w:pPr>
        <w:pStyle w:val="BodyText"/>
      </w:pPr>
      <w:r>
        <w:t xml:space="preserve">Esta é uma</w:t>
      </w:r>
      <w:r>
        <w:t xml:space="preserve"> </w:t>
      </w:r>
      <w:r>
        <w:rPr>
          <w:bCs/>
          <w:b/>
        </w:rPr>
        <w:t xml:space="preserve">estimativa de mercado não governamental</w:t>
      </w:r>
      <w:r>
        <w:t xml:space="preserve"> </w:t>
      </w:r>
      <w:r>
        <w:t xml:space="preserve">para um título que pode ter escopo mais estreito do que a ocupação do O*NET. Não é uma oferta garantida e deve ser comparada com vagas atuais na localização do leitor.</w:t>
      </w:r>
    </w:p>
    <w:bookmarkEnd w:id="55"/>
    <w:bookmarkEnd w:id="56"/>
    <w:bookmarkStart w:id="66" w:name="caminho-no-canadá"/>
    <w:p>
      <w:pPr>
        <w:pStyle w:val="Heading2"/>
      </w:pPr>
      <w:r>
        <w:t xml:space="preserve">Caminho no Canadá</w:t>
      </w:r>
    </w:p>
    <w:p>
      <w:pPr>
        <w:pStyle w:val="FirstParagraph"/>
      </w:pPr>
      <w:r>
        <w:t xml:space="preserve">O Canadá classifica</w:t>
      </w:r>
      <w:r>
        <w:t xml:space="preserve"> </w:t>
      </w:r>
      <w:r>
        <w:rPr>
          <w:bCs/>
          <w:b/>
        </w:rPr>
        <w:t xml:space="preserve">Conference and event planners</w:t>
      </w:r>
      <w:r>
        <w:t xml:space="preserve"> </w:t>
      </w:r>
      <w:r>
        <w:t xml:space="preserve">sob</w:t>
      </w:r>
      <w:r>
        <w:t xml:space="preserve"> </w:t>
      </w:r>
      <w:r>
        <w:rPr>
          <w:bCs/>
          <w:b/>
        </w:rPr>
        <w:t xml:space="preserve">NOC 12103</w:t>
      </w:r>
      <w:r>
        <w:t xml:space="preserve">.</w:t>
      </w:r>
    </w:p>
    <w:p>
      <w:pPr>
        <w:pStyle w:val="BodyText"/>
      </w:pPr>
      <w:r>
        <w:t xml:space="preserve">O Job Bank descreve o trabalho como planejar, organizar e coordenar conferências, convenções, reuniões, seminários, exposições, feiras, festivais e outros eventos. Os empregadores incluem associações de turismo, associações comerciais e profissionais, centros de convenções e conferências, governos e empresas de planejamento de eventos; algumas pessoas trabalham por conta própria.</w:t>
      </w:r>
    </w:p>
    <w:bookmarkStart w:id="57" w:name="requisitos-típicos"/>
    <w:p>
      <w:pPr>
        <w:pStyle w:val="Heading3"/>
      </w:pPr>
      <w:r>
        <w:t xml:space="preserve">Requisitos típicos</w:t>
      </w:r>
    </w:p>
    <w:p>
      <w:pPr>
        <w:pStyle w:val="FirstParagraph"/>
      </w:pPr>
      <w:r>
        <w:t xml:space="preserve">Os requisitos detalhados do Job Bank indicam que empregadores geralmente procuram:</w:t>
      </w:r>
    </w:p>
    <w:p>
      <w:pPr>
        <w:numPr>
          <w:ilvl w:val="0"/>
          <w:numId w:val="1031"/>
        </w:numPr>
        <w:pStyle w:val="Compact"/>
      </w:pPr>
      <w:r>
        <w:t xml:space="preserve">diploma universitário ou de</w:t>
      </w:r>
      <w:r>
        <w:t xml:space="preserve"> </w:t>
      </w:r>
      <w:r>
        <w:rPr>
          <w:iCs/>
          <w:i/>
        </w:rPr>
        <w:t xml:space="preserve">college</w:t>
      </w:r>
      <w:r>
        <w:t xml:space="preserve"> </w:t>
      </w:r>
      <w:r>
        <w:t xml:space="preserve">em negócios, turismo ou administração de hospitalidade; ou</w:t>
      </w:r>
    </w:p>
    <w:p>
      <w:pPr>
        <w:numPr>
          <w:ilvl w:val="0"/>
          <w:numId w:val="1031"/>
        </w:numPr>
        <w:pStyle w:val="Compact"/>
      </w:pPr>
      <w:r>
        <w:t xml:space="preserve">vários anos de experiência relevante em hotelaria, administração de turismo ou relações públicas que podem substituir a educação formal.</w:t>
      </w:r>
    </w:p>
    <w:p>
      <w:pPr>
        <w:pStyle w:val="FirstParagraph"/>
      </w:pPr>
      <w:r>
        <w:t xml:space="preserve">Alguns empregadores</w:t>
      </w:r>
      <w:r>
        <w:t xml:space="preserve"> </w:t>
      </w:r>
      <w:r>
        <w:rPr>
          <w:bCs/>
          <w:b/>
        </w:rPr>
        <w:t xml:space="preserve">podem</w:t>
      </w:r>
      <w:r>
        <w:t xml:space="preserve"> </w:t>
      </w:r>
      <w:r>
        <w:t xml:space="preserve">exigir certificação relacionada a eventos especiais, reuniões ou gestão de conferências. “Podem” é importante: uma credencial não é automaticamente um requisito legal universal.</w:t>
      </w:r>
    </w:p>
    <w:bookmarkEnd w:id="57"/>
    <w:bookmarkStart w:id="61" w:name="remuneração-no-canadá"/>
    <w:p>
      <w:pPr>
        <w:pStyle w:val="Heading3"/>
      </w:pPr>
      <w:r>
        <w:t xml:space="preserve">Remuneração no Canadá</w:t>
      </w:r>
    </w:p>
    <w:p>
      <w:pPr>
        <w:pStyle w:val="FirstParagraph"/>
      </w:pPr>
      <w:r>
        <w:t xml:space="preserve">Os dados nacionais do Job Bank, atualizados em 19 de novembro de 2025, informam:</w:t>
      </w:r>
    </w:p>
    <w:p>
      <w:pPr>
        <w:numPr>
          <w:ilvl w:val="0"/>
          <w:numId w:val="1032"/>
        </w:numPr>
        <w:pStyle w:val="Compact"/>
      </w:pPr>
      <w:r>
        <w:rPr>
          <w:bCs/>
          <w:b/>
        </w:rPr>
        <w:t xml:space="preserve">Baixo:</w:t>
      </w:r>
      <w:r>
        <w:t xml:space="preserve"> </w:t>
      </w:r>
      <w:r>
        <w:t xml:space="preserve">C$17.65/hora;</w:t>
      </w:r>
    </w:p>
    <w:p>
      <w:pPr>
        <w:numPr>
          <w:ilvl w:val="0"/>
          <w:numId w:val="1032"/>
        </w:numPr>
        <w:pStyle w:val="Compact"/>
      </w:pPr>
      <w:r>
        <w:rPr>
          <w:bCs/>
          <w:b/>
        </w:rPr>
        <w:t xml:space="preserve">Mediano:</w:t>
      </w:r>
      <w:r>
        <w:t xml:space="preserve"> </w:t>
      </w:r>
      <w:r>
        <w:t xml:space="preserve">C$28.37/hora;</w:t>
      </w:r>
    </w:p>
    <w:p>
      <w:pPr>
        <w:numPr>
          <w:ilvl w:val="0"/>
          <w:numId w:val="1032"/>
        </w:numPr>
        <w:pStyle w:val="Compact"/>
      </w:pPr>
      <w:r>
        <w:rPr>
          <w:bCs/>
          <w:b/>
        </w:rPr>
        <w:t xml:space="preserve">Alto:</w:t>
      </w:r>
      <w:r>
        <w:t xml:space="preserve"> </w:t>
      </w:r>
      <w:r>
        <w:t xml:space="preserve">C$47.53/hora.</w:t>
      </w:r>
    </w:p>
    <w:p>
      <w:pPr>
        <w:pStyle w:val="FirstParagraph"/>
      </w:pPr>
      <w:r>
        <w:t xml:space="preserve">O período nacional de referência é 2023-2024 e a fonte é a Labour Force Survey do Statistics Canada. Perspectivas e salários variam por província e território.</w:t>
      </w:r>
    </w:p>
    <w:p>
      <w:pPr>
        <w:pStyle w:val="BodyText"/>
      </w:pPr>
      <w:r>
        <w:t xml:space="preserve">Fontes:</w:t>
      </w:r>
      <w:r>
        <w:t xml:space="preserve"> </w:t>
      </w:r>
      <w:hyperlink r:id="rId58">
        <w:hyperlink r:id="rId58">
          <w:r>
            <w:rPr>
              <w:rStyle w:val="Hyperlink"/>
            </w:rPr>
            <w:t xml:space="preserve">Source link</w:t>
          </w:r>
        </w:hyperlink>
      </w:hyperlink>
      <w:r>
        <w:br/>
      </w:r>
      <w:hyperlink r:id="rId59">
        <w:hyperlink r:id="rId59">
          <w:r>
            <w:rPr>
              <w:rStyle w:val="Hyperlink"/>
            </w:rPr>
            <w:t xml:space="preserve">Source link</w:t>
          </w:r>
        </w:hyperlink>
      </w:hyperlink>
      <w:r>
        <w:br/>
      </w:r>
      <w:hyperlink r:id="rId60">
        <w:hyperlink r:id="rId60">
          <w:r>
            <w:rPr>
              <w:rStyle w:val="Hyperlink"/>
            </w:rPr>
            <w:t xml:space="preserve">Source link</w:t>
          </w:r>
        </w:hyperlink>
      </w:hyperlink>
    </w:p>
    <w:bookmarkEnd w:id="61"/>
    <w:bookmarkStart w:id="65" w:name="treinamento-e-apoio-financeiro-no-canadá"/>
    <w:p>
      <w:pPr>
        <w:pStyle w:val="Heading3"/>
      </w:pPr>
      <w:r>
        <w:t xml:space="preserve">Treinamento e apoio financeiro no Canadá</w:t>
      </w:r>
    </w:p>
    <w:p>
      <w:pPr>
        <w:pStyle w:val="FirstParagraph"/>
      </w:pPr>
      <w:r>
        <w:t xml:space="preserve">O ponto de partida é o portal de treinamento do Governo do Canadá:</w:t>
      </w:r>
    </w:p>
    <w:p>
      <w:pPr>
        <w:pStyle w:val="BodyText"/>
      </w:pPr>
      <w:hyperlink r:id="rId62">
        <w:hyperlink r:id="rId62">
          <w:r>
            <w:rPr>
              <w:rStyle w:val="Hyperlink"/>
            </w:rPr>
            <w:t xml:space="preserve">Source link</w:t>
          </w:r>
        </w:hyperlink>
      </w:hyperlink>
    </w:p>
    <w:p>
      <w:pPr>
        <w:pStyle w:val="BodyText"/>
      </w:pPr>
      <w:r>
        <w:t xml:space="preserve">Ele reúne cursos de curta duração pagos ou gratuitos, auxílio estudantil, informações sobre EI e treinamento, exploração de carreiras, recursos de habilidades e outros apoios públicos.</w:t>
      </w:r>
    </w:p>
    <w:p>
      <w:pPr>
        <w:pStyle w:val="BodyText"/>
      </w:pPr>
      <w:r>
        <w:t xml:space="preserve">O Canadá também transfere recursos do mercado de trabalho às províncias e territórios por meio de Labour Market Development Agreements e Workforce Development Agreements. Materiais federais atuais descrevem aproximadamente</w:t>
      </w:r>
      <w:r>
        <w:t xml:space="preserve"> </w:t>
      </w:r>
      <w:r>
        <w:rPr>
          <w:bCs/>
          <w:b/>
        </w:rPr>
        <w:t xml:space="preserve">C$3 bilhões por ano</w:t>
      </w:r>
      <w:r>
        <w:t xml:space="preserve"> </w:t>
      </w:r>
      <w:r>
        <w:t xml:space="preserve">por esses acordos para treinamento, atualização de habilidades, apoio ao emprego, orientação profissional e assistência à busca de emprego.</w:t>
      </w:r>
    </w:p>
    <w:p>
      <w:pPr>
        <w:pStyle w:val="BodyText"/>
      </w:pPr>
      <w:r>
        <w:t xml:space="preserve">Fontes:</w:t>
      </w:r>
      <w:r>
        <w:t xml:space="preserve"> </w:t>
      </w:r>
      <w:hyperlink r:id="rId63">
        <w:hyperlink r:id="rId63">
          <w:r>
            <w:rPr>
              <w:rStyle w:val="Hyperlink"/>
            </w:rPr>
            <w:t xml:space="preserve">Source link</w:t>
          </w:r>
        </w:hyperlink>
      </w:hyperlink>
      <w:r>
        <w:br/>
      </w:r>
      <w:hyperlink r:id="rId64">
        <w:hyperlink r:id="rId64">
          <w:r>
            <w:rPr>
              <w:rStyle w:val="Hyperlink"/>
            </w:rPr>
            <w:t xml:space="preserve">Source link</w:t>
          </w:r>
        </w:hyperlink>
      </w:hyperlink>
    </w:p>
    <w:p>
      <w:pPr>
        <w:pStyle w:val="BodyText"/>
      </w:pPr>
      <w:r>
        <w:t xml:space="preserve">A elegibilidade e o desenho dos programas variam por província ou território e circunstâncias pessoais. É necessário verificar localmente antes de depender desse financiamento.</w:t>
      </w:r>
    </w:p>
    <w:bookmarkEnd w:id="65"/>
    <w:bookmarkEnd w:id="66"/>
    <w:bookmarkStart w:id="71" w:name="caminho-na-colômbia"/>
    <w:p>
      <w:pPr>
        <w:pStyle w:val="Heading2"/>
      </w:pPr>
      <w:r>
        <w:t xml:space="preserve">Caminho na Colômbia</w:t>
      </w:r>
    </w:p>
    <w:p>
      <w:pPr>
        <w:pStyle w:val="FirstParagraph"/>
      </w:pPr>
      <w:r>
        <w:t xml:space="preserve">O catálogo OCUPACOL do Ministério do Trabalho da Colômbia associa este trabalho a</w:t>
      </w:r>
      <w:r>
        <w:t xml:space="preserve"> </w:t>
      </w:r>
      <w:r>
        <w:rPr>
          <w:bCs/>
          <w:b/>
        </w:rPr>
        <w:t xml:space="preserve">CUOC 33320 — Coordinadores y productores de conferencias, eventos y espectáculos</w:t>
      </w:r>
      <w:r>
        <w:t xml:space="preserve">.</w:t>
      </w:r>
    </w:p>
    <w:p>
      <w:pPr>
        <w:pStyle w:val="BodyText"/>
      </w:pPr>
      <w:r>
        <w:t xml:space="preserve">O perfil ocupacional inclui explicitamente títulos como:</w:t>
      </w:r>
    </w:p>
    <w:p>
      <w:pPr>
        <w:numPr>
          <w:ilvl w:val="0"/>
          <w:numId w:val="1033"/>
        </w:numPr>
        <w:pStyle w:val="Compact"/>
      </w:pPr>
      <w:r>
        <w:t xml:space="preserve">Coordinador de eventos;</w:t>
      </w:r>
    </w:p>
    <w:p>
      <w:pPr>
        <w:numPr>
          <w:ilvl w:val="0"/>
          <w:numId w:val="1033"/>
        </w:numPr>
        <w:pStyle w:val="Compact"/>
      </w:pPr>
      <w:r>
        <w:t xml:space="preserve">Coordinador de conferencia;</w:t>
      </w:r>
    </w:p>
    <w:p>
      <w:pPr>
        <w:numPr>
          <w:ilvl w:val="0"/>
          <w:numId w:val="1033"/>
        </w:numPr>
        <w:pStyle w:val="Compact"/>
      </w:pPr>
      <w:r>
        <w:t xml:space="preserve">Administrador de eventos;</w:t>
      </w:r>
    </w:p>
    <w:p>
      <w:pPr>
        <w:numPr>
          <w:ilvl w:val="0"/>
          <w:numId w:val="1033"/>
        </w:numPr>
        <w:pStyle w:val="Compact"/>
      </w:pPr>
      <w:r>
        <w:t xml:space="preserve">Gestor de eventos;</w:t>
      </w:r>
    </w:p>
    <w:p>
      <w:pPr>
        <w:numPr>
          <w:ilvl w:val="0"/>
          <w:numId w:val="1033"/>
        </w:numPr>
        <w:pStyle w:val="Compact"/>
      </w:pPr>
      <w:r>
        <w:t xml:space="preserve">Organizador de conferencias y eventos;</w:t>
      </w:r>
    </w:p>
    <w:p>
      <w:pPr>
        <w:numPr>
          <w:ilvl w:val="0"/>
          <w:numId w:val="1033"/>
        </w:numPr>
        <w:pStyle w:val="Compact"/>
      </w:pPr>
      <w:r>
        <w:t xml:space="preserve">Planeador de eventos;</w:t>
      </w:r>
    </w:p>
    <w:p>
      <w:pPr>
        <w:numPr>
          <w:ilvl w:val="0"/>
          <w:numId w:val="1033"/>
        </w:numPr>
        <w:pStyle w:val="Compact"/>
      </w:pPr>
      <w:r>
        <w:t xml:space="preserve">Productor de eventos;</w:t>
      </w:r>
    </w:p>
    <w:p>
      <w:pPr>
        <w:numPr>
          <w:ilvl w:val="0"/>
          <w:numId w:val="1033"/>
        </w:numPr>
        <w:pStyle w:val="Compact"/>
      </w:pPr>
      <w:r>
        <w:t xml:space="preserve">e outros títulos relacionados à produção de eventos.</w:t>
      </w:r>
    </w:p>
    <w:p>
      <w:pPr>
        <w:pStyle w:val="FirstParagraph"/>
      </w:pPr>
      <w:r>
        <w:t xml:space="preserve">As funções incluem análise das necessidades do cliente, coordenação de serviços do evento, acompanhamento orçamentário, registro de participantes, materiais do programa e promocionais, coordenação de equipe de apoio, requisitos técnicos ou regulatórios e registros financeiros.</w:t>
      </w:r>
    </w:p>
    <w:p>
      <w:pPr>
        <w:pStyle w:val="BodyText"/>
      </w:pPr>
      <w:r>
        <w:t xml:space="preserve">Fonte:</w:t>
      </w:r>
      <w:r>
        <w:t xml:space="preserve"> </w:t>
      </w:r>
      <w:hyperlink r:id="rId67">
        <w:hyperlink r:id="rId67">
          <w:r>
            <w:rPr>
              <w:rStyle w:val="Hyperlink"/>
            </w:rPr>
            <w:t xml:space="preserve">Source link</w:t>
          </w:r>
        </w:hyperlink>
      </w:hyperlink>
    </w:p>
    <w:p>
      <w:pPr>
        <w:pStyle w:val="BodyText"/>
      </w:pPr>
      <w:r>
        <w:t xml:space="preserve">O OCUPACOL também exibe indicadores de mercado de trabalho, mas a página informa que os dados ocupacionais exibidos</w:t>
      </w:r>
      <w:r>
        <w:t xml:space="preserve"> </w:t>
      </w:r>
      <w:r>
        <w:rPr>
          <w:bCs/>
          <w:b/>
        </w:rPr>
        <w:t xml:space="preserve">não possuem representatividade estatística segundo a metodologia aplicada</w:t>
      </w:r>
      <w:r>
        <w:t xml:space="preserve">. Por isso, este guia não utiliza a faixa salarial mostrada pelo OCUPACOL como referência salarial representativa.</w:t>
      </w:r>
    </w:p>
    <w:bookmarkStart w:id="70" w:name="opções-de-formação-do-sena"/>
    <w:p>
      <w:pPr>
        <w:pStyle w:val="Heading3"/>
      </w:pPr>
      <w:r>
        <w:t xml:space="preserve">Opções de formação do SENA</w:t>
      </w:r>
    </w:p>
    <w:p>
      <w:pPr>
        <w:pStyle w:val="FirstParagraph"/>
      </w:pPr>
      <w:r>
        <w:t xml:space="preserve">O SENA Betowa lista</w:t>
      </w:r>
      <w:r>
        <w:t xml:space="preserve"> </w:t>
      </w:r>
      <w:r>
        <w:rPr>
          <w:bCs/>
          <w:b/>
        </w:rPr>
        <w:t xml:space="preserve">Estrategias aplicadas a la organización de eventos</w:t>
      </w:r>
      <w:r>
        <w:t xml:space="preserve"> </w:t>
      </w:r>
      <w:r>
        <w:t xml:space="preserve">como curso especial complementar de</w:t>
      </w:r>
      <w:r>
        <w:t xml:space="preserve"> </w:t>
      </w:r>
      <w:r>
        <w:rPr>
          <w:bCs/>
          <w:b/>
        </w:rPr>
        <w:t xml:space="preserve">40 horas</w:t>
      </w:r>
      <w:r>
        <w:t xml:space="preserve">. A competência declarada é organizar eventos de acordo com o portfólio de serviços e o estudo de mercado.</w:t>
      </w:r>
    </w:p>
    <w:p>
      <w:pPr>
        <w:pStyle w:val="BodyText"/>
      </w:pPr>
      <w:r>
        <w:t xml:space="preserve">Fonte:</w:t>
      </w:r>
      <w:r>
        <w:t xml:space="preserve"> </w:t>
      </w:r>
      <w:hyperlink r:id="rId68">
        <w:hyperlink r:id="rId68">
          <w:r>
            <w:rPr>
              <w:rStyle w:val="Hyperlink"/>
            </w:rPr>
            <w:t xml:space="preserve">Source link</w:t>
          </w:r>
        </w:hyperlink>
      </w:hyperlink>
    </w:p>
    <w:p>
      <w:pPr>
        <w:pStyle w:val="BodyText"/>
      </w:pPr>
      <w:r>
        <w:t xml:space="preserve">O SENA também lista</w:t>
      </w:r>
      <w:r>
        <w:t xml:space="preserve"> </w:t>
      </w:r>
      <w:r>
        <w:rPr>
          <w:bCs/>
          <w:b/>
        </w:rPr>
        <w:t xml:space="preserve">Gestión Administrativa</w:t>
      </w:r>
      <w:r>
        <w:t xml:space="preserve"> </w:t>
      </w:r>
      <w:r>
        <w:t xml:space="preserve">como programa</w:t>
      </w:r>
      <w:r>
        <w:t xml:space="preserve"> </w:t>
      </w:r>
      <w:r>
        <w:rPr>
          <w:bCs/>
          <w:b/>
        </w:rPr>
        <w:t xml:space="preserve">Tecnólogo de 24 meses</w:t>
      </w:r>
      <w:r>
        <w:t xml:space="preserve">. Suas competências incluem organizar eventos voltados às relações empresariais, além de TIC, documentação, atendimento ao cliente, processamento de informações e trabalho administrativo.</w:t>
      </w:r>
    </w:p>
    <w:p>
      <w:pPr>
        <w:pStyle w:val="BodyText"/>
      </w:pPr>
      <w:r>
        <w:t xml:space="preserve">Fonte:</w:t>
      </w:r>
      <w:r>
        <w:t xml:space="preserve"> </w:t>
      </w:r>
      <w:hyperlink r:id="rId69">
        <w:hyperlink r:id="rId69">
          <w:r>
            <w:rPr>
              <w:rStyle w:val="Hyperlink"/>
            </w:rPr>
            <w:t xml:space="preserve">Source link</w:t>
          </w:r>
        </w:hyperlink>
      </w:hyperlink>
    </w:p>
    <w:p>
      <w:pPr>
        <w:pStyle w:val="BodyText"/>
      </w:pPr>
      <w:r>
        <w:t xml:space="preserve">Turmas, cidades, datas, modalidade, vagas e requisitos de admissão mudam. O aluno deve verificar a disponibilidade atual no Betowa antes de planejar com base em uma oferta específica.</w:t>
      </w:r>
    </w:p>
    <w:bookmarkEnd w:id="70"/>
    <w:bookmarkEnd w:id="71"/>
    <w:bookmarkStart w:id="74" w:name="Xe7fbe70a6e7ab4cda1b98af9a5786347185af27"/>
    <w:p>
      <w:pPr>
        <w:pStyle w:val="Heading2"/>
      </w:pPr>
      <w:r>
        <w:t xml:space="preserve">Contexto de remuneração na Colômbia — claramente identificado</w:t>
      </w:r>
    </w:p>
    <w:p>
      <w:pPr>
        <w:pStyle w:val="FirstParagraph"/>
      </w:pPr>
      <w:r>
        <w:t xml:space="preserve">O Indeed informou salário-base médio para</w:t>
      </w:r>
      <w:r>
        <w:t xml:space="preserve"> </w:t>
      </w:r>
      <w:r>
        <w:rPr>
          <w:bCs/>
          <w:b/>
        </w:rPr>
        <w:t xml:space="preserve">Coordinador/a de eventos</w:t>
      </w:r>
      <w:r>
        <w:t xml:space="preserve"> </w:t>
      </w:r>
      <w:r>
        <w:t xml:space="preserve">na Colômbia de aproximadamente</w:t>
      </w:r>
      <w:r>
        <w:t xml:space="preserve"> </w:t>
      </w:r>
      <w:r>
        <w:rPr>
          <w:bCs/>
          <w:b/>
        </w:rPr>
        <w:t xml:space="preserve">COP 2,216,074 por mês</w:t>
      </w:r>
      <w:r>
        <w:t xml:space="preserve">, com base em</w:t>
      </w:r>
      <w:r>
        <w:t xml:space="preserve"> </w:t>
      </w:r>
      <w:r>
        <w:rPr>
          <w:bCs/>
          <w:b/>
        </w:rPr>
        <w:t xml:space="preserve">20 salários informados</w:t>
      </w:r>
      <w:r>
        <w:t xml:space="preserve">, atualizado em</w:t>
      </w:r>
      <w:r>
        <w:t xml:space="preserve"> </w:t>
      </w:r>
      <w:r>
        <w:rPr>
          <w:bCs/>
          <w:b/>
        </w:rPr>
        <w:t xml:space="preserve">9 de julho de 2026</w:t>
      </w:r>
      <w:r>
        <w:t xml:space="preserve">.</w:t>
      </w:r>
    </w:p>
    <w:p>
      <w:pPr>
        <w:pStyle w:val="BodyText"/>
      </w:pPr>
      <w:r>
        <w:t xml:space="preserve">Para Bogotá, o Indeed informou aproximadamente</w:t>
      </w:r>
      <w:r>
        <w:t xml:space="preserve"> </w:t>
      </w:r>
      <w:r>
        <w:rPr>
          <w:bCs/>
          <w:b/>
        </w:rPr>
        <w:t xml:space="preserve">COP 2,100,876 por mês</w:t>
      </w:r>
      <w:r>
        <w:t xml:space="preserve">, com base em</w:t>
      </w:r>
      <w:r>
        <w:t xml:space="preserve"> </w:t>
      </w:r>
      <w:r>
        <w:rPr>
          <w:bCs/>
          <w:b/>
        </w:rPr>
        <w:t xml:space="preserve">12 salários informados</w:t>
      </w:r>
      <w:r>
        <w:t xml:space="preserve">, também atualizado em 9 de julho de 2026.</w:t>
      </w:r>
    </w:p>
    <w:p>
      <w:pPr>
        <w:pStyle w:val="BodyText"/>
      </w:pPr>
      <w:r>
        <w:t xml:space="preserve">Fontes:</w:t>
      </w:r>
      <w:r>
        <w:t xml:space="preserve"> </w:t>
      </w:r>
      <w:hyperlink r:id="rId72">
        <w:hyperlink r:id="rId72">
          <w:r>
            <w:rPr>
              <w:rStyle w:val="Hyperlink"/>
            </w:rPr>
            <w:t xml:space="preserve">Source link</w:t>
          </w:r>
        </w:hyperlink>
      </w:hyperlink>
      <w:r>
        <w:br/>
      </w:r>
      <w:hyperlink r:id="rId73">
        <w:hyperlink r:id="rId73">
          <w:r>
            <w:rPr>
              <w:rStyle w:val="Hyperlink"/>
            </w:rPr>
            <w:t xml:space="preserve">Source link</w:t>
          </w:r>
        </w:hyperlink>
      </w:hyperlink>
    </w:p>
    <w:p>
      <w:pPr>
        <w:pStyle w:val="BodyText"/>
      </w:pPr>
      <w:r>
        <w:t xml:space="preserve">Estas são</w:t>
      </w:r>
      <w:r>
        <w:t xml:space="preserve"> </w:t>
      </w:r>
      <w:r>
        <w:rPr>
          <w:bCs/>
          <w:b/>
        </w:rPr>
        <w:t xml:space="preserve">estimativas de mercado não governamentais com amostras pequenas</w:t>
      </w:r>
      <w:r>
        <w:t xml:space="preserve">, e não estatísticas salariais oficiais nem remuneração garantida. Hotelaria versus eventos corporativos, incentivos de vendas, idiomas, cidade, horário, complexidade do evento, empregador e senioridade podem alterar substancialmente a remuneração.</w:t>
      </w:r>
    </w:p>
    <w:bookmarkEnd w:id="74"/>
    <w:bookmarkStart w:id="77" w:name="caminho-para-américa-latina-e-caribe"/>
    <w:p>
      <w:pPr>
        <w:pStyle w:val="Heading2"/>
      </w:pPr>
      <w:r>
        <w:t xml:space="preserve">Caminho para América Latina e Caribe</w:t>
      </w:r>
    </w:p>
    <w:p>
      <w:pPr>
        <w:pStyle w:val="FirstParagraph"/>
      </w:pPr>
      <w:r>
        <w:t xml:space="preserve">Os sistemas de formação variam na região. A OIT/Cinterfor, centro especializado da OIT em formação profissional, coordena uma rede de instituições de formação profissional na América Latina e no Caribe e disponibiliza recursos por país e instituição.</w:t>
      </w:r>
    </w:p>
    <w:p>
      <w:pPr>
        <w:pStyle w:val="BodyText"/>
      </w:pPr>
      <w:r>
        <w:t xml:space="preserve">Pontos de partida:</w:t>
      </w:r>
    </w:p>
    <w:p>
      <w:pPr>
        <w:pStyle w:val="BodyText"/>
      </w:pPr>
      <w:hyperlink r:id="rId75">
        <w:r>
          <w:rPr>
            <w:rStyle w:val="Hyperlink"/>
          </w:rPr>
          <w:t xml:space="preserve">https://www.oitcinterfor.org/</w:t>
        </w:r>
      </w:hyperlink>
      <w:r>
        <w:br/>
      </w:r>
      <w:hyperlink r:id="rId76">
        <w:r>
          <w:rPr>
            <w:rStyle w:val="Hyperlink"/>
          </w:rPr>
          <w:t xml:space="preserve">https://www.oitcinterfor.org/statsfp/paises</w:t>
        </w:r>
      </w:hyperlink>
    </w:p>
    <w:p>
      <w:pPr>
        <w:pStyle w:val="BodyText"/>
      </w:pPr>
      <w:r>
        <w:t xml:space="preserve">A rede pode ser usada para identificar a instituição pública ou de formação profissional apropriada em cada país e depois verificar diretamente o catálogo atual, custo, modalidade, elegibilidade, financiamento e datas de inscrição.</w:t>
      </w:r>
    </w:p>
    <w:p>
      <w:pPr>
        <w:pStyle w:val="BodyText"/>
      </w:pPr>
      <w:r>
        <w:t xml:space="preserve">Instituições públicas da região podem oferecer formação em hotelaria, turismo, administração, atendimento ao cliente, habilidades digitais, marketing, apoio audiovisual ou áreas relacionadas a eventos, mesmo quando não existe um programa com o nome exato “coordenador de eventos”.</w:t>
      </w:r>
    </w:p>
    <w:p>
      <w:pPr>
        <w:pStyle w:val="BodyText"/>
      </w:pPr>
      <w:r>
        <w:t xml:space="preserve">Um diretório regional é um</w:t>
      </w:r>
      <w:r>
        <w:t xml:space="preserve"> </w:t>
      </w:r>
      <w:r>
        <w:rPr>
          <w:bCs/>
          <w:b/>
        </w:rPr>
        <w:t xml:space="preserve">localizador</w:t>
      </w:r>
      <w:r>
        <w:t xml:space="preserve">, não prova de que determinado curso, bolsa, aprendizagem ou emprego esteja aberto.</w:t>
      </w:r>
    </w:p>
    <w:bookmarkEnd w:id="77"/>
    <w:bookmarkStart w:id="78" w:name="certificações-e-treinamento-pago"/>
    <w:p>
      <w:pPr>
        <w:pStyle w:val="Heading2"/>
      </w:pPr>
      <w:r>
        <w:t xml:space="preserve">Certificações e treinamento pago</w:t>
      </w:r>
    </w:p>
    <w:p>
      <w:pPr>
        <w:pStyle w:val="FirstParagraph"/>
      </w:pPr>
      <w:r>
        <w:t xml:space="preserve">Credenciais da indústria de eventos podem ser úteis em alguns mercados, especialmente em fases posteriores da carreira, mas devem ser tratadas como decisão de investimento.</w:t>
      </w:r>
    </w:p>
    <w:p>
      <w:pPr>
        <w:pStyle w:val="BodyText"/>
      </w:pPr>
      <w:r>
        <w:t xml:space="preserve">Antes de pagar por certificação ou curso privado, pergunte:</w:t>
      </w:r>
    </w:p>
    <w:p>
      <w:pPr>
        <w:numPr>
          <w:ilvl w:val="0"/>
          <w:numId w:val="1034"/>
        </w:numPr>
        <w:pStyle w:val="Compact"/>
      </w:pPr>
      <w:r>
        <w:t xml:space="preserve">Os empregadores-alvo realmente pedem essa credencial?</w:t>
      </w:r>
    </w:p>
    <w:p>
      <w:pPr>
        <w:numPr>
          <w:ilvl w:val="0"/>
          <w:numId w:val="1034"/>
        </w:numPr>
        <w:pStyle w:val="Compact"/>
      </w:pPr>
      <w:r>
        <w:t xml:space="preserve">Ela é adequada para nível inicial ou foi criada para planejadores experientes?</w:t>
      </w:r>
    </w:p>
    <w:p>
      <w:pPr>
        <w:numPr>
          <w:ilvl w:val="0"/>
          <w:numId w:val="1034"/>
        </w:numPr>
        <w:pStyle w:val="Compact"/>
      </w:pPr>
      <w:r>
        <w:t xml:space="preserve">Exige experiência prévia?</w:t>
      </w:r>
    </w:p>
    <w:p>
      <w:pPr>
        <w:numPr>
          <w:ilvl w:val="0"/>
          <w:numId w:val="1034"/>
        </w:numPr>
        <w:pStyle w:val="Compact"/>
      </w:pPr>
      <w:r>
        <w:t xml:space="preserve">Qual é o custo total, incluindo exame, associação, renovação, viagem ou educação continuada?</w:t>
      </w:r>
    </w:p>
    <w:p>
      <w:pPr>
        <w:numPr>
          <w:ilvl w:val="0"/>
          <w:numId w:val="1034"/>
        </w:numPr>
        <w:pStyle w:val="Compact"/>
      </w:pPr>
      <w:r>
        <w:t xml:space="preserve">Há reembolso pelo empregador?</w:t>
      </w:r>
    </w:p>
    <w:p>
      <w:pPr>
        <w:numPr>
          <w:ilvl w:val="0"/>
          <w:numId w:val="1034"/>
        </w:numPr>
        <w:pStyle w:val="Compact"/>
      </w:pPr>
      <w:r>
        <w:t xml:space="preserve">Existe primeiro uma alternativa de</w:t>
      </w:r>
      <w:r>
        <w:t xml:space="preserve"> </w:t>
      </w:r>
      <w:r>
        <w:rPr>
          <w:iCs/>
          <w:i/>
        </w:rPr>
        <w:t xml:space="preserve">college</w:t>
      </w:r>
      <w:r>
        <w:t xml:space="preserve"> </w:t>
      </w:r>
      <w:r>
        <w:t xml:space="preserve">público, programa de força de trabalho, SENA ou treinamento do empregador?</w:t>
      </w:r>
    </w:p>
    <w:p>
      <w:pPr>
        <w:numPr>
          <w:ilvl w:val="0"/>
          <w:numId w:val="1034"/>
        </w:numPr>
        <w:pStyle w:val="Compact"/>
      </w:pPr>
      <w:r>
        <w:t xml:space="preserve">O treinamento produz habilidades demonstráveis ou apenas um certificado de conclusão?</w:t>
      </w:r>
    </w:p>
    <w:p>
      <w:pPr>
        <w:pStyle w:val="FirstParagraph"/>
      </w:pPr>
      <w:r>
        <w:t xml:space="preserve">Um certificado de conclusão de curso não é o mesmo que licença profissional, acreditação ou reconhecimento garantido pelo empregador.</w:t>
      </w:r>
    </w:p>
    <w:bookmarkEnd w:id="78"/>
    <w:bookmarkStart w:id="79" w:name="ganhar-experiência-antes-de-gastar-muito"/>
    <w:p>
      <w:pPr>
        <w:pStyle w:val="Heading2"/>
      </w:pPr>
      <w:r>
        <w:t xml:space="preserve">Ganhar experiência antes de gastar muito</w:t>
      </w:r>
    </w:p>
    <w:p>
      <w:pPr>
        <w:pStyle w:val="FirstParagraph"/>
      </w:pPr>
      <w:r>
        <w:t xml:space="preserve">Formas de baixo custo para desenvolver evidências podem incluir:</w:t>
      </w:r>
    </w:p>
    <w:p>
      <w:pPr>
        <w:numPr>
          <w:ilvl w:val="0"/>
          <w:numId w:val="1035"/>
        </w:numPr>
        <w:pStyle w:val="Compact"/>
      </w:pPr>
      <w:r>
        <w:t xml:space="preserve">apoiar evento comunitário ou sem fins lucrativos sob supervisão;</w:t>
      </w:r>
    </w:p>
    <w:p>
      <w:pPr>
        <w:numPr>
          <w:ilvl w:val="0"/>
          <w:numId w:val="1035"/>
        </w:numPr>
        <w:pStyle w:val="Compact"/>
      </w:pPr>
      <w:r>
        <w:t xml:space="preserve">ajudar a coordenar reunião de trabalho;</w:t>
      </w:r>
    </w:p>
    <w:p>
      <w:pPr>
        <w:numPr>
          <w:ilvl w:val="0"/>
          <w:numId w:val="1035"/>
        </w:numPr>
        <w:pStyle w:val="Compact"/>
      </w:pPr>
      <w:r>
        <w:t xml:space="preserve">atuar como voluntário em equipe de credenciamento de conferência;</w:t>
      </w:r>
    </w:p>
    <w:p>
      <w:pPr>
        <w:numPr>
          <w:ilvl w:val="0"/>
          <w:numId w:val="1035"/>
        </w:numPr>
        <w:pStyle w:val="Compact"/>
      </w:pPr>
      <w:r>
        <w:t xml:space="preserve">apoiar evento escolar, de biblioteca, cultural ou de associação;</w:t>
      </w:r>
    </w:p>
    <w:p>
      <w:pPr>
        <w:numPr>
          <w:ilvl w:val="0"/>
          <w:numId w:val="1035"/>
        </w:numPr>
        <w:pStyle w:val="Compact"/>
      </w:pPr>
      <w:r>
        <w:t xml:space="preserve">assumir função de hotelaria, banquetes, atendimento ao cliente ou administração;</w:t>
      </w:r>
    </w:p>
    <w:p>
      <w:pPr>
        <w:numPr>
          <w:ilvl w:val="0"/>
          <w:numId w:val="1035"/>
        </w:numPr>
        <w:pStyle w:val="Compact"/>
      </w:pPr>
      <w:r>
        <w:t xml:space="preserve">criar planos fictícios de eventos sem dados pessoais reais;</w:t>
      </w:r>
    </w:p>
    <w:p>
      <w:pPr>
        <w:numPr>
          <w:ilvl w:val="0"/>
          <w:numId w:val="1035"/>
        </w:numPr>
        <w:pStyle w:val="Compact"/>
      </w:pPr>
      <w:r>
        <w:t xml:space="preserve">praticar orçamentos e cronogramas em planilhas;</w:t>
      </w:r>
    </w:p>
    <w:p>
      <w:pPr>
        <w:numPr>
          <w:ilvl w:val="0"/>
          <w:numId w:val="1035"/>
        </w:numPr>
        <w:pStyle w:val="Compact"/>
      </w:pPr>
      <w:r>
        <w:t xml:space="preserve">aprender fundamentos de documentos acessíveis;</w:t>
      </w:r>
    </w:p>
    <w:p>
      <w:pPr>
        <w:numPr>
          <w:ilvl w:val="0"/>
          <w:numId w:val="1035"/>
        </w:numPr>
        <w:pStyle w:val="Compact"/>
      </w:pPr>
      <w:r>
        <w:t xml:space="preserve">praticar tabelas de comparação de fornecedores usando informações públicas;</w:t>
      </w:r>
    </w:p>
    <w:p>
      <w:pPr>
        <w:numPr>
          <w:ilvl w:val="0"/>
          <w:numId w:val="1035"/>
        </w:numPr>
        <w:pStyle w:val="Compact"/>
      </w:pPr>
      <w:r>
        <w:t xml:space="preserve">aprender fundamentos de cibersegurança e</w:t>
      </w:r>
      <w:r>
        <w:t xml:space="preserve"> </w:t>
      </w:r>
      <w:r>
        <w:rPr>
          <w:iCs/>
          <w:i/>
        </w:rPr>
        <w:t xml:space="preserve">phishing</w:t>
      </w:r>
      <w:r>
        <w:t xml:space="preserve">.</w:t>
      </w:r>
    </w:p>
    <w:p>
      <w:pPr>
        <w:pStyle w:val="FirstParagraph"/>
      </w:pPr>
      <w:r>
        <w:t xml:space="preserve">Ao atuar como voluntário, confirme função, supervisão, expectativas de seguro e segurança, horário e regras de tratamento de dados. “Voluntário” não significa “sem controles”.</w:t>
      </w:r>
    </w:p>
    <w:bookmarkEnd w:id="79"/>
    <w:bookmarkStart w:id="86" w:name="ideias-para-portfólio"/>
    <w:p>
      <w:pPr>
        <w:pStyle w:val="Heading2"/>
      </w:pPr>
      <w:r>
        <w:t xml:space="preserve">Ideias para portfólio</w:t>
      </w:r>
    </w:p>
    <w:p>
      <w:pPr>
        <w:pStyle w:val="FirstParagraph"/>
      </w:pPr>
      <w:r>
        <w:t xml:space="preserve">Um portfólio inicial pode usar cenários fictícios ou totalmente desidentificados.</w:t>
      </w:r>
    </w:p>
    <w:p>
      <w:pPr>
        <w:pStyle w:val="BodyText"/>
      </w:pPr>
      <w:r>
        <w:t xml:space="preserve">Amostras úteis incluem:</w:t>
      </w:r>
    </w:p>
    <w:bookmarkStart w:id="80" w:name="resumo-do-evento"/>
    <w:p>
      <w:pPr>
        <w:pStyle w:val="Heading3"/>
      </w:pPr>
      <w:r>
        <w:t xml:space="preserve">Resumo do evento</w:t>
      </w:r>
    </w:p>
    <w:p>
      <w:pPr>
        <w:pStyle w:val="FirstParagraph"/>
      </w:pPr>
      <w:r>
        <w:t xml:space="preserve">Mostrar:</w:t>
      </w:r>
    </w:p>
    <w:p>
      <w:pPr>
        <w:numPr>
          <w:ilvl w:val="0"/>
          <w:numId w:val="1036"/>
        </w:numPr>
        <w:pStyle w:val="Compact"/>
      </w:pPr>
      <w:r>
        <w:t xml:space="preserve">objetivo;</w:t>
      </w:r>
    </w:p>
    <w:p>
      <w:pPr>
        <w:numPr>
          <w:ilvl w:val="0"/>
          <w:numId w:val="1036"/>
        </w:numPr>
        <w:pStyle w:val="Compact"/>
      </w:pPr>
      <w:r>
        <w:t xml:space="preserve">público;</w:t>
      </w:r>
    </w:p>
    <w:p>
      <w:pPr>
        <w:numPr>
          <w:ilvl w:val="0"/>
          <w:numId w:val="1036"/>
        </w:numPr>
        <w:pStyle w:val="Compact"/>
      </w:pPr>
      <w:r>
        <w:t xml:space="preserve">premissas;</w:t>
      </w:r>
    </w:p>
    <w:p>
      <w:pPr>
        <w:numPr>
          <w:ilvl w:val="0"/>
          <w:numId w:val="1036"/>
        </w:numPr>
        <w:pStyle w:val="Compact"/>
      </w:pPr>
      <w:r>
        <w:t xml:space="preserve">faixa de orçamento;</w:t>
      </w:r>
    </w:p>
    <w:p>
      <w:pPr>
        <w:numPr>
          <w:ilvl w:val="0"/>
          <w:numId w:val="1036"/>
        </w:numPr>
        <w:pStyle w:val="Compact"/>
      </w:pPr>
      <w:r>
        <w:t xml:space="preserve">data e local;</w:t>
      </w:r>
    </w:p>
    <w:p>
      <w:pPr>
        <w:numPr>
          <w:ilvl w:val="0"/>
          <w:numId w:val="1036"/>
        </w:numPr>
        <w:pStyle w:val="Compact"/>
      </w:pPr>
      <w:r>
        <w:t xml:space="preserve">considerações de acessibilidade;</w:t>
      </w:r>
    </w:p>
    <w:p>
      <w:pPr>
        <w:numPr>
          <w:ilvl w:val="0"/>
          <w:numId w:val="1036"/>
        </w:numPr>
        <w:pStyle w:val="Compact"/>
      </w:pPr>
      <w:r>
        <w:t xml:space="preserve">medidas de sucesso.</w:t>
      </w:r>
    </w:p>
    <w:bookmarkEnd w:id="80"/>
    <w:bookmarkStart w:id="81" w:name="cronograma-de-planejamento"/>
    <w:p>
      <w:pPr>
        <w:pStyle w:val="Heading3"/>
      </w:pPr>
      <w:r>
        <w:t xml:space="preserve">Cronograma de planejamento</w:t>
      </w:r>
    </w:p>
    <w:p>
      <w:pPr>
        <w:pStyle w:val="FirstParagraph"/>
      </w:pPr>
      <w:r>
        <w:t xml:space="preserve">Criar marcos para:</w:t>
      </w:r>
    </w:p>
    <w:p>
      <w:pPr>
        <w:numPr>
          <w:ilvl w:val="0"/>
          <w:numId w:val="1037"/>
        </w:numPr>
        <w:pStyle w:val="Compact"/>
      </w:pPr>
      <w:r>
        <w:t xml:space="preserve">confirmação do local;</w:t>
      </w:r>
    </w:p>
    <w:p>
      <w:pPr>
        <w:numPr>
          <w:ilvl w:val="0"/>
          <w:numId w:val="1037"/>
        </w:numPr>
        <w:pStyle w:val="Compact"/>
      </w:pPr>
      <w:r>
        <w:t xml:space="preserve">abertura das inscrições;</w:t>
      </w:r>
    </w:p>
    <w:p>
      <w:pPr>
        <w:numPr>
          <w:ilvl w:val="0"/>
          <w:numId w:val="1037"/>
        </w:numPr>
        <w:pStyle w:val="Compact"/>
      </w:pPr>
      <w:r>
        <w:t xml:space="preserve">prazos de fornecedores;</w:t>
      </w:r>
    </w:p>
    <w:p>
      <w:pPr>
        <w:numPr>
          <w:ilvl w:val="0"/>
          <w:numId w:val="1037"/>
        </w:numPr>
        <w:pStyle w:val="Compact"/>
      </w:pPr>
      <w:r>
        <w:t xml:space="preserve">materiais de palestrantes;</w:t>
      </w:r>
    </w:p>
    <w:p>
      <w:pPr>
        <w:numPr>
          <w:ilvl w:val="0"/>
          <w:numId w:val="1037"/>
        </w:numPr>
        <w:pStyle w:val="Compact"/>
      </w:pPr>
      <w:r>
        <w:t xml:space="preserve">confirmações de acessibilidade;</w:t>
      </w:r>
    </w:p>
    <w:p>
      <w:pPr>
        <w:numPr>
          <w:ilvl w:val="0"/>
          <w:numId w:val="1037"/>
        </w:numPr>
        <w:pStyle w:val="Compact"/>
      </w:pPr>
      <w:r>
        <w:t xml:space="preserve">lembretes aos participantes;</w:t>
      </w:r>
    </w:p>
    <w:p>
      <w:pPr>
        <w:numPr>
          <w:ilvl w:val="0"/>
          <w:numId w:val="1037"/>
        </w:numPr>
        <w:pStyle w:val="Compact"/>
      </w:pPr>
      <w:r>
        <w:t xml:space="preserve">contagem final;</w:t>
      </w:r>
    </w:p>
    <w:p>
      <w:pPr>
        <w:numPr>
          <w:ilvl w:val="0"/>
          <w:numId w:val="1037"/>
        </w:numPr>
        <w:pStyle w:val="Compact"/>
      </w:pPr>
      <w:r>
        <w:t xml:space="preserve">montagem no dia do evento;</w:t>
      </w:r>
    </w:p>
    <w:p>
      <w:pPr>
        <w:numPr>
          <w:ilvl w:val="0"/>
          <w:numId w:val="1037"/>
        </w:numPr>
        <w:pStyle w:val="Compact"/>
      </w:pPr>
      <w:r>
        <w:t xml:space="preserve">encerramento pós-evento.</w:t>
      </w:r>
    </w:p>
    <w:bookmarkEnd w:id="81"/>
    <w:bookmarkStart w:id="82" w:name="controle-de-orçamento"/>
    <w:p>
      <w:pPr>
        <w:pStyle w:val="Heading3"/>
      </w:pPr>
      <w:r>
        <w:t xml:space="preserve">Controle de orçamento</w:t>
      </w:r>
    </w:p>
    <w:p>
      <w:pPr>
        <w:pStyle w:val="FirstParagraph"/>
      </w:pPr>
      <w:r>
        <w:t xml:space="preserve">Incluir colunas para:</w:t>
      </w:r>
    </w:p>
    <w:p>
      <w:pPr>
        <w:numPr>
          <w:ilvl w:val="0"/>
          <w:numId w:val="1038"/>
        </w:numPr>
        <w:pStyle w:val="Compact"/>
      </w:pPr>
      <w:r>
        <w:t xml:space="preserve">categoria;</w:t>
      </w:r>
    </w:p>
    <w:p>
      <w:pPr>
        <w:numPr>
          <w:ilvl w:val="0"/>
          <w:numId w:val="1038"/>
        </w:numPr>
        <w:pStyle w:val="Compact"/>
      </w:pPr>
      <w:r>
        <w:t xml:space="preserve">estimativa;</w:t>
      </w:r>
    </w:p>
    <w:p>
      <w:pPr>
        <w:numPr>
          <w:ilvl w:val="0"/>
          <w:numId w:val="1038"/>
        </w:numPr>
        <w:pStyle w:val="Compact"/>
      </w:pPr>
      <w:r>
        <w:t xml:space="preserve">valor aprovado;</w:t>
      </w:r>
    </w:p>
    <w:p>
      <w:pPr>
        <w:numPr>
          <w:ilvl w:val="0"/>
          <w:numId w:val="1038"/>
        </w:numPr>
        <w:pStyle w:val="Compact"/>
      </w:pPr>
      <w:r>
        <w:t xml:space="preserve">valor comprometido;</w:t>
      </w:r>
    </w:p>
    <w:p>
      <w:pPr>
        <w:numPr>
          <w:ilvl w:val="0"/>
          <w:numId w:val="1038"/>
        </w:numPr>
        <w:pStyle w:val="Compact"/>
      </w:pPr>
      <w:r>
        <w:t xml:space="preserve">fatura real;</w:t>
      </w:r>
    </w:p>
    <w:p>
      <w:pPr>
        <w:numPr>
          <w:ilvl w:val="0"/>
          <w:numId w:val="1038"/>
        </w:numPr>
        <w:pStyle w:val="Compact"/>
      </w:pPr>
      <w:r>
        <w:t xml:space="preserve">variação;</w:t>
      </w:r>
    </w:p>
    <w:p>
      <w:pPr>
        <w:numPr>
          <w:ilvl w:val="0"/>
          <w:numId w:val="1038"/>
        </w:numPr>
        <w:pStyle w:val="Compact"/>
      </w:pPr>
      <w:r>
        <w:t xml:space="preserve">responsável pela aprovação;</w:t>
      </w:r>
    </w:p>
    <w:p>
      <w:pPr>
        <w:numPr>
          <w:ilvl w:val="0"/>
          <w:numId w:val="1038"/>
        </w:numPr>
        <w:pStyle w:val="Compact"/>
      </w:pPr>
      <w:r>
        <w:t xml:space="preserve">observações.</w:t>
      </w:r>
    </w:p>
    <w:p>
      <w:pPr>
        <w:pStyle w:val="FirstParagraph"/>
      </w:pPr>
      <w:r>
        <w:t xml:space="preserve">Use números fictícios, salvo quando houver autorização para divulgar dados reais do negócio.</w:t>
      </w:r>
    </w:p>
    <w:bookmarkEnd w:id="82"/>
    <w:bookmarkStart w:id="83" w:name="roteiro-operacional-ou-run-of-show"/>
    <w:p>
      <w:pPr>
        <w:pStyle w:val="Heading3"/>
      </w:pPr>
      <w:r>
        <w:t xml:space="preserve">Roteiro operacional ou</w:t>
      </w:r>
      <w:r>
        <w:t xml:space="preserve"> </w:t>
      </w:r>
      <w:r>
        <w:rPr>
          <w:iCs/>
          <w:i/>
        </w:rPr>
        <w:t xml:space="preserve">run of show</w:t>
      </w:r>
    </w:p>
    <w:p>
      <w:pPr>
        <w:pStyle w:val="FirstParagraph"/>
      </w:pPr>
      <w:r>
        <w:t xml:space="preserve">Incluir:</w:t>
      </w:r>
    </w:p>
    <w:p>
      <w:pPr>
        <w:numPr>
          <w:ilvl w:val="0"/>
          <w:numId w:val="1039"/>
        </w:numPr>
        <w:pStyle w:val="Compact"/>
      </w:pPr>
      <w:r>
        <w:t xml:space="preserve">horário;</w:t>
      </w:r>
    </w:p>
    <w:p>
      <w:pPr>
        <w:numPr>
          <w:ilvl w:val="0"/>
          <w:numId w:val="1039"/>
        </w:numPr>
        <w:pStyle w:val="Compact"/>
      </w:pPr>
      <w:r>
        <w:t xml:space="preserve">atividade;</w:t>
      </w:r>
    </w:p>
    <w:p>
      <w:pPr>
        <w:numPr>
          <w:ilvl w:val="0"/>
          <w:numId w:val="1039"/>
        </w:numPr>
        <w:pStyle w:val="Compact"/>
      </w:pPr>
      <w:r>
        <w:t xml:space="preserve">responsável;</w:t>
      </w:r>
    </w:p>
    <w:p>
      <w:pPr>
        <w:numPr>
          <w:ilvl w:val="0"/>
          <w:numId w:val="1039"/>
        </w:numPr>
        <w:pStyle w:val="Compact"/>
      </w:pPr>
      <w:r>
        <w:t xml:space="preserve">local;</w:t>
      </w:r>
    </w:p>
    <w:p>
      <w:pPr>
        <w:numPr>
          <w:ilvl w:val="0"/>
          <w:numId w:val="1039"/>
        </w:numPr>
        <w:pStyle w:val="Compact"/>
      </w:pPr>
      <w:r>
        <w:t xml:space="preserve">dependências;</w:t>
      </w:r>
    </w:p>
    <w:p>
      <w:pPr>
        <w:numPr>
          <w:ilvl w:val="0"/>
          <w:numId w:val="1039"/>
        </w:numPr>
        <w:pStyle w:val="Compact"/>
      </w:pPr>
      <w:r>
        <w:t xml:space="preserve">sinal de comunicação;</w:t>
      </w:r>
    </w:p>
    <w:p>
      <w:pPr>
        <w:numPr>
          <w:ilvl w:val="0"/>
          <w:numId w:val="1039"/>
        </w:numPr>
        <w:pStyle w:val="Compact"/>
      </w:pPr>
      <w:r>
        <w:t xml:space="preserve">ação de contingência;</w:t>
      </w:r>
    </w:p>
    <w:p>
      <w:pPr>
        <w:numPr>
          <w:ilvl w:val="0"/>
          <w:numId w:val="1039"/>
        </w:numPr>
        <w:pStyle w:val="Compact"/>
      </w:pPr>
      <w:r>
        <w:t xml:space="preserve">função do contato de escalonamento.</w:t>
      </w:r>
    </w:p>
    <w:p>
      <w:pPr>
        <w:pStyle w:val="FirstParagraph"/>
      </w:pPr>
      <w:r>
        <w:t xml:space="preserve">Não publique detalhes reais sensíveis de segurança ou movimentos de executivos.</w:t>
      </w:r>
    </w:p>
    <w:bookmarkEnd w:id="83"/>
    <w:bookmarkStart w:id="84" w:name="fluxo-de-inscrição"/>
    <w:p>
      <w:pPr>
        <w:pStyle w:val="Heading3"/>
      </w:pPr>
      <w:r>
        <w:t xml:space="preserve">Fluxo de inscrição</w:t>
      </w:r>
    </w:p>
    <w:p>
      <w:pPr>
        <w:pStyle w:val="FirstParagraph"/>
      </w:pPr>
      <w:r>
        <w:t xml:space="preserve">Mostrar como um participante passa por:</w:t>
      </w:r>
    </w:p>
    <w:p>
      <w:pPr>
        <w:pStyle w:val="BodyText"/>
      </w:pPr>
      <w:r>
        <w:t xml:space="preserve">convite → inscrição → solicitação de adaptação → confirmação → lembrete → check-in → feedback → encerramento do registro.</w:t>
      </w:r>
    </w:p>
    <w:p>
      <w:pPr>
        <w:pStyle w:val="BodyText"/>
      </w:pPr>
      <w:r>
        <w:t xml:space="preserve">Explique quais informações são realmente necessárias em cada etapa.</w:t>
      </w:r>
    </w:p>
    <w:bookmarkEnd w:id="84"/>
    <w:bookmarkStart w:id="85" w:name="relatório-pós-evento"/>
    <w:p>
      <w:pPr>
        <w:pStyle w:val="Heading3"/>
      </w:pPr>
      <w:r>
        <w:t xml:space="preserve">Relatório pós-evento</w:t>
      </w:r>
    </w:p>
    <w:p>
      <w:pPr>
        <w:pStyle w:val="FirstParagraph"/>
      </w:pPr>
      <w:r>
        <w:t xml:space="preserve">Resumir:</w:t>
      </w:r>
    </w:p>
    <w:p>
      <w:pPr>
        <w:numPr>
          <w:ilvl w:val="0"/>
          <w:numId w:val="1040"/>
        </w:numPr>
        <w:pStyle w:val="Compact"/>
      </w:pPr>
      <w:r>
        <w:t xml:space="preserve">presença;</w:t>
      </w:r>
    </w:p>
    <w:p>
      <w:pPr>
        <w:numPr>
          <w:ilvl w:val="0"/>
          <w:numId w:val="1040"/>
        </w:numPr>
        <w:pStyle w:val="Compact"/>
      </w:pPr>
      <w:r>
        <w:t xml:space="preserve">objetivos alcançados;</w:t>
      </w:r>
    </w:p>
    <w:p>
      <w:pPr>
        <w:numPr>
          <w:ilvl w:val="0"/>
          <w:numId w:val="1040"/>
        </w:numPr>
        <w:pStyle w:val="Compact"/>
      </w:pPr>
      <w:r>
        <w:t xml:space="preserve">situação do orçamento;</w:t>
      </w:r>
    </w:p>
    <w:p>
      <w:pPr>
        <w:numPr>
          <w:ilvl w:val="0"/>
          <w:numId w:val="1040"/>
        </w:numPr>
        <w:pStyle w:val="Compact"/>
      </w:pPr>
      <w:r>
        <w:t xml:space="preserve">problemas operacionais;</w:t>
      </w:r>
    </w:p>
    <w:p>
      <w:pPr>
        <w:numPr>
          <w:ilvl w:val="0"/>
          <w:numId w:val="1040"/>
        </w:numPr>
        <w:pStyle w:val="Compact"/>
      </w:pPr>
      <w:r>
        <w:t xml:space="preserve">feedback sobre acessibilidade;</w:t>
      </w:r>
    </w:p>
    <w:p>
      <w:pPr>
        <w:numPr>
          <w:ilvl w:val="0"/>
          <w:numId w:val="1040"/>
        </w:numPr>
        <w:pStyle w:val="Compact"/>
      </w:pPr>
      <w:r>
        <w:t xml:space="preserve">acompanhamento de fornecedores;</w:t>
      </w:r>
    </w:p>
    <w:p>
      <w:pPr>
        <w:numPr>
          <w:ilvl w:val="0"/>
          <w:numId w:val="1040"/>
        </w:numPr>
        <w:pStyle w:val="Compact"/>
      </w:pPr>
      <w:r>
        <w:t xml:space="preserve">lições aprendidas;</w:t>
      </w:r>
    </w:p>
    <w:p>
      <w:pPr>
        <w:numPr>
          <w:ilvl w:val="0"/>
          <w:numId w:val="1040"/>
        </w:numPr>
        <w:pStyle w:val="Compact"/>
      </w:pPr>
      <w:r>
        <w:t xml:space="preserve">melhorias recomendadas.</w:t>
      </w:r>
    </w:p>
    <w:bookmarkEnd w:id="85"/>
    <w:bookmarkEnd w:id="86"/>
    <w:bookmarkStart w:id="87" w:name="orientação-para-currículo-ou-résumé"/>
    <w:p>
      <w:pPr>
        <w:pStyle w:val="Heading2"/>
      </w:pPr>
      <w:r>
        <w:t xml:space="preserve">Orientação para currículo ou résumé</w:t>
      </w:r>
    </w:p>
    <w:p>
      <w:pPr>
        <w:pStyle w:val="FirstParagraph"/>
      </w:pPr>
      <w:r>
        <w:t xml:space="preserve">Use evidências, não adjetivos.</w:t>
      </w:r>
    </w:p>
    <w:p>
      <w:pPr>
        <w:pStyle w:val="BodyText"/>
      </w:pPr>
      <w:r>
        <w:t xml:space="preserve">Fraco:</w:t>
      </w:r>
    </w:p>
    <w:p>
      <w:pPr>
        <w:pStyle w:val="BlockText"/>
      </w:pPr>
      <w:r>
        <w:t xml:space="preserve">Excelente profissional de eventos com incríveis habilidades de organização.</w:t>
      </w:r>
    </w:p>
    <w:p>
      <w:pPr>
        <w:pStyle w:val="FirstParagraph"/>
      </w:pPr>
      <w:r>
        <w:t xml:space="preserve">Mais forte:</w:t>
      </w:r>
    </w:p>
    <w:p>
      <w:pPr>
        <w:pStyle w:val="BlockText"/>
      </w:pPr>
      <w:r>
        <w:t xml:space="preserve">Coordenei credenciamento, cronogramas de fornecedores, materiais do evento e comunicações com participantes para uma conferência comunitária de 150 pessoas; mantive o controle de planejamento e encaminhei problemas do dia pelo processo de escalonamento do responsável pelo evento.</w:t>
      </w:r>
    </w:p>
    <w:p>
      <w:pPr>
        <w:pStyle w:val="FirstParagraph"/>
      </w:pPr>
      <w:r>
        <w:t xml:space="preserve">Use apenas números que possam ser comprovados.</w:t>
      </w:r>
    </w:p>
    <w:p>
      <w:pPr>
        <w:pStyle w:val="BodyText"/>
      </w:pPr>
      <w:r>
        <w:t xml:space="preserve">Evidências relevantes podem incluir:</w:t>
      </w:r>
    </w:p>
    <w:p>
      <w:pPr>
        <w:numPr>
          <w:ilvl w:val="0"/>
          <w:numId w:val="1041"/>
        </w:numPr>
        <w:pStyle w:val="Compact"/>
      </w:pPr>
      <w:r>
        <w:t xml:space="preserve">número ou tipo de eventos apoiados;</w:t>
      </w:r>
    </w:p>
    <w:p>
      <w:pPr>
        <w:numPr>
          <w:ilvl w:val="0"/>
          <w:numId w:val="1041"/>
        </w:numPr>
        <w:pStyle w:val="Compact"/>
      </w:pPr>
      <w:r>
        <w:t xml:space="preserve">volume de participantes;</w:t>
      </w:r>
    </w:p>
    <w:p>
      <w:pPr>
        <w:numPr>
          <w:ilvl w:val="0"/>
          <w:numId w:val="1041"/>
        </w:numPr>
        <w:pStyle w:val="Compact"/>
      </w:pPr>
      <w:r>
        <w:t xml:space="preserve">responsabilidade de acompanhamento de orçamento sem alegar autoridade de aprovação que não existia;</w:t>
      </w:r>
    </w:p>
    <w:p>
      <w:pPr>
        <w:numPr>
          <w:ilvl w:val="0"/>
          <w:numId w:val="1041"/>
        </w:numPr>
        <w:pStyle w:val="Compact"/>
      </w:pPr>
      <w:r>
        <w:t xml:space="preserve">número de fornecedores;</w:t>
      </w:r>
    </w:p>
    <w:p>
      <w:pPr>
        <w:numPr>
          <w:ilvl w:val="0"/>
          <w:numId w:val="1041"/>
        </w:numPr>
        <w:pStyle w:val="Compact"/>
      </w:pPr>
      <w:r>
        <w:t xml:space="preserve">sistemas de inscrição usados;</w:t>
      </w:r>
    </w:p>
    <w:p>
      <w:pPr>
        <w:numPr>
          <w:ilvl w:val="0"/>
          <w:numId w:val="1041"/>
        </w:numPr>
        <w:pStyle w:val="Compact"/>
      </w:pPr>
      <w:r>
        <w:t xml:space="preserve">planilhas ou relatórios;</w:t>
      </w:r>
    </w:p>
    <w:p>
      <w:pPr>
        <w:numPr>
          <w:ilvl w:val="0"/>
          <w:numId w:val="1041"/>
        </w:numPr>
        <w:pStyle w:val="Compact"/>
      </w:pPr>
      <w:r>
        <w:t xml:space="preserve">marcos entregues no prazo;</w:t>
      </w:r>
    </w:p>
    <w:p>
      <w:pPr>
        <w:numPr>
          <w:ilvl w:val="0"/>
          <w:numId w:val="1041"/>
        </w:numPr>
        <w:pStyle w:val="Compact"/>
      </w:pPr>
      <w:r>
        <w:t xml:space="preserve">resultados de atendimento ao cliente;</w:t>
      </w:r>
    </w:p>
    <w:p>
      <w:pPr>
        <w:numPr>
          <w:ilvl w:val="0"/>
          <w:numId w:val="1041"/>
        </w:numPr>
        <w:pStyle w:val="Compact"/>
      </w:pPr>
      <w:r>
        <w:t xml:space="preserve">apoio à acessibilidade;</w:t>
      </w:r>
    </w:p>
    <w:p>
      <w:pPr>
        <w:numPr>
          <w:ilvl w:val="0"/>
          <w:numId w:val="1041"/>
        </w:numPr>
        <w:pStyle w:val="Compact"/>
      </w:pPr>
      <w:r>
        <w:t xml:space="preserve">tecnologia de eventos;</w:t>
      </w:r>
    </w:p>
    <w:p>
      <w:pPr>
        <w:numPr>
          <w:ilvl w:val="0"/>
          <w:numId w:val="1041"/>
        </w:numPr>
        <w:pStyle w:val="Compact"/>
      </w:pPr>
      <w:r>
        <w:t xml:space="preserve">comunicação bilíngue;</w:t>
      </w:r>
    </w:p>
    <w:p>
      <w:pPr>
        <w:numPr>
          <w:ilvl w:val="0"/>
          <w:numId w:val="1041"/>
        </w:numPr>
        <w:pStyle w:val="Compact"/>
      </w:pPr>
      <w:r>
        <w:t xml:space="preserve">melhorias de processo;</w:t>
      </w:r>
    </w:p>
    <w:p>
      <w:pPr>
        <w:numPr>
          <w:ilvl w:val="0"/>
          <w:numId w:val="1041"/>
        </w:numPr>
        <w:pStyle w:val="Compact"/>
      </w:pPr>
      <w:r>
        <w:t xml:space="preserve">execução sem incidentes somente quando houver registro apropriado e sem sugerir certificação de segurança.</w:t>
      </w:r>
    </w:p>
    <w:bookmarkEnd w:id="87"/>
    <w:bookmarkStart w:id="93" w:name="preparação-para-entrevistas"/>
    <w:p>
      <w:pPr>
        <w:pStyle w:val="Heading2"/>
      </w:pPr>
      <w:r>
        <w:t xml:space="preserve">Preparação para entrevistas</w:t>
      </w:r>
    </w:p>
    <w:p>
      <w:pPr>
        <w:pStyle w:val="FirstParagraph"/>
      </w:pPr>
      <w:r>
        <w:t xml:space="preserve">Perguntas possíveis:</w:t>
      </w:r>
    </w:p>
    <w:bookmarkStart w:id="88" w:name="como-você-gerencia-vários-prazos"/>
    <w:p>
      <w:pPr>
        <w:pStyle w:val="Heading3"/>
      </w:pPr>
      <w:r>
        <w:t xml:space="preserve">“Como você gerencia vários prazos?”</w:t>
      </w:r>
    </w:p>
    <w:p>
      <w:pPr>
        <w:pStyle w:val="FirstParagraph"/>
      </w:pPr>
      <w:r>
        <w:t xml:space="preserve">Uma boa resposta explica o sistema real utilizado: lista de marcos, calendário, responsável, prazo, status, dependência, lembrete e escalonamento.</w:t>
      </w:r>
    </w:p>
    <w:bookmarkEnd w:id="88"/>
    <w:bookmarkStart w:id="89" w:name="X52896b3a936a12a4d8bd37f8a77b8819d770bef"/>
    <w:p>
      <w:pPr>
        <w:pStyle w:val="Heading3"/>
      </w:pPr>
      <w:r>
        <w:t xml:space="preserve">“O que você faria se um fornecedor não chegasse?”</w:t>
      </w:r>
    </w:p>
    <w:p>
      <w:pPr>
        <w:pStyle w:val="FirstParagraph"/>
      </w:pPr>
      <w:r>
        <w:t xml:space="preserve">Demonstrar escalonamento calmo:</w:t>
      </w:r>
    </w:p>
    <w:p>
      <w:pPr>
        <w:numPr>
          <w:ilvl w:val="0"/>
          <w:numId w:val="1042"/>
        </w:numPr>
        <w:pStyle w:val="Compact"/>
      </w:pPr>
      <w:r>
        <w:t xml:space="preserve">verificar horário e contato combinados;</w:t>
      </w:r>
    </w:p>
    <w:p>
      <w:pPr>
        <w:numPr>
          <w:ilvl w:val="0"/>
          <w:numId w:val="1042"/>
        </w:numPr>
        <w:pStyle w:val="Compact"/>
      </w:pPr>
      <w:r>
        <w:t xml:space="preserve">contatar o representante aprovado do fornecedor;</w:t>
      </w:r>
    </w:p>
    <w:p>
      <w:pPr>
        <w:numPr>
          <w:ilvl w:val="0"/>
          <w:numId w:val="1042"/>
        </w:numPr>
        <w:pStyle w:val="Compact"/>
      </w:pPr>
      <w:r>
        <w:t xml:space="preserve">informar o responsável pelo evento;</w:t>
      </w:r>
    </w:p>
    <w:p>
      <w:pPr>
        <w:numPr>
          <w:ilvl w:val="0"/>
          <w:numId w:val="1042"/>
        </w:numPr>
        <w:pStyle w:val="Compact"/>
      </w:pPr>
      <w:r>
        <w:t xml:space="preserve">verificar o plano de contingência autorizado;</w:t>
      </w:r>
    </w:p>
    <w:p>
      <w:pPr>
        <w:numPr>
          <w:ilvl w:val="0"/>
          <w:numId w:val="1042"/>
        </w:numPr>
        <w:pStyle w:val="Compact"/>
      </w:pPr>
      <w:r>
        <w:t xml:space="preserve">documentar a mudança;</w:t>
      </w:r>
    </w:p>
    <w:p>
      <w:pPr>
        <w:numPr>
          <w:ilvl w:val="0"/>
          <w:numId w:val="1042"/>
        </w:numPr>
        <w:pStyle w:val="Compact"/>
      </w:pPr>
      <w:r>
        <w:t xml:space="preserve">evitar compromisso financeiro não autorizado.</w:t>
      </w:r>
    </w:p>
    <w:bookmarkEnd w:id="89"/>
    <w:bookmarkStart w:id="90" w:name="X09728485f285d4b7cdea986f8be4d27b2972c7a"/>
    <w:p>
      <w:pPr>
        <w:pStyle w:val="Heading3"/>
      </w:pPr>
      <w:r>
        <w:t xml:space="preserve">“Como você lida com participante insatisfeito?”</w:t>
      </w:r>
    </w:p>
    <w:p>
      <w:pPr>
        <w:pStyle w:val="FirstParagraph"/>
      </w:pPr>
      <w:r>
        <w:t xml:space="preserve">Demonstrar escuta, comunicação respeitosa, opções claras dentro da autoridade, privacidade e escalonamento quando necessário.</w:t>
      </w:r>
    </w:p>
    <w:bookmarkEnd w:id="90"/>
    <w:bookmarkStart w:id="91" w:name="Xb860256d8996fc056952289bd68da5be3a5fbef"/>
    <w:p>
      <w:pPr>
        <w:pStyle w:val="Heading3"/>
      </w:pPr>
      <w:r>
        <w:t xml:space="preserve">“Como você protege informações dos participantes?”</w:t>
      </w:r>
    </w:p>
    <w:p>
      <w:pPr>
        <w:pStyle w:val="FirstParagraph"/>
      </w:pPr>
      <w:r>
        <w:t xml:space="preserve">Mencionar sistemas aprovados, acesso mínimo necessário, verificação do destinatário, MFA quando oferecido, atenção a</w:t>
      </w:r>
      <w:r>
        <w:t xml:space="preserve"> </w:t>
      </w:r>
      <w:r>
        <w:rPr>
          <w:iCs/>
          <w:i/>
        </w:rPr>
        <w:t xml:space="preserve">phishing</w:t>
      </w:r>
      <w:r>
        <w:t xml:space="preserve">, evitar e-mail ou armazenamento pessoal e relatar rapidamente suspeitas de exposição.</w:t>
      </w:r>
    </w:p>
    <w:bookmarkEnd w:id="91"/>
    <w:bookmarkStart w:id="92" w:name="como-você-usaria-ia"/>
    <w:p>
      <w:pPr>
        <w:pStyle w:val="Heading3"/>
      </w:pPr>
      <w:r>
        <w:t xml:space="preserve">“Como você usaria IA?”</w:t>
      </w:r>
    </w:p>
    <w:p>
      <w:pPr>
        <w:pStyle w:val="FirstParagraph"/>
      </w:pPr>
      <w:r>
        <w:t xml:space="preserve">Uma resposta segura é que a IA pode ajudar com rascunhos de baixo risco, listas ou organização quando aprovada, mas fatos relevantes são verificados por uma pessoa contra sistemas autorizados e informações sensíveis não são inseridas em ferramentas não aprovadas.</w:t>
      </w:r>
    </w:p>
    <w:bookmarkEnd w:id="92"/>
    <w:bookmarkEnd w:id="93"/>
    <w:bookmarkStart w:id="98" w:name="plano-prático-de-aprendizagem-de-30-dias"/>
    <w:p>
      <w:pPr>
        <w:pStyle w:val="Heading2"/>
      </w:pPr>
      <w:r>
        <w:t xml:space="preserve">Plano prático de aprendizagem de 30 dias</w:t>
      </w:r>
    </w:p>
    <w:bookmarkStart w:id="94" w:name="semana-1--entender-o-trabalho"/>
    <w:p>
      <w:pPr>
        <w:pStyle w:val="Heading3"/>
      </w:pPr>
      <w:r>
        <w:t xml:space="preserve">Semana 1 — Entender o trabalho</w:t>
      </w:r>
    </w:p>
    <w:p>
      <w:pPr>
        <w:pStyle w:val="FirstParagraph"/>
      </w:pPr>
      <w:r>
        <w:t xml:space="preserve">Aprender:</w:t>
      </w:r>
    </w:p>
    <w:p>
      <w:pPr>
        <w:numPr>
          <w:ilvl w:val="0"/>
          <w:numId w:val="1043"/>
        </w:numPr>
        <w:pStyle w:val="Compact"/>
      </w:pPr>
      <w:r>
        <w:t xml:space="preserve">ciclo de vida de eventos;</w:t>
      </w:r>
    </w:p>
    <w:p>
      <w:pPr>
        <w:numPr>
          <w:ilvl w:val="0"/>
          <w:numId w:val="1043"/>
        </w:numPr>
        <w:pStyle w:val="Compact"/>
      </w:pPr>
      <w:r>
        <w:t xml:space="preserve">títulos comuns;</w:t>
      </w:r>
    </w:p>
    <w:p>
      <w:pPr>
        <w:numPr>
          <w:ilvl w:val="0"/>
          <w:numId w:val="1043"/>
        </w:numPr>
        <w:pStyle w:val="Compact"/>
      </w:pPr>
      <w:r>
        <w:t xml:space="preserve">resumo de evento;</w:t>
      </w:r>
    </w:p>
    <w:p>
      <w:pPr>
        <w:numPr>
          <w:ilvl w:val="0"/>
          <w:numId w:val="1043"/>
        </w:numPr>
        <w:pStyle w:val="Compact"/>
      </w:pPr>
      <w:r>
        <w:t xml:space="preserve">roteiro operacional;</w:t>
      </w:r>
    </w:p>
    <w:p>
      <w:pPr>
        <w:numPr>
          <w:ilvl w:val="0"/>
          <w:numId w:val="1043"/>
        </w:numPr>
        <w:pStyle w:val="Compact"/>
      </w:pPr>
      <w:r>
        <w:t xml:space="preserve">fundamentos de inscrição;</w:t>
      </w:r>
    </w:p>
    <w:p>
      <w:pPr>
        <w:numPr>
          <w:ilvl w:val="0"/>
          <w:numId w:val="1043"/>
        </w:numPr>
        <w:pStyle w:val="Compact"/>
      </w:pPr>
      <w:r>
        <w:t xml:space="preserve">funções do local e dos fornecedores;</w:t>
      </w:r>
    </w:p>
    <w:p>
      <w:pPr>
        <w:numPr>
          <w:ilvl w:val="0"/>
          <w:numId w:val="1043"/>
        </w:numPr>
        <w:pStyle w:val="Compact"/>
      </w:pPr>
      <w:r>
        <w:t xml:space="preserve">limites de autoridade.</w:t>
      </w:r>
    </w:p>
    <w:p>
      <w:pPr>
        <w:pStyle w:val="FirstParagraph"/>
      </w:pPr>
      <w:r>
        <w:t xml:space="preserve">Criar um resumo fictício de evento.</w:t>
      </w:r>
    </w:p>
    <w:bookmarkEnd w:id="94"/>
    <w:bookmarkStart w:id="95" w:name="Xe7f8bd6cc73aae405aabbabf8139daea5782793"/>
    <w:p>
      <w:pPr>
        <w:pStyle w:val="Heading3"/>
      </w:pPr>
      <w:r>
        <w:t xml:space="preserve">Semana 2 — Criar ferramentas de coordenação</w:t>
      </w:r>
    </w:p>
    <w:p>
      <w:pPr>
        <w:pStyle w:val="FirstParagraph"/>
      </w:pPr>
      <w:r>
        <w:t xml:space="preserve">Praticar:</w:t>
      </w:r>
    </w:p>
    <w:p>
      <w:pPr>
        <w:numPr>
          <w:ilvl w:val="0"/>
          <w:numId w:val="1044"/>
        </w:numPr>
        <w:pStyle w:val="Compact"/>
      </w:pPr>
      <w:r>
        <w:t xml:space="preserve">orçamento em planilha;</w:t>
      </w:r>
    </w:p>
    <w:p>
      <w:pPr>
        <w:numPr>
          <w:ilvl w:val="0"/>
          <w:numId w:val="1044"/>
        </w:numPr>
        <w:pStyle w:val="Compact"/>
      </w:pPr>
      <w:r>
        <w:t xml:space="preserve">controle de marcos;</w:t>
      </w:r>
    </w:p>
    <w:p>
      <w:pPr>
        <w:numPr>
          <w:ilvl w:val="0"/>
          <w:numId w:val="1044"/>
        </w:numPr>
        <w:pStyle w:val="Compact"/>
      </w:pPr>
      <w:r>
        <w:t xml:space="preserve">lista de contatos;</w:t>
      </w:r>
    </w:p>
    <w:p>
      <w:pPr>
        <w:numPr>
          <w:ilvl w:val="0"/>
          <w:numId w:val="1044"/>
        </w:numPr>
        <w:pStyle w:val="Compact"/>
      </w:pPr>
      <w:r>
        <w:t xml:space="preserve">registro de problemas;</w:t>
      </w:r>
    </w:p>
    <w:p>
      <w:pPr>
        <w:numPr>
          <w:ilvl w:val="0"/>
          <w:numId w:val="1044"/>
        </w:numPr>
        <w:pStyle w:val="Compact"/>
      </w:pPr>
      <w:r>
        <w:t xml:space="preserve">comparação de fornecedores;</w:t>
      </w:r>
    </w:p>
    <w:p>
      <w:pPr>
        <w:numPr>
          <w:ilvl w:val="0"/>
          <w:numId w:val="1044"/>
        </w:numPr>
        <w:pStyle w:val="Compact"/>
      </w:pPr>
      <w:r>
        <w:t xml:space="preserve">controle de inscrições com dados fictícios.</w:t>
      </w:r>
    </w:p>
    <w:bookmarkEnd w:id="95"/>
    <w:bookmarkStart w:id="96" w:name="semana-3--aprender-operações-seguras"/>
    <w:p>
      <w:pPr>
        <w:pStyle w:val="Heading3"/>
      </w:pPr>
      <w:r>
        <w:t xml:space="preserve">Semana 3 — Aprender operações seguras</w:t>
      </w:r>
    </w:p>
    <w:p>
      <w:pPr>
        <w:pStyle w:val="FirstParagraph"/>
      </w:pPr>
      <w:r>
        <w:t xml:space="preserve">Estudar:</w:t>
      </w:r>
    </w:p>
    <w:p>
      <w:pPr>
        <w:numPr>
          <w:ilvl w:val="0"/>
          <w:numId w:val="1045"/>
        </w:numPr>
        <w:pStyle w:val="Compact"/>
      </w:pPr>
      <w:r>
        <w:t xml:space="preserve">fundamentos de acessibilidade;</w:t>
      </w:r>
    </w:p>
    <w:p>
      <w:pPr>
        <w:numPr>
          <w:ilvl w:val="0"/>
          <w:numId w:val="1045"/>
        </w:numPr>
        <w:pStyle w:val="Compact"/>
      </w:pPr>
      <w:r>
        <w:t xml:space="preserve">procedimentos de emergência do local;</w:t>
      </w:r>
    </w:p>
    <w:p>
      <w:pPr>
        <w:numPr>
          <w:ilvl w:val="0"/>
          <w:numId w:val="1045"/>
        </w:numPr>
        <w:pStyle w:val="Compact"/>
      </w:pPr>
      <w:r>
        <w:rPr>
          <w:iCs/>
          <w:i/>
        </w:rPr>
        <w:t xml:space="preserve">phishing</w:t>
      </w:r>
      <w:r>
        <w:t xml:space="preserve"> </w:t>
      </w:r>
      <w:r>
        <w:t xml:space="preserve">e MFA;</w:t>
      </w:r>
    </w:p>
    <w:p>
      <w:pPr>
        <w:numPr>
          <w:ilvl w:val="0"/>
          <w:numId w:val="1045"/>
        </w:numPr>
        <w:pStyle w:val="Compact"/>
      </w:pPr>
      <w:r>
        <w:t xml:space="preserve">tratamento de dados pessoais;</w:t>
      </w:r>
    </w:p>
    <w:p>
      <w:pPr>
        <w:numPr>
          <w:ilvl w:val="0"/>
          <w:numId w:val="1045"/>
        </w:numPr>
        <w:pStyle w:val="Compact"/>
      </w:pPr>
      <w:r>
        <w:t xml:space="preserve">uso aprovado de IA;</w:t>
      </w:r>
    </w:p>
    <w:p>
      <w:pPr>
        <w:numPr>
          <w:ilvl w:val="0"/>
          <w:numId w:val="1045"/>
        </w:numPr>
        <w:pStyle w:val="Compact"/>
      </w:pPr>
      <w:r>
        <w:t xml:space="preserve">verificação de faturas e alterações de pagamento.</w:t>
      </w:r>
    </w:p>
    <w:bookmarkEnd w:id="96"/>
    <w:bookmarkStart w:id="97" w:name="semana-4--criar-evidências-profissionais"/>
    <w:p>
      <w:pPr>
        <w:pStyle w:val="Heading3"/>
      </w:pPr>
      <w:r>
        <w:t xml:space="preserve">Semana 4 — Criar evidências profissionais</w:t>
      </w:r>
    </w:p>
    <w:p>
      <w:pPr>
        <w:pStyle w:val="FirstParagraph"/>
      </w:pPr>
      <w:r>
        <w:t xml:space="preserve">Criar:</w:t>
      </w:r>
    </w:p>
    <w:p>
      <w:pPr>
        <w:numPr>
          <w:ilvl w:val="0"/>
          <w:numId w:val="1046"/>
        </w:numPr>
        <w:pStyle w:val="Compact"/>
      </w:pPr>
      <w:r>
        <w:t xml:space="preserve">cronograma pronto para portfólio;</w:t>
      </w:r>
    </w:p>
    <w:p>
      <w:pPr>
        <w:numPr>
          <w:ilvl w:val="0"/>
          <w:numId w:val="1046"/>
        </w:numPr>
        <w:pStyle w:val="Compact"/>
      </w:pPr>
      <w:r>
        <w:t xml:space="preserve">roteiro operacional;</w:t>
      </w:r>
    </w:p>
    <w:p>
      <w:pPr>
        <w:numPr>
          <w:ilvl w:val="0"/>
          <w:numId w:val="1046"/>
        </w:numPr>
        <w:pStyle w:val="Compact"/>
      </w:pPr>
      <w:r>
        <w:t xml:space="preserve">relatório pós-evento;</w:t>
      </w:r>
    </w:p>
    <w:p>
      <w:pPr>
        <w:numPr>
          <w:ilvl w:val="0"/>
          <w:numId w:val="1046"/>
        </w:numPr>
        <w:pStyle w:val="Compact"/>
      </w:pPr>
      <w:r>
        <w:t xml:space="preserve">tópicos para currículo;</w:t>
      </w:r>
    </w:p>
    <w:p>
      <w:pPr>
        <w:numPr>
          <w:ilvl w:val="0"/>
          <w:numId w:val="1046"/>
        </w:numPr>
        <w:pStyle w:val="Compact"/>
      </w:pPr>
      <w:r>
        <w:t xml:space="preserve">cinco histórias de entrevista usando o método STAR;</w:t>
      </w:r>
    </w:p>
    <w:p>
      <w:pPr>
        <w:numPr>
          <w:ilvl w:val="0"/>
          <w:numId w:val="1046"/>
        </w:numPr>
        <w:pStyle w:val="Compact"/>
      </w:pPr>
      <w:r>
        <w:t xml:space="preserve">lista de empregadores-alvo.</w:t>
      </w:r>
    </w:p>
    <w:bookmarkEnd w:id="97"/>
    <w:bookmarkEnd w:id="98"/>
    <w:bookmarkStart w:id="99" w:name="estratégia-de-busca-de-emprego"/>
    <w:p>
      <w:pPr>
        <w:pStyle w:val="Heading2"/>
      </w:pPr>
      <w:r>
        <w:t xml:space="preserve">Estratégia de busca de emprego</w:t>
      </w:r>
    </w:p>
    <w:p>
      <w:pPr>
        <w:pStyle w:val="FirstParagraph"/>
      </w:pPr>
      <w:r>
        <w:t xml:space="preserve">Pesquise vários títulos porque empregadores nomeiam trabalhos semelhantes de formas diferentes:</w:t>
      </w:r>
    </w:p>
    <w:p>
      <w:pPr>
        <w:numPr>
          <w:ilvl w:val="0"/>
          <w:numId w:val="1047"/>
        </w:numPr>
        <w:pStyle w:val="Compact"/>
      </w:pPr>
      <w:r>
        <w:t xml:space="preserve">Event Assistant;</w:t>
      </w:r>
    </w:p>
    <w:p>
      <w:pPr>
        <w:numPr>
          <w:ilvl w:val="0"/>
          <w:numId w:val="1047"/>
        </w:numPr>
        <w:pStyle w:val="Compact"/>
      </w:pPr>
      <w:r>
        <w:t xml:space="preserve">Meeting Assistant;</w:t>
      </w:r>
    </w:p>
    <w:p>
      <w:pPr>
        <w:numPr>
          <w:ilvl w:val="0"/>
          <w:numId w:val="1047"/>
        </w:numPr>
        <w:pStyle w:val="Compact"/>
      </w:pPr>
      <w:r>
        <w:t xml:space="preserve">Event Coordinator;</w:t>
      </w:r>
    </w:p>
    <w:p>
      <w:pPr>
        <w:numPr>
          <w:ilvl w:val="0"/>
          <w:numId w:val="1047"/>
        </w:numPr>
        <w:pStyle w:val="Compact"/>
      </w:pPr>
      <w:r>
        <w:t xml:space="preserve">Events Coordinator;</w:t>
      </w:r>
    </w:p>
    <w:p>
      <w:pPr>
        <w:numPr>
          <w:ilvl w:val="0"/>
          <w:numId w:val="1047"/>
        </w:numPr>
        <w:pStyle w:val="Compact"/>
      </w:pPr>
      <w:r>
        <w:t xml:space="preserve">Conference Coordinator;</w:t>
      </w:r>
    </w:p>
    <w:p>
      <w:pPr>
        <w:numPr>
          <w:ilvl w:val="0"/>
          <w:numId w:val="1047"/>
        </w:numPr>
        <w:pStyle w:val="Compact"/>
      </w:pPr>
      <w:r>
        <w:t xml:space="preserve">Conference Services Coordinator;</w:t>
      </w:r>
    </w:p>
    <w:p>
      <w:pPr>
        <w:numPr>
          <w:ilvl w:val="0"/>
          <w:numId w:val="1047"/>
        </w:numPr>
        <w:pStyle w:val="Compact"/>
      </w:pPr>
      <w:r>
        <w:t xml:space="preserve">Convention Services Coordinator;</w:t>
      </w:r>
    </w:p>
    <w:p>
      <w:pPr>
        <w:numPr>
          <w:ilvl w:val="0"/>
          <w:numId w:val="1047"/>
        </w:numPr>
        <w:pStyle w:val="Compact"/>
      </w:pPr>
      <w:r>
        <w:t xml:space="preserve">Special Events Coordinator;</w:t>
      </w:r>
    </w:p>
    <w:p>
      <w:pPr>
        <w:numPr>
          <w:ilvl w:val="0"/>
          <w:numId w:val="1047"/>
        </w:numPr>
        <w:pStyle w:val="Compact"/>
      </w:pPr>
      <w:r>
        <w:t xml:space="preserve">Program Coordinator;</w:t>
      </w:r>
    </w:p>
    <w:p>
      <w:pPr>
        <w:numPr>
          <w:ilvl w:val="0"/>
          <w:numId w:val="1047"/>
        </w:numPr>
        <w:pStyle w:val="Compact"/>
      </w:pPr>
      <w:r>
        <w:t xml:space="preserve">Banquet Coordinator;</w:t>
      </w:r>
    </w:p>
    <w:p>
      <w:pPr>
        <w:numPr>
          <w:ilvl w:val="0"/>
          <w:numId w:val="1047"/>
        </w:numPr>
        <w:pStyle w:val="Compact"/>
      </w:pPr>
      <w:r>
        <w:t xml:space="preserve">Registration Coordinator;</w:t>
      </w:r>
    </w:p>
    <w:p>
      <w:pPr>
        <w:numPr>
          <w:ilvl w:val="0"/>
          <w:numId w:val="1047"/>
        </w:numPr>
        <w:pStyle w:val="Compact"/>
      </w:pPr>
      <w:r>
        <w:t xml:space="preserve">Events Specialist;</w:t>
      </w:r>
    </w:p>
    <w:p>
      <w:pPr>
        <w:numPr>
          <w:ilvl w:val="0"/>
          <w:numId w:val="1047"/>
        </w:numPr>
        <w:pStyle w:val="Compact"/>
      </w:pPr>
      <w:r>
        <w:t xml:space="preserve">Junior Event Planner;</w:t>
      </w:r>
    </w:p>
    <w:p>
      <w:pPr>
        <w:numPr>
          <w:ilvl w:val="0"/>
          <w:numId w:val="1047"/>
        </w:numPr>
        <w:pStyle w:val="Compact"/>
      </w:pPr>
      <w:r>
        <w:t xml:space="preserve">Venue Coordinator;</w:t>
      </w:r>
    </w:p>
    <w:p>
      <w:pPr>
        <w:numPr>
          <w:ilvl w:val="0"/>
          <w:numId w:val="1047"/>
        </w:numPr>
        <w:pStyle w:val="Compact"/>
      </w:pPr>
      <w:r>
        <w:t xml:space="preserve">Hospitality Coordinator.</w:t>
      </w:r>
    </w:p>
    <w:p>
      <w:pPr>
        <w:pStyle w:val="FirstParagraph"/>
      </w:pPr>
      <w:r>
        <w:t xml:space="preserve">Leia as funções, não apenas o título.</w:t>
      </w:r>
    </w:p>
    <w:p>
      <w:pPr>
        <w:pStyle w:val="BodyText"/>
      </w:pPr>
      <w:r>
        <w:t xml:space="preserve">Compare cada vaga em relação a:</w:t>
      </w:r>
    </w:p>
    <w:p>
      <w:pPr>
        <w:numPr>
          <w:ilvl w:val="0"/>
          <w:numId w:val="1048"/>
        </w:numPr>
        <w:pStyle w:val="Compact"/>
      </w:pPr>
      <w:r>
        <w:t xml:space="preserve">localização e viagens;</w:t>
      </w:r>
    </w:p>
    <w:p>
      <w:pPr>
        <w:numPr>
          <w:ilvl w:val="0"/>
          <w:numId w:val="1048"/>
        </w:numPr>
        <w:pStyle w:val="Compact"/>
      </w:pPr>
      <w:r>
        <w:t xml:space="preserve">horário, fins de semana, noites e expectativas no dia do evento;</w:t>
      </w:r>
    </w:p>
    <w:p>
      <w:pPr>
        <w:numPr>
          <w:ilvl w:val="0"/>
          <w:numId w:val="1048"/>
        </w:numPr>
        <w:pStyle w:val="Compact"/>
      </w:pPr>
      <w:r>
        <w:t xml:space="preserve">requisitos de educação;</w:t>
      </w:r>
    </w:p>
    <w:p>
      <w:pPr>
        <w:numPr>
          <w:ilvl w:val="0"/>
          <w:numId w:val="1048"/>
        </w:numPr>
        <w:pStyle w:val="Compact"/>
      </w:pPr>
      <w:r>
        <w:t xml:space="preserve">anos de experiência;</w:t>
      </w:r>
    </w:p>
    <w:p>
      <w:pPr>
        <w:numPr>
          <w:ilvl w:val="0"/>
          <w:numId w:val="1048"/>
        </w:numPr>
        <w:pStyle w:val="Compact"/>
      </w:pPr>
      <w:r>
        <w:t xml:space="preserve">autoridade de orçamento ou contratos;</w:t>
      </w:r>
    </w:p>
    <w:p>
      <w:pPr>
        <w:numPr>
          <w:ilvl w:val="0"/>
          <w:numId w:val="1048"/>
        </w:numPr>
        <w:pStyle w:val="Compact"/>
      </w:pPr>
      <w:r>
        <w:t xml:space="preserve">software;</w:t>
      </w:r>
    </w:p>
    <w:p>
      <w:pPr>
        <w:numPr>
          <w:ilvl w:val="0"/>
          <w:numId w:val="1048"/>
        </w:numPr>
        <w:pStyle w:val="Compact"/>
      </w:pPr>
      <w:r>
        <w:t xml:space="preserve">requisitos físicos;</w:t>
      </w:r>
    </w:p>
    <w:p>
      <w:pPr>
        <w:numPr>
          <w:ilvl w:val="0"/>
          <w:numId w:val="1048"/>
        </w:numPr>
        <w:pStyle w:val="Compact"/>
      </w:pPr>
      <w:r>
        <w:t xml:space="preserve">idiomas;</w:t>
      </w:r>
    </w:p>
    <w:p>
      <w:pPr>
        <w:numPr>
          <w:ilvl w:val="0"/>
          <w:numId w:val="1048"/>
        </w:numPr>
        <w:pStyle w:val="Compact"/>
      </w:pPr>
      <w:r>
        <w:t xml:space="preserve">carteira de motorista ou requisitos de viagem, se houver;</w:t>
      </w:r>
    </w:p>
    <w:p>
      <w:pPr>
        <w:numPr>
          <w:ilvl w:val="0"/>
          <w:numId w:val="1048"/>
        </w:numPr>
        <w:pStyle w:val="Compact"/>
      </w:pPr>
      <w:r>
        <w:t xml:space="preserve">peso de vendas no cargo;</w:t>
      </w:r>
    </w:p>
    <w:p>
      <w:pPr>
        <w:numPr>
          <w:ilvl w:val="0"/>
          <w:numId w:val="1048"/>
        </w:numPr>
        <w:pStyle w:val="Compact"/>
      </w:pPr>
      <w:r>
        <w:t xml:space="preserve">existência de comissão;</w:t>
      </w:r>
    </w:p>
    <w:p>
      <w:pPr>
        <w:numPr>
          <w:ilvl w:val="0"/>
          <w:numId w:val="1048"/>
        </w:numPr>
        <w:pStyle w:val="Compact"/>
      </w:pPr>
      <w:r>
        <w:t xml:space="preserve">se o trabalho é realmente remoto, híbrido ou presencial;</w:t>
      </w:r>
    </w:p>
    <w:p>
      <w:pPr>
        <w:numPr>
          <w:ilvl w:val="0"/>
          <w:numId w:val="1048"/>
        </w:numPr>
        <w:pStyle w:val="Compact"/>
      </w:pPr>
      <w:r>
        <w:t xml:space="preserve">se o empregador oferece treinamento.</w:t>
      </w:r>
    </w:p>
    <w:p>
      <w:pPr>
        <w:pStyle w:val="FirstParagraph"/>
      </w:pPr>
      <w:r>
        <w:t xml:space="preserve">Sempre que possível, verifique se a vaga ainda está aberta no site de carreiras do próprio empregador antes de investir muito tempo na candidatura.</w:t>
      </w:r>
    </w:p>
    <w:bookmarkEnd w:id="99"/>
    <w:bookmarkStart w:id="100" w:name="X41eaee1dcfa744d3966b4a017e31037db5dc54a"/>
    <w:p>
      <w:pPr>
        <w:pStyle w:val="Heading2"/>
      </w:pPr>
      <w:r>
        <w:t xml:space="preserve">Trabalho independente ou freelance em eventos</w:t>
      </w:r>
    </w:p>
    <w:p>
      <w:pPr>
        <w:pStyle w:val="FirstParagraph"/>
      </w:pPr>
      <w:r>
        <w:t xml:space="preserve">Trabalhar por conta própria pode adicionar responsabilidades que empregados nem sempre possuem, incluindo:</w:t>
      </w:r>
    </w:p>
    <w:p>
      <w:pPr>
        <w:numPr>
          <w:ilvl w:val="0"/>
          <w:numId w:val="1049"/>
        </w:numPr>
        <w:pStyle w:val="Compact"/>
      </w:pPr>
      <w:r>
        <w:t xml:space="preserve">registro da empresa;</w:t>
      </w:r>
    </w:p>
    <w:p>
      <w:pPr>
        <w:numPr>
          <w:ilvl w:val="0"/>
          <w:numId w:val="1049"/>
        </w:numPr>
        <w:pStyle w:val="Compact"/>
      </w:pPr>
      <w:r>
        <w:t xml:space="preserve">contratos;</w:t>
      </w:r>
    </w:p>
    <w:p>
      <w:pPr>
        <w:numPr>
          <w:ilvl w:val="0"/>
          <w:numId w:val="1049"/>
        </w:numPr>
        <w:pStyle w:val="Compact"/>
      </w:pPr>
      <w:r>
        <w:t xml:space="preserve">impostos;</w:t>
      </w:r>
    </w:p>
    <w:p>
      <w:pPr>
        <w:numPr>
          <w:ilvl w:val="0"/>
          <w:numId w:val="1049"/>
        </w:numPr>
        <w:pStyle w:val="Compact"/>
      </w:pPr>
      <w:r>
        <w:t xml:space="preserve">seguros;</w:t>
      </w:r>
    </w:p>
    <w:p>
      <w:pPr>
        <w:numPr>
          <w:ilvl w:val="0"/>
          <w:numId w:val="1049"/>
        </w:numPr>
        <w:pStyle w:val="Compact"/>
      </w:pPr>
      <w:r>
        <w:t xml:space="preserve">faturamento;</w:t>
      </w:r>
    </w:p>
    <w:p>
      <w:pPr>
        <w:numPr>
          <w:ilvl w:val="0"/>
          <w:numId w:val="1049"/>
        </w:numPr>
        <w:pStyle w:val="Compact"/>
      </w:pPr>
      <w:r>
        <w:t xml:space="preserve">cobrança de pagamentos;</w:t>
      </w:r>
    </w:p>
    <w:p>
      <w:pPr>
        <w:numPr>
          <w:ilvl w:val="0"/>
          <w:numId w:val="1049"/>
        </w:numPr>
        <w:pStyle w:val="Compact"/>
      </w:pPr>
      <w:r>
        <w:t xml:space="preserve">acordos com fornecedores;</w:t>
      </w:r>
    </w:p>
    <w:p>
      <w:pPr>
        <w:numPr>
          <w:ilvl w:val="0"/>
          <w:numId w:val="1049"/>
        </w:numPr>
        <w:pStyle w:val="Compact"/>
      </w:pPr>
      <w:r>
        <w:t xml:space="preserve">proteção de dados;</w:t>
      </w:r>
    </w:p>
    <w:p>
      <w:pPr>
        <w:numPr>
          <w:ilvl w:val="0"/>
          <w:numId w:val="1049"/>
        </w:numPr>
        <w:pStyle w:val="Compact"/>
      </w:pPr>
      <w:r>
        <w:t xml:space="preserve">licenças;</w:t>
      </w:r>
    </w:p>
    <w:p>
      <w:pPr>
        <w:numPr>
          <w:ilvl w:val="0"/>
          <w:numId w:val="1049"/>
        </w:numPr>
        <w:pStyle w:val="Compact"/>
      </w:pPr>
      <w:r>
        <w:t xml:space="preserve">subcontratados;</w:t>
      </w:r>
    </w:p>
    <w:p>
      <w:pPr>
        <w:numPr>
          <w:ilvl w:val="0"/>
          <w:numId w:val="1049"/>
        </w:numPr>
        <w:pStyle w:val="Compact"/>
      </w:pPr>
      <w:r>
        <w:t xml:space="preserve">termos de cancelamento;</w:t>
      </w:r>
    </w:p>
    <w:p>
      <w:pPr>
        <w:numPr>
          <w:ilvl w:val="0"/>
          <w:numId w:val="1049"/>
        </w:numPr>
        <w:pStyle w:val="Compact"/>
      </w:pPr>
      <w:r>
        <w:t xml:space="preserve">disputas com clientes;</w:t>
      </w:r>
    </w:p>
    <w:p>
      <w:pPr>
        <w:numPr>
          <w:ilvl w:val="0"/>
          <w:numId w:val="1049"/>
        </w:numPr>
        <w:pStyle w:val="Compact"/>
      </w:pPr>
      <w:r>
        <w:t xml:space="preserve">marketing;</w:t>
      </w:r>
    </w:p>
    <w:p>
      <w:pPr>
        <w:numPr>
          <w:ilvl w:val="0"/>
          <w:numId w:val="1049"/>
        </w:numPr>
        <w:pStyle w:val="Compact"/>
      </w:pPr>
      <w:r>
        <w:t xml:space="preserve">retenção de registros.</w:t>
      </w:r>
    </w:p>
    <w:p>
      <w:pPr>
        <w:pStyle w:val="FirstParagraph"/>
      </w:pPr>
      <w:r>
        <w:t xml:space="preserve">Não se deve presumir que habilidade de planejamento de eventos, sozinha, cubra essas obrigações. Verifique requisitos locais de empresa, impostos, seguros, emprego, consumidor, privacidade, acessibilidade, álcool, segurança e licenças com a autoridade apropriada ou profissional qualificado.</w:t>
      </w:r>
    </w:p>
    <w:p>
      <w:pPr>
        <w:pStyle w:val="BodyText"/>
      </w:pPr>
      <w:r>
        <w:t xml:space="preserve">Uma forma mais segura de entrar na área pode ser adquirir primeiro experiência supervisionada antes de assumir responsabilidade por dinheiro ou contratos de clientes.</w:t>
      </w:r>
    </w:p>
    <w:bookmarkEnd w:id="100"/>
    <w:bookmarkStart w:id="101" w:name="erros-comuns-a-evitar"/>
    <w:p>
      <w:pPr>
        <w:pStyle w:val="Heading2"/>
      </w:pPr>
      <w:r>
        <w:t xml:space="preserve">Erros comuns a evitar</w:t>
      </w:r>
    </w:p>
    <w:p>
      <w:pPr>
        <w:numPr>
          <w:ilvl w:val="0"/>
          <w:numId w:val="1050"/>
        </w:numPr>
        <w:pStyle w:val="Compact"/>
      </w:pPr>
      <w:r>
        <w:t xml:space="preserve">prometer fornecedor antes de aprovação;</w:t>
      </w:r>
    </w:p>
    <w:p>
      <w:pPr>
        <w:numPr>
          <w:ilvl w:val="0"/>
          <w:numId w:val="1050"/>
        </w:numPr>
        <w:pStyle w:val="Compact"/>
      </w:pPr>
      <w:r>
        <w:t xml:space="preserve">depender de mudanças verbais sem documentação;</w:t>
      </w:r>
    </w:p>
    <w:p>
      <w:pPr>
        <w:numPr>
          <w:ilvl w:val="0"/>
          <w:numId w:val="1050"/>
        </w:numPr>
        <w:pStyle w:val="Compact"/>
      </w:pPr>
      <w:r>
        <w:t xml:space="preserve">tratar proposta como fatura final;</w:t>
      </w:r>
    </w:p>
    <w:p>
      <w:pPr>
        <w:numPr>
          <w:ilvl w:val="0"/>
          <w:numId w:val="1050"/>
        </w:numPr>
        <w:pStyle w:val="Compact"/>
      </w:pPr>
      <w:r>
        <w:t xml:space="preserve">presumir que o título concede autoridade contratual;</w:t>
      </w:r>
    </w:p>
    <w:p>
      <w:pPr>
        <w:numPr>
          <w:ilvl w:val="0"/>
          <w:numId w:val="1050"/>
        </w:numPr>
        <w:pStyle w:val="Compact"/>
      </w:pPr>
      <w:r>
        <w:t xml:space="preserve">deixar para confirmar necessidades de acessibilidade tarde demais;</w:t>
      </w:r>
    </w:p>
    <w:p>
      <w:pPr>
        <w:numPr>
          <w:ilvl w:val="0"/>
          <w:numId w:val="1050"/>
        </w:numPr>
        <w:pStyle w:val="Compact"/>
      </w:pPr>
      <w:r>
        <w:t xml:space="preserve">coletar dados desnecessários de participantes;</w:t>
      </w:r>
    </w:p>
    <w:p>
      <w:pPr>
        <w:numPr>
          <w:ilvl w:val="0"/>
          <w:numId w:val="1050"/>
        </w:numPr>
        <w:pStyle w:val="Compact"/>
      </w:pPr>
      <w:r>
        <w:t xml:space="preserve">enviar listas privadas por contas pessoais;</w:t>
      </w:r>
    </w:p>
    <w:p>
      <w:pPr>
        <w:numPr>
          <w:ilvl w:val="0"/>
          <w:numId w:val="1050"/>
        </w:numPr>
        <w:pStyle w:val="Compact"/>
      </w:pPr>
      <w:r>
        <w:t xml:space="preserve">clicar em links inesperados de pagamento de fornecedores;</w:t>
      </w:r>
    </w:p>
    <w:p>
      <w:pPr>
        <w:numPr>
          <w:ilvl w:val="0"/>
          <w:numId w:val="1050"/>
        </w:numPr>
        <w:pStyle w:val="Compact"/>
      </w:pPr>
      <w:r>
        <w:t xml:space="preserve">usar o mesmo link público de reunião virtual para sessões sensíveis;</w:t>
      </w:r>
    </w:p>
    <w:p>
      <w:pPr>
        <w:numPr>
          <w:ilvl w:val="0"/>
          <w:numId w:val="1050"/>
        </w:numPr>
        <w:pStyle w:val="Compact"/>
      </w:pPr>
      <w:r>
        <w:t xml:space="preserve">confiar em datas, preços, leis ou instruções de emergência geradas por IA sem verificação;</w:t>
      </w:r>
    </w:p>
    <w:p>
      <w:pPr>
        <w:numPr>
          <w:ilvl w:val="0"/>
          <w:numId w:val="1050"/>
        </w:numPr>
        <w:pStyle w:val="Compact"/>
      </w:pPr>
      <w:r>
        <w:t xml:space="preserve">não confirmar quem pode interromper ou mudar o evento;</w:t>
      </w:r>
    </w:p>
    <w:p>
      <w:pPr>
        <w:numPr>
          <w:ilvl w:val="0"/>
          <w:numId w:val="1050"/>
        </w:numPr>
        <w:pStyle w:val="Compact"/>
      </w:pPr>
      <w:r>
        <w:t xml:space="preserve">bloquear ou ignorar saídas durante a montagem;</w:t>
      </w:r>
    </w:p>
    <w:p>
      <w:pPr>
        <w:numPr>
          <w:ilvl w:val="0"/>
          <w:numId w:val="1050"/>
        </w:numPr>
        <w:pStyle w:val="Compact"/>
      </w:pPr>
      <w:r>
        <w:t xml:space="preserve">publicar agendas privadas de executivos ou participantes;</w:t>
      </w:r>
    </w:p>
    <w:p>
      <w:pPr>
        <w:numPr>
          <w:ilvl w:val="0"/>
          <w:numId w:val="1050"/>
        </w:numPr>
        <w:pStyle w:val="Compact"/>
      </w:pPr>
      <w:r>
        <w:t xml:space="preserve">pagar por uma credencial antes de verificar a demanda dos empregadores;</w:t>
      </w:r>
    </w:p>
    <w:p>
      <w:pPr>
        <w:numPr>
          <w:ilvl w:val="0"/>
          <w:numId w:val="1050"/>
        </w:numPr>
        <w:pStyle w:val="Compact"/>
      </w:pPr>
      <w:r>
        <w:t xml:space="preserve">confundir certificado de curso com certificação profissional ou licença;</w:t>
      </w:r>
    </w:p>
    <w:p>
      <w:pPr>
        <w:numPr>
          <w:ilvl w:val="0"/>
          <w:numId w:val="1050"/>
        </w:numPr>
        <w:pStyle w:val="Compact"/>
      </w:pPr>
      <w:r>
        <w:t xml:space="preserve">descrever experiência voluntária como experiência gerencial remunerada;</w:t>
      </w:r>
    </w:p>
    <w:p>
      <w:pPr>
        <w:numPr>
          <w:ilvl w:val="0"/>
          <w:numId w:val="1050"/>
        </w:numPr>
        <w:pStyle w:val="Compact"/>
      </w:pPr>
      <w:r>
        <w:t xml:space="preserve">inflar número de participantes, orçamento ou autoridade no currículo.</w:t>
      </w:r>
    </w:p>
    <w:bookmarkEnd w:id="101"/>
    <w:bookmarkStart w:id="107" w:name="Xccb4d146b645bda75140294e481dcf298ce80b4"/>
    <w:p>
      <w:pPr>
        <w:pStyle w:val="Heading2"/>
      </w:pPr>
      <w:r>
        <w:t xml:space="preserve">Lista de verificação reutilizável de planejamento</w:t>
      </w:r>
    </w:p>
    <w:bookmarkStart w:id="102" w:name="antes-de-comprometer-dinheiro"/>
    <w:p>
      <w:pPr>
        <w:pStyle w:val="Heading3"/>
      </w:pPr>
      <w:r>
        <w:t xml:space="preserve">Antes de comprometer dinheiro</w:t>
      </w:r>
    </w:p>
    <w:p>
      <w:pPr>
        <w:numPr>
          <w:ilvl w:val="0"/>
          <w:numId w:val="1051"/>
        </w:numPr>
        <w:pStyle w:val="Compact"/>
      </w:pPr>
      <w:r>
        <w:t xml:space="preserve">☐ Responsável pelo evento identificado</w:t>
      </w:r>
    </w:p>
    <w:p>
      <w:pPr>
        <w:numPr>
          <w:ilvl w:val="0"/>
          <w:numId w:val="1051"/>
        </w:numPr>
        <w:pStyle w:val="Compact"/>
      </w:pPr>
      <w:r>
        <w:t xml:space="preserve">☐ Objetivo documentado</w:t>
      </w:r>
    </w:p>
    <w:p>
      <w:pPr>
        <w:numPr>
          <w:ilvl w:val="0"/>
          <w:numId w:val="1051"/>
        </w:numPr>
        <w:pStyle w:val="Compact"/>
      </w:pPr>
      <w:r>
        <w:t xml:space="preserve">☐ Autoridade orçamentária identificada</w:t>
      </w:r>
    </w:p>
    <w:p>
      <w:pPr>
        <w:numPr>
          <w:ilvl w:val="0"/>
          <w:numId w:val="1051"/>
        </w:numPr>
        <w:pStyle w:val="Compact"/>
      </w:pPr>
      <w:r>
        <w:t xml:space="preserve">☐ Processo de aprovação compreendido</w:t>
      </w:r>
    </w:p>
    <w:p>
      <w:pPr>
        <w:numPr>
          <w:ilvl w:val="0"/>
          <w:numId w:val="1051"/>
        </w:numPr>
        <w:pStyle w:val="Compact"/>
      </w:pPr>
      <w:r>
        <w:t xml:space="preserve">☐ Processo de compras de local/fornecedores compreendido</w:t>
      </w:r>
    </w:p>
    <w:p>
      <w:pPr>
        <w:numPr>
          <w:ilvl w:val="0"/>
          <w:numId w:val="1051"/>
        </w:numPr>
        <w:pStyle w:val="Compact"/>
      </w:pPr>
      <w:r>
        <w:t xml:space="preserve">☐ Autoridade para assinatura de contratos identificada</w:t>
      </w:r>
    </w:p>
    <w:p>
      <w:pPr>
        <w:numPr>
          <w:ilvl w:val="0"/>
          <w:numId w:val="1051"/>
        </w:numPr>
        <w:pStyle w:val="Compact"/>
      </w:pPr>
      <w:r>
        <w:t xml:space="preserve">☐ Responsável por acessibilidade identificado</w:t>
      </w:r>
    </w:p>
    <w:p>
      <w:pPr>
        <w:numPr>
          <w:ilvl w:val="0"/>
          <w:numId w:val="1051"/>
        </w:numPr>
        <w:pStyle w:val="Compact"/>
      </w:pPr>
      <w:r>
        <w:t xml:space="preserve">☐ Responsável por segurança/emergências identificado</w:t>
      </w:r>
    </w:p>
    <w:p>
      <w:pPr>
        <w:numPr>
          <w:ilvl w:val="0"/>
          <w:numId w:val="1051"/>
        </w:numPr>
        <w:pStyle w:val="Compact"/>
      </w:pPr>
      <w:r>
        <w:t xml:space="preserve">☐ Requisitos de dados e privacidade compreendidos</w:t>
      </w:r>
    </w:p>
    <w:bookmarkEnd w:id="102"/>
    <w:bookmarkStart w:id="103" w:name="X8a640a602f64f39c82b443a82c298444b09ef94"/>
    <w:p>
      <w:pPr>
        <w:pStyle w:val="Heading3"/>
      </w:pPr>
      <w:r>
        <w:t xml:space="preserve">Quatro a oito semanas antes — ajustar ao porte do evento</w:t>
      </w:r>
    </w:p>
    <w:p>
      <w:pPr>
        <w:numPr>
          <w:ilvl w:val="0"/>
          <w:numId w:val="1052"/>
        </w:numPr>
        <w:pStyle w:val="Compact"/>
      </w:pPr>
      <w:r>
        <w:t xml:space="preserve">☐ Local ou plataforma confirmado</w:t>
      </w:r>
    </w:p>
    <w:p>
      <w:pPr>
        <w:numPr>
          <w:ilvl w:val="0"/>
          <w:numId w:val="1052"/>
        </w:numPr>
        <w:pStyle w:val="Compact"/>
      </w:pPr>
      <w:r>
        <w:t xml:space="preserve">☐ Processo de inscrição ativo</w:t>
      </w:r>
    </w:p>
    <w:p>
      <w:pPr>
        <w:numPr>
          <w:ilvl w:val="0"/>
          <w:numId w:val="1052"/>
        </w:numPr>
        <w:pStyle w:val="Compact"/>
      </w:pPr>
      <w:r>
        <w:t xml:space="preserve">☐ Marcos de fornecedores acompanhados</w:t>
      </w:r>
    </w:p>
    <w:p>
      <w:pPr>
        <w:numPr>
          <w:ilvl w:val="0"/>
          <w:numId w:val="1052"/>
        </w:numPr>
        <w:pStyle w:val="Compact"/>
      </w:pPr>
      <w:r>
        <w:t xml:space="preserve">☐ Requisitos de palestrantes/apresentadores acompanhados</w:t>
      </w:r>
    </w:p>
    <w:p>
      <w:pPr>
        <w:numPr>
          <w:ilvl w:val="0"/>
          <w:numId w:val="1052"/>
        </w:numPr>
        <w:pStyle w:val="Compact"/>
      </w:pPr>
      <w:r>
        <w:t xml:space="preserve">☐ Processo de solicitação de acessibilidade ativo</w:t>
      </w:r>
    </w:p>
    <w:p>
      <w:pPr>
        <w:numPr>
          <w:ilvl w:val="0"/>
          <w:numId w:val="1052"/>
        </w:numPr>
        <w:pStyle w:val="Compact"/>
      </w:pPr>
      <w:r>
        <w:t xml:space="preserve">☐ Plano de alimentação acompanhado</w:t>
      </w:r>
    </w:p>
    <w:p>
      <w:pPr>
        <w:numPr>
          <w:ilvl w:val="0"/>
          <w:numId w:val="1052"/>
        </w:numPr>
        <w:pStyle w:val="Compact"/>
      </w:pPr>
      <w:r>
        <w:t xml:space="preserve">☐ Requisitos audiovisuais acompanhados</w:t>
      </w:r>
    </w:p>
    <w:p>
      <w:pPr>
        <w:numPr>
          <w:ilvl w:val="0"/>
          <w:numId w:val="1052"/>
        </w:numPr>
        <w:pStyle w:val="Compact"/>
      </w:pPr>
      <w:r>
        <w:t xml:space="preserve">☐ Necessidades de transporte/hospedagem acompanhadas, se aplicável</w:t>
      </w:r>
    </w:p>
    <w:p>
      <w:pPr>
        <w:numPr>
          <w:ilvl w:val="0"/>
          <w:numId w:val="1052"/>
        </w:numPr>
        <w:pStyle w:val="Compact"/>
      </w:pPr>
      <w:r>
        <w:t xml:space="preserve">☐ Controle orçamentário atualizado</w:t>
      </w:r>
    </w:p>
    <w:p>
      <w:pPr>
        <w:numPr>
          <w:ilvl w:val="0"/>
          <w:numId w:val="1052"/>
        </w:numPr>
        <w:pStyle w:val="Compact"/>
      </w:pPr>
      <w:r>
        <w:t xml:space="preserve">☐ Calendário de comunicação atualizado</w:t>
      </w:r>
    </w:p>
    <w:bookmarkEnd w:id="103"/>
    <w:bookmarkStart w:id="104" w:name="confirmação-final"/>
    <w:p>
      <w:pPr>
        <w:pStyle w:val="Heading3"/>
      </w:pPr>
      <w:r>
        <w:t xml:space="preserve">Confirmação final</w:t>
      </w:r>
    </w:p>
    <w:p>
      <w:pPr>
        <w:numPr>
          <w:ilvl w:val="0"/>
          <w:numId w:val="1053"/>
        </w:numPr>
        <w:pStyle w:val="Compact"/>
      </w:pPr>
      <w:r>
        <w:t xml:space="preserve">☐ Contagem de participantes revisada</w:t>
      </w:r>
    </w:p>
    <w:p>
      <w:pPr>
        <w:numPr>
          <w:ilvl w:val="0"/>
          <w:numId w:val="1053"/>
        </w:numPr>
        <w:pStyle w:val="Compact"/>
      </w:pPr>
      <w:r>
        <w:t xml:space="preserve">☐ Montagem de sala/plataforma confirmada</w:t>
      </w:r>
    </w:p>
    <w:p>
      <w:pPr>
        <w:numPr>
          <w:ilvl w:val="0"/>
          <w:numId w:val="1053"/>
        </w:numPr>
        <w:pStyle w:val="Compact"/>
      </w:pPr>
      <w:r>
        <w:t xml:space="preserve">☐ Quantidade de alimentação confirmada</w:t>
      </w:r>
    </w:p>
    <w:p>
      <w:pPr>
        <w:numPr>
          <w:ilvl w:val="0"/>
          <w:numId w:val="1053"/>
        </w:numPr>
        <w:pStyle w:val="Compact"/>
      </w:pPr>
      <w:r>
        <w:t xml:space="preserve">☐ Audiovisual confirmado</w:t>
      </w:r>
    </w:p>
    <w:p>
      <w:pPr>
        <w:numPr>
          <w:ilvl w:val="0"/>
          <w:numId w:val="1053"/>
        </w:numPr>
        <w:pStyle w:val="Compact"/>
      </w:pPr>
      <w:r>
        <w:t xml:space="preserve">☐ Arquivos e chegada de palestrantes confirmados</w:t>
      </w:r>
    </w:p>
    <w:p>
      <w:pPr>
        <w:numPr>
          <w:ilvl w:val="0"/>
          <w:numId w:val="1053"/>
        </w:numPr>
        <w:pStyle w:val="Compact"/>
      </w:pPr>
      <w:r>
        <w:t xml:space="preserve">☐ Adaptações de acessibilidade confirmadas pelo processo autorizado</w:t>
      </w:r>
    </w:p>
    <w:p>
      <w:pPr>
        <w:numPr>
          <w:ilvl w:val="0"/>
          <w:numId w:val="1053"/>
        </w:numPr>
        <w:pStyle w:val="Compact"/>
      </w:pPr>
      <w:r>
        <w:t xml:space="preserve">☐ Atribuições de equipe/voluntários confirmadas</w:t>
      </w:r>
    </w:p>
    <w:p>
      <w:pPr>
        <w:numPr>
          <w:ilvl w:val="0"/>
          <w:numId w:val="1053"/>
        </w:numPr>
        <w:pStyle w:val="Compact"/>
      </w:pPr>
      <w:r>
        <w:t xml:space="preserve">☐ Sinalização e orientação preparadas</w:t>
      </w:r>
    </w:p>
    <w:p>
      <w:pPr>
        <w:numPr>
          <w:ilvl w:val="0"/>
          <w:numId w:val="1053"/>
        </w:numPr>
        <w:pStyle w:val="Compact"/>
      </w:pPr>
      <w:r>
        <w:t xml:space="preserve">☐ Contatos de emergência e procedimentos do local revisados</w:t>
      </w:r>
    </w:p>
    <w:p>
      <w:pPr>
        <w:numPr>
          <w:ilvl w:val="0"/>
          <w:numId w:val="1053"/>
        </w:numPr>
        <w:pStyle w:val="Compact"/>
      </w:pPr>
      <w:r>
        <w:t xml:space="preserve">☐ Contatos de fornecedores verificados</w:t>
      </w:r>
    </w:p>
    <w:p>
      <w:pPr>
        <w:numPr>
          <w:ilvl w:val="0"/>
          <w:numId w:val="1053"/>
        </w:numPr>
        <w:pStyle w:val="Compact"/>
      </w:pPr>
      <w:r>
        <w:t xml:space="preserve">☐ Solicitações de alteração de pagamento verificadas de forma independente</w:t>
      </w:r>
    </w:p>
    <w:p>
      <w:pPr>
        <w:numPr>
          <w:ilvl w:val="0"/>
          <w:numId w:val="1053"/>
        </w:numPr>
        <w:pStyle w:val="Compact"/>
      </w:pPr>
      <w:r>
        <w:t xml:space="preserve">☐ Roteiro operacional distribuído à equipe autorizada</w:t>
      </w:r>
    </w:p>
    <w:bookmarkEnd w:id="104"/>
    <w:bookmarkStart w:id="105" w:name="dia-do-evento"/>
    <w:p>
      <w:pPr>
        <w:pStyle w:val="Heading3"/>
      </w:pPr>
      <w:r>
        <w:t xml:space="preserve">Dia do evento</w:t>
      </w:r>
    </w:p>
    <w:p>
      <w:pPr>
        <w:numPr>
          <w:ilvl w:val="0"/>
          <w:numId w:val="1054"/>
        </w:numPr>
        <w:pStyle w:val="Compact"/>
      </w:pPr>
      <w:r>
        <w:t xml:space="preserve">☐ Responsável autorizado identificado e disponível</w:t>
      </w:r>
    </w:p>
    <w:p>
      <w:pPr>
        <w:numPr>
          <w:ilvl w:val="0"/>
          <w:numId w:val="1054"/>
        </w:numPr>
        <w:pStyle w:val="Compact"/>
      </w:pPr>
      <w:r>
        <w:t xml:space="preserve">☐ Credenciamento/ponto de informação pronto</w:t>
      </w:r>
    </w:p>
    <w:p>
      <w:pPr>
        <w:numPr>
          <w:ilvl w:val="0"/>
          <w:numId w:val="1054"/>
        </w:numPr>
        <w:pStyle w:val="Compact"/>
      </w:pPr>
      <w:r>
        <w:t xml:space="preserve">☐ Situação do local/plataforma verificada</w:t>
      </w:r>
    </w:p>
    <w:p>
      <w:pPr>
        <w:numPr>
          <w:ilvl w:val="0"/>
          <w:numId w:val="1054"/>
        </w:numPr>
        <w:pStyle w:val="Compact"/>
      </w:pPr>
      <w:r>
        <w:t xml:space="preserve">☐ Adaptações de acessibilidade verificadas</w:t>
      </w:r>
    </w:p>
    <w:p>
      <w:pPr>
        <w:numPr>
          <w:ilvl w:val="0"/>
          <w:numId w:val="1054"/>
        </w:numPr>
        <w:pStyle w:val="Compact"/>
      </w:pPr>
      <w:r>
        <w:t xml:space="preserve">☐ Fornecedores registrados pelo processo aprovado</w:t>
      </w:r>
    </w:p>
    <w:p>
      <w:pPr>
        <w:numPr>
          <w:ilvl w:val="0"/>
          <w:numId w:val="1054"/>
        </w:numPr>
        <w:pStyle w:val="Compact"/>
      </w:pPr>
      <w:r>
        <w:t xml:space="preserve">☐ Mudanças relevantes registradas</w:t>
      </w:r>
    </w:p>
    <w:p>
      <w:pPr>
        <w:numPr>
          <w:ilvl w:val="0"/>
          <w:numId w:val="1054"/>
        </w:numPr>
        <w:pStyle w:val="Compact"/>
      </w:pPr>
      <w:r>
        <w:t xml:space="preserve">☐ Informações privadas protegidas</w:t>
      </w:r>
    </w:p>
    <w:p>
      <w:pPr>
        <w:numPr>
          <w:ilvl w:val="0"/>
          <w:numId w:val="1054"/>
        </w:numPr>
        <w:pStyle w:val="Compact"/>
      </w:pPr>
      <w:r>
        <w:t xml:space="preserve">☐ Incidentes escalados pela cadeia correta</w:t>
      </w:r>
    </w:p>
    <w:p>
      <w:pPr>
        <w:numPr>
          <w:ilvl w:val="0"/>
          <w:numId w:val="1054"/>
        </w:numPr>
        <w:pStyle w:val="Compact"/>
      </w:pPr>
      <w:r>
        <w:t xml:space="preserve">☐ Nenhum gasto ou compromisso não autorizado</w:t>
      </w:r>
    </w:p>
    <w:bookmarkEnd w:id="105"/>
    <w:bookmarkStart w:id="106" w:name="encerramento"/>
    <w:p>
      <w:pPr>
        <w:pStyle w:val="Heading3"/>
      </w:pPr>
      <w:r>
        <w:t xml:space="preserve">Encerramento</w:t>
      </w:r>
    </w:p>
    <w:p>
      <w:pPr>
        <w:numPr>
          <w:ilvl w:val="0"/>
          <w:numId w:val="1055"/>
        </w:numPr>
        <w:pStyle w:val="Compact"/>
      </w:pPr>
      <w:r>
        <w:t xml:space="preserve">☐ Presença conciliada</w:t>
      </w:r>
    </w:p>
    <w:p>
      <w:pPr>
        <w:numPr>
          <w:ilvl w:val="0"/>
          <w:numId w:val="1055"/>
        </w:numPr>
        <w:pStyle w:val="Compact"/>
      </w:pPr>
      <w:r>
        <w:t xml:space="preserve">☐ Feedback coletado, se autorizado</w:t>
      </w:r>
    </w:p>
    <w:p>
      <w:pPr>
        <w:numPr>
          <w:ilvl w:val="0"/>
          <w:numId w:val="1055"/>
        </w:numPr>
        <w:pStyle w:val="Compact"/>
      </w:pPr>
      <w:r>
        <w:t xml:space="preserve">☐ Conclusão de fornecedores verificada</w:t>
      </w:r>
    </w:p>
    <w:p>
      <w:pPr>
        <w:numPr>
          <w:ilvl w:val="0"/>
          <w:numId w:val="1055"/>
        </w:numPr>
        <w:pStyle w:val="Compact"/>
      </w:pPr>
      <w:r>
        <w:t xml:space="preserve">☐ Faturas encaminhadas para revisão</w:t>
      </w:r>
    </w:p>
    <w:p>
      <w:pPr>
        <w:numPr>
          <w:ilvl w:val="0"/>
          <w:numId w:val="1055"/>
        </w:numPr>
        <w:pStyle w:val="Compact"/>
      </w:pPr>
      <w:r>
        <w:t xml:space="preserve">☐ Pendências atribuídas</w:t>
      </w:r>
    </w:p>
    <w:p>
      <w:pPr>
        <w:numPr>
          <w:ilvl w:val="0"/>
          <w:numId w:val="1055"/>
        </w:numPr>
        <w:pStyle w:val="Compact"/>
      </w:pPr>
      <w:r>
        <w:t xml:space="preserve">☐ Equipamentos/materiais devolvidos ou inventariados</w:t>
      </w:r>
    </w:p>
    <w:p>
      <w:pPr>
        <w:numPr>
          <w:ilvl w:val="0"/>
          <w:numId w:val="1055"/>
        </w:numPr>
        <w:pStyle w:val="Compact"/>
      </w:pPr>
      <w:r>
        <w:t xml:space="preserve">☐ Permissões de acesso encerradas quando aplicável</w:t>
      </w:r>
    </w:p>
    <w:p>
      <w:pPr>
        <w:numPr>
          <w:ilvl w:val="0"/>
          <w:numId w:val="1055"/>
        </w:numPr>
        <w:pStyle w:val="Compact"/>
      </w:pPr>
      <w:r>
        <w:t xml:space="preserve">☐ Registros arquivados ou descartados conforme a política</w:t>
      </w:r>
    </w:p>
    <w:p>
      <w:pPr>
        <w:numPr>
          <w:ilvl w:val="0"/>
          <w:numId w:val="1055"/>
        </w:numPr>
        <w:pStyle w:val="Compact"/>
      </w:pPr>
      <w:r>
        <w:t xml:space="preserve">☐ Lições aprendidas documentadas</w:t>
      </w:r>
    </w:p>
    <w:bookmarkEnd w:id="106"/>
    <w:bookmarkEnd w:id="107"/>
    <w:bookmarkStart w:id="108" w:name="hábitos-de-verificação-de-fontes"/>
    <w:p>
      <w:pPr>
        <w:pStyle w:val="Heading2"/>
      </w:pPr>
      <w:r>
        <w:t xml:space="preserve">Hábitos de verificação de fontes</w:t>
      </w:r>
    </w:p>
    <w:p>
      <w:pPr>
        <w:pStyle w:val="FirstParagraph"/>
      </w:pPr>
      <w:r>
        <w:t xml:space="preserve">Informações sobre eventos mudam rapidamente. É útil registrar:</w:t>
      </w:r>
    </w:p>
    <w:p>
      <w:pPr>
        <w:numPr>
          <w:ilvl w:val="0"/>
          <w:numId w:val="1056"/>
        </w:numPr>
        <w:pStyle w:val="Compact"/>
      </w:pPr>
      <w:r>
        <w:t xml:space="preserve">organização fonte;</w:t>
      </w:r>
    </w:p>
    <w:p>
      <w:pPr>
        <w:numPr>
          <w:ilvl w:val="0"/>
          <w:numId w:val="1056"/>
        </w:numPr>
        <w:pStyle w:val="Compact"/>
      </w:pPr>
      <w:r>
        <w:t xml:space="preserve">URL ou sistema fonte;</w:t>
      </w:r>
    </w:p>
    <w:p>
      <w:pPr>
        <w:numPr>
          <w:ilvl w:val="0"/>
          <w:numId w:val="1056"/>
        </w:numPr>
        <w:pStyle w:val="Compact"/>
      </w:pPr>
      <w:r>
        <w:t xml:space="preserve">data de consulta;</w:t>
      </w:r>
    </w:p>
    <w:p>
      <w:pPr>
        <w:numPr>
          <w:ilvl w:val="0"/>
          <w:numId w:val="1056"/>
        </w:numPr>
        <w:pStyle w:val="Compact"/>
      </w:pPr>
      <w:r>
        <w:t xml:space="preserve">fato verificado;</w:t>
      </w:r>
    </w:p>
    <w:p>
      <w:pPr>
        <w:numPr>
          <w:ilvl w:val="0"/>
          <w:numId w:val="1056"/>
        </w:numPr>
        <w:pStyle w:val="Compact"/>
      </w:pPr>
      <w:r>
        <w:t xml:space="preserve">pessoa que aprovou a decisão quando a aprovação era necessária.</w:t>
      </w:r>
    </w:p>
    <w:p>
      <w:pPr>
        <w:pStyle w:val="FirstParagraph"/>
      </w:pPr>
      <w:r>
        <w:t xml:space="preserve">Para assuntos jurídicos, segurança, acessibilidade, licenças, impostos, seguros, imigração, saúde pública ou emergências, use a autoridade oficial relevante ou profissional qualificado. Para preços e disponibilidade de fornecedores, use a proposta, contrato ou sistema atual e aprovado do fornecedor. Para regras internas, use a política atual do empregador e o responsável designado.</w:t>
      </w:r>
    </w:p>
    <w:bookmarkEnd w:id="108"/>
    <w:bookmarkStart w:id="118" w:name="principais-fontes-controladas"/>
    <w:p>
      <w:pPr>
        <w:pStyle w:val="Heading2"/>
      </w:pPr>
      <w:r>
        <w:t xml:space="preserve">Principais fontes controladas</w:t>
      </w:r>
    </w:p>
    <w:bookmarkStart w:id="114" w:name="estados-unidos"/>
    <w:p>
      <w:pPr>
        <w:pStyle w:val="Heading3"/>
      </w:pPr>
      <w:r>
        <w:t xml:space="preserve">Estados Unidos</w:t>
      </w:r>
    </w:p>
    <w:p>
      <w:pPr>
        <w:pStyle w:val="FirstParagraph"/>
      </w:pPr>
      <w:r>
        <w:t xml:space="preserve">O*NET — Meeting, Convention, and Event Planners</w:t>
      </w:r>
      <w:r>
        <w:br/>
      </w:r>
      <w:hyperlink r:id="rId50">
        <w:hyperlink r:id="rId50">
          <w:r>
            <w:rPr>
              <w:rStyle w:val="Hyperlink"/>
            </w:rPr>
            <w:t xml:space="preserve">Source link</w:t>
          </w:r>
        </w:hyperlink>
      </w:hyperlink>
    </w:p>
    <w:p>
      <w:pPr>
        <w:pStyle w:val="BodyText"/>
      </w:pPr>
      <w:r>
        <w:t xml:space="preserve">O*NET — salários nacionais</w:t>
      </w:r>
      <w:r>
        <w:br/>
      </w:r>
      <w:hyperlink r:id="rId51">
        <w:hyperlink r:id="rId51">
          <w:r>
            <w:rPr>
              <w:rStyle w:val="Hyperlink"/>
            </w:rPr>
            <w:t xml:space="preserve">Source link</w:t>
          </w:r>
        </w:hyperlink>
      </w:hyperlink>
    </w:p>
    <w:p>
      <w:pPr>
        <w:pStyle w:val="BodyText"/>
      </w:pPr>
      <w:r>
        <w:t xml:space="preserve">U.S. Bureau of Labor Statistics — Occupational Outlook Handbook</w:t>
      </w:r>
      <w:r>
        <w:br/>
      </w:r>
      <w:hyperlink r:id="rId52">
        <w:hyperlink r:id="rId52">
          <w:r>
            <w:rPr>
              <w:rStyle w:val="Hyperlink"/>
            </w:rPr>
            <w:t xml:space="preserve">Source link</w:t>
          </w:r>
        </w:hyperlink>
      </w:hyperlink>
    </w:p>
    <w:p>
      <w:pPr>
        <w:pStyle w:val="BodyText"/>
      </w:pPr>
      <w:r>
        <w:t xml:space="preserve">CareerOneStop — WIOA-Eligible Training Program Finder</w:t>
      </w:r>
      <w:r>
        <w:br/>
      </w:r>
      <w:hyperlink r:id="rId46">
        <w:hyperlink r:id="rId46">
          <w:r>
            <w:rPr>
              <w:rStyle w:val="Hyperlink"/>
            </w:rPr>
            <w:t xml:space="preserve">Source link</w:t>
          </w:r>
        </w:hyperlink>
      </w:hyperlink>
    </w:p>
    <w:p>
      <w:pPr>
        <w:pStyle w:val="BodyText"/>
      </w:pPr>
      <w:r>
        <w:t xml:space="preserve">ADA.gov — lei ADA e orientação de acessibilidade web</w:t>
      </w:r>
      <w:r>
        <w:br/>
      </w:r>
      <w:hyperlink r:id="rId109">
        <w:r>
          <w:rPr>
            <w:rStyle w:val="Hyperlink"/>
          </w:rPr>
          <w:t xml:space="preserve">https://www.ada.gov/law-and-regs/ada/</w:t>
        </w:r>
      </w:hyperlink>
      <w:r>
        <w:br/>
      </w:r>
      <w:hyperlink r:id="rId110">
        <w:r>
          <w:rPr>
            <w:rStyle w:val="Hyperlink"/>
          </w:rPr>
          <w:t xml:space="preserve">https://www.ada.gov/resources/web-guidance/</w:t>
        </w:r>
      </w:hyperlink>
    </w:p>
    <w:p>
      <w:pPr>
        <w:pStyle w:val="BodyText"/>
      </w:pPr>
      <w:r>
        <w:t xml:space="preserve">CISA — Secure Our World</w:t>
      </w:r>
      <w:r>
        <w:br/>
      </w:r>
      <w:hyperlink r:id="rId111">
        <w:r>
          <w:rPr>
            <w:rStyle w:val="Hyperlink"/>
          </w:rPr>
          <w:t xml:space="preserve">https://www.cisa.gov/secure-our-world</w:t>
        </w:r>
      </w:hyperlink>
    </w:p>
    <w:p>
      <w:pPr>
        <w:pStyle w:val="BodyText"/>
      </w:pPr>
      <w:r>
        <w:t xml:space="preserve">OSHA — Emergency Action Plans</w:t>
      </w:r>
      <w:r>
        <w:br/>
      </w:r>
      <w:hyperlink r:id="rId112">
        <w:hyperlink r:id="rId112">
          <w:r>
            <w:rPr>
              <w:rStyle w:val="Hyperlink"/>
            </w:rPr>
            <w:t xml:space="preserve">Source link</w:t>
          </w:r>
        </w:hyperlink>
      </w:hyperlink>
    </w:p>
    <w:p>
      <w:pPr>
        <w:pStyle w:val="BodyText"/>
      </w:pPr>
      <w:r>
        <w:t xml:space="preserve">NIST — AI Risk Management Framework</w:t>
      </w:r>
      <w:r>
        <w:br/>
      </w:r>
      <w:hyperlink r:id="rId113">
        <w:hyperlink r:id="rId113">
          <w:r>
            <w:rPr>
              <w:rStyle w:val="Hyperlink"/>
            </w:rPr>
            <w:t xml:space="preserve">Source link</w:t>
          </w:r>
        </w:hyperlink>
      </w:hyperlink>
    </w:p>
    <w:bookmarkEnd w:id="114"/>
    <w:bookmarkStart w:id="115" w:name="canadá"/>
    <w:p>
      <w:pPr>
        <w:pStyle w:val="Heading3"/>
      </w:pPr>
      <w:r>
        <w:t xml:space="preserve">Canadá</w:t>
      </w:r>
    </w:p>
    <w:p>
      <w:pPr>
        <w:pStyle w:val="FirstParagraph"/>
      </w:pPr>
      <w:r>
        <w:t xml:space="preserve">Job Bank — resumo, salários e requisitos de Event Planner</w:t>
      </w:r>
      <w:r>
        <w:br/>
      </w:r>
      <w:hyperlink r:id="rId58">
        <w:hyperlink r:id="rId58">
          <w:r>
            <w:rPr>
              <w:rStyle w:val="Hyperlink"/>
            </w:rPr>
            <w:t xml:space="preserve">Source link</w:t>
          </w:r>
        </w:hyperlink>
      </w:hyperlink>
      <w:r>
        <w:br/>
      </w:r>
      <w:hyperlink r:id="rId59">
        <w:hyperlink r:id="rId59">
          <w:r>
            <w:rPr>
              <w:rStyle w:val="Hyperlink"/>
            </w:rPr>
            <w:t xml:space="preserve">Source link</w:t>
          </w:r>
        </w:hyperlink>
      </w:hyperlink>
      <w:r>
        <w:br/>
      </w:r>
      <w:hyperlink r:id="rId60">
        <w:hyperlink r:id="rId60">
          <w:r>
            <w:rPr>
              <w:rStyle w:val="Hyperlink"/>
            </w:rPr>
            <w:t xml:space="preserve">Source link</w:t>
          </w:r>
        </w:hyperlink>
      </w:hyperlink>
    </w:p>
    <w:p>
      <w:pPr>
        <w:pStyle w:val="BodyText"/>
      </w:pPr>
      <w:r>
        <w:t xml:space="preserve">Governo do Canadá — Training</w:t>
      </w:r>
      <w:r>
        <w:br/>
      </w:r>
      <w:hyperlink r:id="rId62">
        <w:hyperlink r:id="rId62">
          <w:r>
            <w:rPr>
              <w:rStyle w:val="Hyperlink"/>
            </w:rPr>
            <w:t xml:space="preserve">Source link</w:t>
          </w:r>
        </w:hyperlink>
      </w:hyperlink>
    </w:p>
    <w:p>
      <w:pPr>
        <w:pStyle w:val="BodyText"/>
      </w:pPr>
      <w:r>
        <w:t xml:space="preserve">Governo do Canadá — Labour Market Agreements</w:t>
      </w:r>
      <w:r>
        <w:br/>
      </w:r>
      <w:hyperlink r:id="rId63">
        <w:hyperlink r:id="rId63">
          <w:r>
            <w:rPr>
              <w:rStyle w:val="Hyperlink"/>
            </w:rPr>
            <w:t xml:space="preserve">Source link</w:t>
          </w:r>
        </w:hyperlink>
      </w:hyperlink>
    </w:p>
    <w:bookmarkEnd w:id="115"/>
    <w:bookmarkStart w:id="116" w:name="colômbia"/>
    <w:p>
      <w:pPr>
        <w:pStyle w:val="Heading3"/>
      </w:pPr>
      <w:r>
        <w:t xml:space="preserve">Colômbia</w:t>
      </w:r>
    </w:p>
    <w:p>
      <w:pPr>
        <w:pStyle w:val="FirstParagraph"/>
      </w:pPr>
      <w:r>
        <w:t xml:space="preserve">OCUPACOL — CUOC 33320</w:t>
      </w:r>
      <w:r>
        <w:br/>
      </w:r>
      <w:hyperlink r:id="rId67">
        <w:hyperlink r:id="rId67">
          <w:r>
            <w:rPr>
              <w:rStyle w:val="Hyperlink"/>
            </w:rPr>
            <w:t xml:space="preserve">Source link</w:t>
          </w:r>
        </w:hyperlink>
      </w:hyperlink>
    </w:p>
    <w:p>
      <w:pPr>
        <w:pStyle w:val="BodyText"/>
      </w:pPr>
      <w:r>
        <w:t xml:space="preserve">SENA Betowa — Estrategias aplicadas a la organización de eventos</w:t>
      </w:r>
      <w:r>
        <w:br/>
      </w:r>
      <w:hyperlink r:id="rId68">
        <w:hyperlink r:id="rId68">
          <w:r>
            <w:rPr>
              <w:rStyle w:val="Hyperlink"/>
            </w:rPr>
            <w:t xml:space="preserve">Source link</w:t>
          </w:r>
        </w:hyperlink>
      </w:hyperlink>
    </w:p>
    <w:p>
      <w:pPr>
        <w:pStyle w:val="BodyText"/>
      </w:pPr>
      <w:r>
        <w:t xml:space="preserve">SENA Betowa — Gestión Administrativa</w:t>
      </w:r>
      <w:r>
        <w:br/>
      </w:r>
      <w:hyperlink r:id="rId69">
        <w:hyperlink r:id="rId69">
          <w:r>
            <w:rPr>
              <w:rStyle w:val="Hyperlink"/>
            </w:rPr>
            <w:t xml:space="preserve">Source link</w:t>
          </w:r>
        </w:hyperlink>
      </w:hyperlink>
    </w:p>
    <w:bookmarkEnd w:id="116"/>
    <w:bookmarkStart w:id="117" w:name="américa-latina-e-caribe"/>
    <w:p>
      <w:pPr>
        <w:pStyle w:val="Heading3"/>
      </w:pPr>
      <w:r>
        <w:t xml:space="preserve">América Latina e Caribe</w:t>
      </w:r>
    </w:p>
    <w:p>
      <w:pPr>
        <w:pStyle w:val="FirstParagraph"/>
      </w:pPr>
      <w:r>
        <w:t xml:space="preserve">OIT/Cinterfor</w:t>
      </w:r>
      <w:r>
        <w:br/>
      </w:r>
      <w:hyperlink r:id="rId75">
        <w:r>
          <w:rPr>
            <w:rStyle w:val="Hyperlink"/>
          </w:rPr>
          <w:t xml:space="preserve">https://www.oitcinterfor.org/</w:t>
        </w:r>
      </w:hyperlink>
      <w:r>
        <w:br/>
      </w:r>
      <w:hyperlink r:id="rId76">
        <w:r>
          <w:rPr>
            <w:rStyle w:val="Hyperlink"/>
          </w:rPr>
          <w:t xml:space="preserve">https://www.oitcinterfor.org/statsfp/paises</w:t>
        </w:r>
      </w:hyperlink>
    </w:p>
    <w:bookmarkEnd w:id="117"/>
    <w:bookmarkEnd w:id="118"/>
    <w:bookmarkStart w:id="119" w:name="aviso-importante"/>
    <w:p>
      <w:pPr>
        <w:pStyle w:val="Heading2"/>
      </w:pPr>
      <w:r>
        <w:t xml:space="preserve">Aviso importante</w:t>
      </w:r>
    </w:p>
    <w:p>
      <w:pPr>
        <w:pStyle w:val="FirstParagraph"/>
      </w:pPr>
      <w:r>
        <w:t xml:space="preserve">Este guia fornece informações gerais educacionais e de planejamento de carreira. Não garante emprego, renda, admissão, financiamento de treinamento, colocação em aprendizagem, certificação, licença, promoção, conformidade de acessibilidade, conformidade legal, segurança do evento, desempenho de fornecedores ou qualquer outro resultado.</w:t>
      </w:r>
    </w:p>
    <w:p>
      <w:pPr>
        <w:pStyle w:val="BodyText"/>
      </w:pPr>
      <w:r>
        <w:t xml:space="preserve">Requisitos, remuneração, credenciais, licenças, impostos, seguros, regras de segurança, obrigações de acessibilidade, normas de trabalho e regulamentos de eventos variam por jurisdição, empregador, local, tipo de evento e momento. Requisitos relevantes devem ser verificados em fontes oficiais atuais e com a organização responsável ou profissional qualificado.</w:t>
      </w:r>
    </w:p>
    <w:bookmarkEnd w:id="119"/>
    <w:bookmarkStart w:id="120" w:name="autor-e-apoio-de-ia"/>
    <w:p>
      <w:pPr>
        <w:pStyle w:val="Heading2"/>
      </w:pPr>
      <w:r>
        <w:t xml:space="preserve">Autor e apoio de IA</w:t>
      </w:r>
    </w:p>
    <w:p>
      <w:pPr>
        <w:pStyle w:val="FirstParagraph"/>
      </w:pPr>
      <w:r>
        <w:t xml:space="preserve">Criado e dirigido por</w:t>
      </w:r>
      <w:r>
        <w:t xml:space="preserve"> </w:t>
      </w:r>
      <w:r>
        <w:rPr>
          <w:bCs/>
          <w:b/>
        </w:rPr>
        <w:t xml:space="preserve">Alberto “Al” Leiva</w:t>
      </w:r>
      <w:r>
        <w:t xml:space="preserve">. O ChatGPT apoiou pesquisa de fontes atuais, organização, edição, apoio à localização e preparação de documentos sob a direção do autor. O autor permanece responsável pelas decisões editoriais e de publicação.</w:t>
      </w:r>
    </w:p>
    <w:bookmarkEnd w:id="120"/>
    <w:bookmarkStart w:id="121" w:name="licença"/>
    <w:p>
      <w:pPr>
        <w:pStyle w:val="Heading2"/>
      </w:pPr>
      <w:r>
        <w:t xml:space="preserve">Licença</w:t>
      </w:r>
    </w:p>
    <w:p>
      <w:pPr>
        <w:pStyle w:val="FirstParagraph"/>
      </w:pPr>
      <w:r>
        <w:t xml:space="preserve">Salvo indicação diferente em um arquivo, estes materiais são licenciados sob</w:t>
      </w:r>
      <w:r>
        <w:t xml:space="preserve"> </w:t>
      </w:r>
      <w:r>
        <w:rPr>
          <w:bCs/>
          <w:b/>
        </w:rPr>
        <w:t xml:space="preserve">Creative Commons Attribution-NonCommercial-ShareAlike 4.0 International (CC BY-NC-SA 4.0)</w:t>
      </w:r>
      <w:r>
        <w:t xml:space="preserve">.</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betowa.sena.edu.co/oferta/estrategias-aplicadas-a-la-organizacion-de-eventos?modality=P&amp;offertype=company&amp;programId=89086" TargetMode="External" /><Relationship Type="http://schemas.openxmlformats.org/officeDocument/2006/relationships/hyperlink" Id="rId69" Target="https://betowa.sena.edu.co/oferta/gestion-administrativa?programId=159" TargetMode="External" /><Relationship Type="http://schemas.openxmlformats.org/officeDocument/2006/relationships/hyperlink" Id="rId72" Target="https://co.indeed.com/career/coordinador-de-eventos/salaries" TargetMode="External" /><Relationship Type="http://schemas.openxmlformats.org/officeDocument/2006/relationships/hyperlink" Id="rId73" Target="https://co.indeed.com/career/coordinador-de-eventos/salaries/Bogot%C3%A1--Cundinamarca" TargetMode="External" /><Relationship Type="http://schemas.openxmlformats.org/officeDocument/2006/relationships/hyperlink" Id="rId67" Target="https://ocupacol.mintrabajo.gov.co/Profile/OccupationalProfile/33320" TargetMode="External" /><Relationship Type="http://schemas.openxmlformats.org/officeDocument/2006/relationships/hyperlink" Id="rId109" Target="https://www.ada.gov/law-and-regs/ada/" TargetMode="External" /><Relationship Type="http://schemas.openxmlformats.org/officeDocument/2006/relationships/hyperlink" Id="rId110" Target="https://www.ada.gov/resources/web-guidance/" TargetMode="External" /><Relationship Type="http://schemas.openxmlformats.org/officeDocument/2006/relationships/hyperlink" Id="rId52" Target="https://www.bls.gov/ooh/business-and-financial/meeting-convention-and-event-planners.htm" TargetMode="External" /><Relationship Type="http://schemas.openxmlformats.org/officeDocument/2006/relationships/hyperlink" Id="rId63" Target="https://www.canada.ca/en/employment-social-development/programs/training-agreements.html" TargetMode="External" /><Relationship Type="http://schemas.openxmlformats.org/officeDocument/2006/relationships/hyperlink" Id="rId64" Target="https://www.canada.ca/en/employment-social-development/programs/training-agreements/lmda.html" TargetMode="External" /><Relationship Type="http://schemas.openxmlformats.org/officeDocument/2006/relationships/hyperlink" Id="rId62"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111" Target="https://www.cisa.gov/secure-our-world" TargetMode="External" /><Relationship Type="http://schemas.openxmlformats.org/officeDocument/2006/relationships/hyperlink" Id="rId54" Target="https://www.indeed.com/career/event-coordinator/salaries" TargetMode="External" /><Relationship Type="http://schemas.openxmlformats.org/officeDocument/2006/relationships/hyperlink" Id="rId60" Target="https://www.jobbank.gc.ca/marketreport/requirements/12546/ca" TargetMode="External" /><Relationship Type="http://schemas.openxmlformats.org/officeDocument/2006/relationships/hyperlink" Id="rId58" Target="https://www.jobbank.gc.ca/marketreport/summary-occupation/12546/ca" TargetMode="External" /><Relationship Type="http://schemas.openxmlformats.org/officeDocument/2006/relationships/hyperlink" Id="rId59" Target="https://www.jobbank.gc.ca/marketreport/wages-occupation/12546/ca" TargetMode="External" /><Relationship Type="http://schemas.openxmlformats.org/officeDocument/2006/relationships/hyperlink" Id="rId113" Target="https://www.nist.gov/itl/ai-risk-management-framework" TargetMode="External" /><Relationship Type="http://schemas.openxmlformats.org/officeDocument/2006/relationships/hyperlink" Id="rId75" Target="https://www.oitcinterfor.org/" TargetMode="External" /><Relationship Type="http://schemas.openxmlformats.org/officeDocument/2006/relationships/hyperlink" Id="rId76" Target="https://www.oitcinterfor.org/statsfp/paises" TargetMode="External" /><Relationship Type="http://schemas.openxmlformats.org/officeDocument/2006/relationships/hyperlink" Id="rId50" Target="https://www.onetonline.org/link/details/13-1121.00" TargetMode="External" /><Relationship Type="http://schemas.openxmlformats.org/officeDocument/2006/relationships/hyperlink" Id="rId51" Target="https://www.onetonline.org/link/localwages/13-1121.00" TargetMode="External" /><Relationship Type="http://schemas.openxmlformats.org/officeDocument/2006/relationships/hyperlink" Id="rId112" Target="https://www.osha.gov/etools/evacuation-plans-procedures/eap/" TargetMode="External" /></Relationships>
</file>

<file path=word/_rels/footnotes.xml.rels><?xml version="1.0" encoding="UTF-8"?><Relationships xmlns="http://schemas.openxmlformats.org/package/2006/relationships"><Relationship Type="http://schemas.openxmlformats.org/officeDocument/2006/relationships/hyperlink" Id="rId68" Target="https://betowa.sena.edu.co/oferta/estrategias-aplicadas-a-la-organizacion-de-eventos?modality=P&amp;offertype=company&amp;programId=89086" TargetMode="External" /><Relationship Type="http://schemas.openxmlformats.org/officeDocument/2006/relationships/hyperlink" Id="rId69" Target="https://betowa.sena.edu.co/oferta/gestion-administrativa?programId=159" TargetMode="External" /><Relationship Type="http://schemas.openxmlformats.org/officeDocument/2006/relationships/hyperlink" Id="rId72" Target="https://co.indeed.com/career/coordinador-de-eventos/salaries" TargetMode="External" /><Relationship Type="http://schemas.openxmlformats.org/officeDocument/2006/relationships/hyperlink" Id="rId73" Target="https://co.indeed.com/career/coordinador-de-eventos/salaries/Bogot%C3%A1--Cundinamarca" TargetMode="External" /><Relationship Type="http://schemas.openxmlformats.org/officeDocument/2006/relationships/hyperlink" Id="rId67" Target="https://ocupacol.mintrabajo.gov.co/Profile/OccupationalProfile/33320" TargetMode="External" /><Relationship Type="http://schemas.openxmlformats.org/officeDocument/2006/relationships/hyperlink" Id="rId109" Target="https://www.ada.gov/law-and-regs/ada/" TargetMode="External" /><Relationship Type="http://schemas.openxmlformats.org/officeDocument/2006/relationships/hyperlink" Id="rId110" Target="https://www.ada.gov/resources/web-guidance/" TargetMode="External" /><Relationship Type="http://schemas.openxmlformats.org/officeDocument/2006/relationships/hyperlink" Id="rId52" Target="https://www.bls.gov/ooh/business-and-financial/meeting-convention-and-event-planners.htm" TargetMode="External" /><Relationship Type="http://schemas.openxmlformats.org/officeDocument/2006/relationships/hyperlink" Id="rId63" Target="https://www.canada.ca/en/employment-social-development/programs/training-agreements.html" TargetMode="External" /><Relationship Type="http://schemas.openxmlformats.org/officeDocument/2006/relationships/hyperlink" Id="rId64" Target="https://www.canada.ca/en/employment-social-development/programs/training-agreements/lmda.html" TargetMode="External" /><Relationship Type="http://schemas.openxmlformats.org/officeDocument/2006/relationships/hyperlink" Id="rId62" Target="https://www.canada.ca/en/services/jobs/training.html" TargetMode="External" /><Relationship Type="http://schemas.openxmlformats.org/officeDocument/2006/relationships/hyperlink" Id="rId46" Target="https://www.careeronestop.org/LocalHelp/EmploymentAndTraining/find-WIOA-training-programs.aspx" TargetMode="External" /><Relationship Type="http://schemas.openxmlformats.org/officeDocument/2006/relationships/hyperlink" Id="rId111" Target="https://www.cisa.gov/secure-our-world" TargetMode="External" /><Relationship Type="http://schemas.openxmlformats.org/officeDocument/2006/relationships/hyperlink" Id="rId54" Target="https://www.indeed.com/career/event-coordinator/salaries" TargetMode="External" /><Relationship Type="http://schemas.openxmlformats.org/officeDocument/2006/relationships/hyperlink" Id="rId60" Target="https://www.jobbank.gc.ca/marketreport/requirements/12546/ca" TargetMode="External" /><Relationship Type="http://schemas.openxmlformats.org/officeDocument/2006/relationships/hyperlink" Id="rId58" Target="https://www.jobbank.gc.ca/marketreport/summary-occupation/12546/ca" TargetMode="External" /><Relationship Type="http://schemas.openxmlformats.org/officeDocument/2006/relationships/hyperlink" Id="rId59" Target="https://www.jobbank.gc.ca/marketreport/wages-occupation/12546/ca" TargetMode="External" /><Relationship Type="http://schemas.openxmlformats.org/officeDocument/2006/relationships/hyperlink" Id="rId113" Target="https://www.nist.gov/itl/ai-risk-management-framework" TargetMode="External" /><Relationship Type="http://schemas.openxmlformats.org/officeDocument/2006/relationships/hyperlink" Id="rId75" Target="https://www.oitcinterfor.org/" TargetMode="External" /><Relationship Type="http://schemas.openxmlformats.org/officeDocument/2006/relationships/hyperlink" Id="rId76" Target="https://www.oitcinterfor.org/statsfp/paises" TargetMode="External" /><Relationship Type="http://schemas.openxmlformats.org/officeDocument/2006/relationships/hyperlink" Id="rId50" Target="https://www.onetonline.org/link/details/13-1121.00" TargetMode="External" /><Relationship Type="http://schemas.openxmlformats.org/officeDocument/2006/relationships/hyperlink" Id="rId51" Target="https://www.onetonline.org/link/localwages/13-1121.00" TargetMode="External" /><Relationship Type="http://schemas.openxmlformats.org/officeDocument/2006/relationships/hyperlink" Id="rId112" Target="https://www.osha.gov/etools/evacuation-plans-procedures/ea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2026-08-21T12:43:02Z</dcterms:created>
  <dcterms:modified xsi:type="dcterms:W3CDTF">2026-08-21T12:43:02Z</dcterms:modified>
</cp:coreProperties>
</file>

<file path=docProps/custom.xml><?xml version="1.0" encoding="utf-8"?>
<Properties xmlns="http://schemas.openxmlformats.org/officeDocument/2006/custom-properties" xmlns:vt="http://schemas.openxmlformats.org/officeDocument/2006/docPropsVTypes"/>
</file>