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2" w:name="X0214d91abd8879f457e9f98d319e8209804715b"/>
    <w:p>
      <w:pPr>
        <w:pStyle w:val="Heading1"/>
      </w:pPr>
      <w:r>
        <w:t xml:space="preserve">Guía de Oportunidades para Toda la Vida 71 — Coordinador de eventos y asistente de reuniones</w:t>
      </w:r>
    </w:p>
    <w:p>
      <w:pPr>
        <w:pStyle w:val="FirstParagraph"/>
      </w:pPr>
      <w:r>
        <w:rPr>
          <w:bCs/>
          <w:b/>
        </w:rPr>
        <w:t xml:space="preserve">Versión:</w:t>
      </w:r>
      <w:r>
        <w:t xml:space="preserve"> </w:t>
      </w:r>
      <w:r>
        <w:t xml:space="preserve">2.0 maestro de trabajo controlado</w:t>
      </w:r>
      <w:r>
        <w:br/>
      </w:r>
      <w:r>
        <w:rPr>
          <w:bCs/>
          <w:b/>
        </w:rPr>
        <w:t xml:space="preserve">Idioma:</w:t>
      </w:r>
      <w:r>
        <w:t xml:space="preserve"> </w:t>
      </w:r>
      <w:r>
        <w:t xml:space="preserve">Español neutro de América Latina (es-419)</w:t>
      </w:r>
      <w:r>
        <w:br/>
      </w:r>
      <w:r>
        <w:rPr>
          <w:bCs/>
          <w:b/>
        </w:rPr>
        <w:t xml:space="preserve">Referencia ocupacional de Estados Unidos:</w:t>
      </w:r>
      <w:r>
        <w:t xml:space="preserve"> </w:t>
      </w:r>
      <w:r>
        <w:t xml:space="preserve">O*NET-SOC 13-1121.00 — Meeting, Convention, and Event Planners</w:t>
      </w:r>
      <w:r>
        <w:br/>
      </w:r>
      <w:r>
        <w:rPr>
          <w:bCs/>
          <w:b/>
        </w:rPr>
        <w:t xml:space="preserve">Comparación con Canadá:</w:t>
      </w:r>
      <w:r>
        <w:t xml:space="preserve"> </w:t>
      </w:r>
      <w:r>
        <w:t xml:space="preserve">NOC 12103 — Conference and event planners</w:t>
      </w:r>
      <w:r>
        <w:br/>
      </w:r>
      <w:r>
        <w:rPr>
          <w:bCs/>
          <w:b/>
        </w:rPr>
        <w:t xml:space="preserve">Comparación con Colombia:</w:t>
      </w:r>
      <w:r>
        <w:t xml:space="preserve"> </w:t>
      </w:r>
      <w:r>
        <w:t xml:space="preserve">CUOC 33320 — Coordinadores y productores de conferencias, eventos y espectáculos</w:t>
      </w:r>
      <w:r>
        <w:br/>
      </w:r>
      <w:r>
        <w:rPr>
          <w:bCs/>
          <w:b/>
        </w:rPr>
        <w:t xml:space="preserve">Fecha de revisión:</w:t>
      </w:r>
      <w:r>
        <w:t xml:space="preserve"> </w:t>
      </w:r>
      <w:r>
        <w:t xml:space="preserve">2026-08-21</w:t>
      </w:r>
    </w:p>
    <w:bookmarkStart w:id="20" w:name="en-qué-consiste-esta-carrera"/>
    <w:p>
      <w:pPr>
        <w:pStyle w:val="Heading2"/>
      </w:pPr>
      <w:r>
        <w:t xml:space="preserve">En qué consiste esta carrera</w:t>
      </w:r>
    </w:p>
    <w:p>
      <w:pPr>
        <w:pStyle w:val="FirstParagraph"/>
      </w:pPr>
      <w:r>
        <w:t xml:space="preserve">Los coordinadores de eventos y asistentes de reuniones ayudan a convertir una idea de evento en un plan viable y después apoyan su ejecución mediante el registro, la coordinación de proveedores, la preparación del lugar, los horarios, la comunicación con asistentes, el apoyo en sitio y el seguimiento posterior.</w:t>
      </w:r>
    </w:p>
    <w:p>
      <w:pPr>
        <w:pStyle w:val="BodyText"/>
      </w:pPr>
      <w:r>
        <w:t xml:space="preserve">El trabajo puede apoyar reuniones empresariales, conferencias, convenciones, ferias comerciales, sesiones de capacitación, eventos universitarios, programas comunitarios, funciones de hotel, actividades de organizaciones sin fines de lucro, bodas, festivales, exposiciones, recaudaciones de fondos, reuniones internas de empresas, eventos híbridos o eventos virtuales. Los títulos varían mucho. Los empleadores pueden usar nombres como asistente de eventos, asistente de reuniones, coordinador de eventos, coordinador de conferencias, especialista de eventos, coordinador de servicios de convenciones, coordinador de banquetes, coordinador de programas o coordinador de eventos especiales.</w:t>
      </w:r>
    </w:p>
    <w:p>
      <w:pPr>
        <w:pStyle w:val="BodyText"/>
      </w:pPr>
      <w:r>
        <w:t xml:space="preserve">Esta guía utiliza</w:t>
      </w:r>
      <w:r>
        <w:t xml:space="preserve"> </w:t>
      </w:r>
      <w:r>
        <w:rPr>
          <w:bCs/>
          <w:b/>
        </w:rPr>
        <w:t xml:space="preserve">O*NET-SOC 13-1121.00 — Meeting, Convention, and Event Planners</w:t>
      </w:r>
      <w:r>
        <w:t xml:space="preserve"> </w:t>
      </w:r>
      <w:r>
        <w:t xml:space="preserve">como referencia ocupacional principal de Estados Unidos. Esa ocupación es más amplia que muchos puestos de “asistente” de nivel inicial. Un asistente de reuniones puede apoyar solo una parte del proceso, mientras que un planificador o gerente sénior puede ser responsable del presupuesto, contrato, lugar, asuntos legales, seguridad o decisiones del cliente. La forma más segura de desarrollar la carrera es comprender todo el ciclo de vida del evento y actuar únicamente dentro de la autoridad que realmente haya asignado el empleador o cliente.</w:t>
      </w:r>
    </w:p>
    <w:bookmarkEnd w:id="20"/>
    <w:bookmarkStart w:id="21" w:name="X332341cf816c5fcad0c45e2f3e3ac5ba7f5855e"/>
    <w:p>
      <w:pPr>
        <w:pStyle w:val="Heading2"/>
      </w:pPr>
      <w:r>
        <w:t xml:space="preserve">Por qué este puesto puede ser una oportunidad</w:t>
      </w:r>
    </w:p>
    <w:p>
      <w:pPr>
        <w:pStyle w:val="FirstParagraph"/>
      </w:pPr>
      <w:r>
        <w:t xml:space="preserve">El trabajo de eventos combina organización, servicio al cliente, comunicación, administración, solución de problemas, coordinación de proveedores, programación, tecnología y trabajo en equipo. Muchas de estas capacidades son transferibles desde hotelería, apoyo administrativo, servicio al cliente, ventas, turismo, educación, organizaciones sin fines de lucro, mercadeo, coordinación de proyectos, comercio minorista, servicio de alimentos o liderazgo voluntario.</w:t>
      </w:r>
    </w:p>
    <w:p>
      <w:pPr>
        <w:pStyle w:val="BodyText"/>
      </w:pPr>
      <w:r>
        <w:t xml:space="preserve">El campo puede ser adecuado para personas que disfrutan:</w:t>
      </w:r>
    </w:p>
    <w:p>
      <w:pPr>
        <w:numPr>
          <w:ilvl w:val="0"/>
          <w:numId w:val="1001"/>
        </w:numPr>
        <w:pStyle w:val="Compact"/>
      </w:pPr>
      <w:r>
        <w:t xml:space="preserve">organizar detalles en una secuencia clara;</w:t>
      </w:r>
    </w:p>
    <w:p>
      <w:pPr>
        <w:numPr>
          <w:ilvl w:val="0"/>
          <w:numId w:val="1001"/>
        </w:numPr>
        <w:pStyle w:val="Compact"/>
      </w:pPr>
      <w:r>
        <w:t xml:space="preserve">ayudar a que las personas se sientan bienvenidas e informadas;</w:t>
      </w:r>
    </w:p>
    <w:p>
      <w:pPr>
        <w:numPr>
          <w:ilvl w:val="0"/>
          <w:numId w:val="1001"/>
        </w:numPr>
        <w:pStyle w:val="Compact"/>
      </w:pPr>
      <w:r>
        <w:t xml:space="preserve">comunicarse con distintos proveedores y equipos;</w:t>
      </w:r>
    </w:p>
    <w:p>
      <w:pPr>
        <w:numPr>
          <w:ilvl w:val="0"/>
          <w:numId w:val="1001"/>
        </w:numPr>
        <w:pStyle w:val="Compact"/>
      </w:pPr>
      <w:r>
        <w:t xml:space="preserve">resolver problemas prácticos bajo presión de tiempo;</w:t>
      </w:r>
    </w:p>
    <w:p>
      <w:pPr>
        <w:numPr>
          <w:ilvl w:val="0"/>
          <w:numId w:val="1001"/>
        </w:numPr>
        <w:pStyle w:val="Compact"/>
      </w:pPr>
      <w:r>
        <w:t xml:space="preserve">revisar el trabajo para asegurar precisión;</w:t>
      </w:r>
    </w:p>
    <w:p>
      <w:pPr>
        <w:numPr>
          <w:ilvl w:val="0"/>
          <w:numId w:val="1001"/>
        </w:numPr>
        <w:pStyle w:val="Compact"/>
      </w:pPr>
      <w:r>
        <w:t xml:space="preserve">mantener actualizados horarios, listas, presupuestos y registros;</w:t>
      </w:r>
    </w:p>
    <w:p>
      <w:pPr>
        <w:numPr>
          <w:ilvl w:val="0"/>
          <w:numId w:val="1001"/>
        </w:numPr>
        <w:pStyle w:val="Compact"/>
      </w:pPr>
      <w:r>
        <w:t xml:space="preserve">apoyar la accesibilidad y la participación inclusiva;</w:t>
      </w:r>
    </w:p>
    <w:p>
      <w:pPr>
        <w:numPr>
          <w:ilvl w:val="0"/>
          <w:numId w:val="1001"/>
        </w:numPr>
        <w:pStyle w:val="Compact"/>
      </w:pPr>
      <w:r>
        <w:t xml:space="preserve">ver cómo un proyecto pasa de la planificación a un resultado visible.</w:t>
      </w:r>
    </w:p>
    <w:p>
      <w:pPr>
        <w:pStyle w:val="FirstParagraph"/>
      </w:pPr>
      <w:r>
        <w:t xml:space="preserve">El trabajo también puede ser exigente. Las fechas de los eventos no se mueven simplemente porque un proveedor se retrase o aparezca un problema. Algunos puestos requieren comenzar temprano, trabajar por la noche o los fines de semana, viajar, permanecer de pie, levantar objetos dentro de los requisitos del puesto, responder a cambios rápidos, trabajar en espacios concurridos y atender varias solicitudes al mismo tiempo. Una vista previa realista del trabajo, una asignación voluntaria, una práctica, un puesto de hotelería o un proyecto breve y supervisado de eventos pueden ayudar a una persona a decidir si el ritmo le conviene antes de pagar capacitación especializada.</w:t>
      </w:r>
    </w:p>
    <w:bookmarkEnd w:id="21"/>
    <w:bookmarkStart w:id="25" w:name="X3d565c9a950d97f6bb95087c0b2a5865c86b7e6"/>
    <w:p>
      <w:pPr>
        <w:pStyle w:val="Heading2"/>
      </w:pPr>
      <w:r>
        <w:t xml:space="preserve">Asistente, coordinador, planificador y gerente no significan el mismo nivel de autoridad</w:t>
      </w:r>
    </w:p>
    <w:p>
      <w:pPr>
        <w:pStyle w:val="FirstParagraph"/>
      </w:pPr>
      <w:r>
        <w:t xml:space="preserve">Los empleadores usan los títulos de manera diferente, por lo que siempre se debe leer la descripción real del puesto. Una distinción práctica es la siguiente:</w:t>
      </w:r>
    </w:p>
    <w:bookmarkStart w:id="22" w:name="asistente-de-reunión-o-evento"/>
    <w:p>
      <w:pPr>
        <w:pStyle w:val="Heading3"/>
      </w:pPr>
      <w:r>
        <w:t xml:space="preserve">Asistente de reunión o evento</w:t>
      </w:r>
    </w:p>
    <w:p>
      <w:pPr>
        <w:pStyle w:val="FirstParagraph"/>
      </w:pPr>
      <w:r>
        <w:t xml:space="preserve">Un asistente puede:</w:t>
      </w:r>
    </w:p>
    <w:p>
      <w:pPr>
        <w:numPr>
          <w:ilvl w:val="0"/>
          <w:numId w:val="1002"/>
        </w:numPr>
        <w:pStyle w:val="Compact"/>
      </w:pPr>
      <w:r>
        <w:t xml:space="preserve">actualizar listas de asistentes;</w:t>
      </w:r>
    </w:p>
    <w:p>
      <w:pPr>
        <w:numPr>
          <w:ilvl w:val="0"/>
          <w:numId w:val="1002"/>
        </w:numPr>
        <w:pStyle w:val="Compact"/>
      </w:pPr>
      <w:r>
        <w:t xml:space="preserve">preparar identificaciones o materiales;</w:t>
      </w:r>
    </w:p>
    <w:p>
      <w:pPr>
        <w:numPr>
          <w:ilvl w:val="0"/>
          <w:numId w:val="1002"/>
        </w:numPr>
        <w:pStyle w:val="Compact"/>
      </w:pPr>
      <w:r>
        <w:t xml:space="preserve">enviar recordatorios aprobados;</w:t>
      </w:r>
    </w:p>
    <w:p>
      <w:pPr>
        <w:numPr>
          <w:ilvl w:val="0"/>
          <w:numId w:val="1002"/>
        </w:numPr>
        <w:pStyle w:val="Compact"/>
      </w:pPr>
      <w:r>
        <w:t xml:space="preserve">programar reuniones;</w:t>
      </w:r>
    </w:p>
    <w:p>
      <w:pPr>
        <w:numPr>
          <w:ilvl w:val="0"/>
          <w:numId w:val="1002"/>
        </w:numPr>
        <w:pStyle w:val="Compact"/>
      </w:pPr>
      <w:r>
        <w:t xml:space="preserve">mantener listas de verificación;</w:t>
      </w:r>
    </w:p>
    <w:p>
      <w:pPr>
        <w:numPr>
          <w:ilvl w:val="0"/>
          <w:numId w:val="1002"/>
        </w:numPr>
        <w:pStyle w:val="Compact"/>
      </w:pPr>
      <w:r>
        <w:t xml:space="preserve">recopilar documentos de proveedores;</w:t>
      </w:r>
    </w:p>
    <w:p>
      <w:pPr>
        <w:numPr>
          <w:ilvl w:val="0"/>
          <w:numId w:val="1002"/>
        </w:numPr>
        <w:pStyle w:val="Compact"/>
      </w:pPr>
      <w:r>
        <w:t xml:space="preserve">apoyar el registro;</w:t>
      </w:r>
    </w:p>
    <w:p>
      <w:pPr>
        <w:numPr>
          <w:ilvl w:val="0"/>
          <w:numId w:val="1002"/>
        </w:numPr>
        <w:pStyle w:val="Compact"/>
      </w:pPr>
      <w:r>
        <w:t xml:space="preserve">preparar información de habitaciones o asientos;</w:t>
      </w:r>
    </w:p>
    <w:p>
      <w:pPr>
        <w:numPr>
          <w:ilvl w:val="0"/>
          <w:numId w:val="1002"/>
        </w:numPr>
        <w:pStyle w:val="Compact"/>
      </w:pPr>
      <w:r>
        <w:t xml:space="preserve">ayudar con señalización o suministros;</w:t>
      </w:r>
    </w:p>
    <w:p>
      <w:pPr>
        <w:numPr>
          <w:ilvl w:val="0"/>
          <w:numId w:val="1002"/>
        </w:numPr>
        <w:pStyle w:val="Compact"/>
      </w:pPr>
      <w:r>
        <w:t xml:space="preserve">registrar acciones pendientes;</w:t>
      </w:r>
    </w:p>
    <w:p>
      <w:pPr>
        <w:numPr>
          <w:ilvl w:val="0"/>
          <w:numId w:val="1002"/>
        </w:numPr>
        <w:pStyle w:val="Compact"/>
      </w:pPr>
      <w:r>
        <w:t xml:space="preserve">escalar problemas al coordinador o gerente asignado.</w:t>
      </w:r>
    </w:p>
    <w:bookmarkEnd w:id="22"/>
    <w:bookmarkStart w:id="23" w:name="coordinador-de-eventos"/>
    <w:p>
      <w:pPr>
        <w:pStyle w:val="Heading3"/>
      </w:pPr>
      <w:r>
        <w:t xml:space="preserve">Coordinador de eventos</w:t>
      </w:r>
    </w:p>
    <w:p>
      <w:pPr>
        <w:pStyle w:val="FirstParagraph"/>
      </w:pPr>
      <w:r>
        <w:t xml:space="preserve">Un coordinador puede además:</w:t>
      </w:r>
    </w:p>
    <w:p>
      <w:pPr>
        <w:numPr>
          <w:ilvl w:val="0"/>
          <w:numId w:val="1003"/>
        </w:numPr>
        <w:pStyle w:val="Compact"/>
      </w:pPr>
      <w:r>
        <w:t xml:space="preserve">coordinar proveedores y cronogramas aprobados;</w:t>
      </w:r>
    </w:p>
    <w:p>
      <w:pPr>
        <w:numPr>
          <w:ilvl w:val="0"/>
          <w:numId w:val="1003"/>
        </w:numPr>
        <w:pStyle w:val="Compact"/>
      </w:pPr>
      <w:r>
        <w:t xml:space="preserve">confirmar detalles del lugar;</w:t>
      </w:r>
    </w:p>
    <w:p>
      <w:pPr>
        <w:numPr>
          <w:ilvl w:val="0"/>
          <w:numId w:val="1003"/>
        </w:numPr>
        <w:pStyle w:val="Compact"/>
      </w:pPr>
      <w:r>
        <w:t xml:space="preserve">administrar flujos de registro;</w:t>
      </w:r>
    </w:p>
    <w:p>
      <w:pPr>
        <w:numPr>
          <w:ilvl w:val="0"/>
          <w:numId w:val="1003"/>
        </w:numPr>
        <w:pStyle w:val="Compact"/>
      </w:pPr>
      <w:r>
        <w:t xml:space="preserve">hacer seguimiento del presupuesto frente a montos autorizados;</w:t>
      </w:r>
    </w:p>
    <w:p>
      <w:pPr>
        <w:numPr>
          <w:ilvl w:val="0"/>
          <w:numId w:val="1003"/>
        </w:numPr>
        <w:pStyle w:val="Compact"/>
      </w:pPr>
      <w:r>
        <w:t xml:space="preserve">coordinar alimentación, medios audiovisuales, montaje de sala, transporte, personal o arreglos de accesibilidad;</w:t>
      </w:r>
    </w:p>
    <w:p>
      <w:pPr>
        <w:numPr>
          <w:ilvl w:val="0"/>
          <w:numId w:val="1003"/>
        </w:numPr>
        <w:pStyle w:val="Compact"/>
      </w:pPr>
      <w:r>
        <w:t xml:space="preserve">mantener el programa operativo o</w:t>
      </w:r>
      <w:r>
        <w:t xml:space="preserve"> </w:t>
      </w:r>
      <w:r>
        <w:rPr>
          <w:iCs/>
          <w:i/>
        </w:rPr>
        <w:t xml:space="preserve">run of show</w:t>
      </w:r>
      <w:r>
        <w:t xml:space="preserve">;</w:t>
      </w:r>
    </w:p>
    <w:p>
      <w:pPr>
        <w:numPr>
          <w:ilvl w:val="0"/>
          <w:numId w:val="1003"/>
        </w:numPr>
        <w:pStyle w:val="Compact"/>
      </w:pPr>
      <w:r>
        <w:t xml:space="preserve">liderar tareas asignadas en sitio;</w:t>
      </w:r>
    </w:p>
    <w:p>
      <w:pPr>
        <w:numPr>
          <w:ilvl w:val="0"/>
          <w:numId w:val="1003"/>
        </w:numPr>
        <w:pStyle w:val="Compact"/>
      </w:pPr>
      <w:r>
        <w:t xml:space="preserve">conciliar facturas o registros del evento dentro de la autoridad delegada.</w:t>
      </w:r>
    </w:p>
    <w:bookmarkEnd w:id="23"/>
    <w:bookmarkStart w:id="24" w:name="planificador-o-gerente"/>
    <w:p>
      <w:pPr>
        <w:pStyle w:val="Heading3"/>
      </w:pPr>
      <w:r>
        <w:t xml:space="preserve">Planificador o gerente</w:t>
      </w:r>
    </w:p>
    <w:p>
      <w:pPr>
        <w:pStyle w:val="FirstParagraph"/>
      </w:pPr>
      <w:r>
        <w:t xml:space="preserve">Un planificador o gerente puede tener autoridad más amplia sobre:</w:t>
      </w:r>
    </w:p>
    <w:p>
      <w:pPr>
        <w:numPr>
          <w:ilvl w:val="0"/>
          <w:numId w:val="1004"/>
        </w:numPr>
        <w:pStyle w:val="Compact"/>
      </w:pPr>
      <w:r>
        <w:t xml:space="preserve">estrategia del cliente y objetivos del evento;</w:t>
      </w:r>
    </w:p>
    <w:p>
      <w:pPr>
        <w:numPr>
          <w:ilvl w:val="0"/>
          <w:numId w:val="1004"/>
        </w:numPr>
        <w:pStyle w:val="Compact"/>
      </w:pPr>
      <w:r>
        <w:t xml:space="preserve">selección del lugar;</w:t>
      </w:r>
    </w:p>
    <w:p>
      <w:pPr>
        <w:numPr>
          <w:ilvl w:val="0"/>
          <w:numId w:val="1004"/>
        </w:numPr>
        <w:pStyle w:val="Compact"/>
      </w:pPr>
      <w:r>
        <w:t xml:space="preserve">aprobación del presupuesto;</w:t>
      </w:r>
    </w:p>
    <w:p>
      <w:pPr>
        <w:numPr>
          <w:ilvl w:val="0"/>
          <w:numId w:val="1004"/>
        </w:numPr>
        <w:pStyle w:val="Compact"/>
      </w:pPr>
      <w:r>
        <w:t xml:space="preserve">contratos y compras;</w:t>
      </w:r>
    </w:p>
    <w:p>
      <w:pPr>
        <w:numPr>
          <w:ilvl w:val="0"/>
          <w:numId w:val="1004"/>
        </w:numPr>
        <w:pStyle w:val="Compact"/>
      </w:pPr>
      <w:r>
        <w:t xml:space="preserve">requisitos de seguros;</w:t>
      </w:r>
    </w:p>
    <w:p>
      <w:pPr>
        <w:numPr>
          <w:ilvl w:val="0"/>
          <w:numId w:val="1004"/>
        </w:numPr>
        <w:pStyle w:val="Compact"/>
      </w:pPr>
      <w:r>
        <w:t xml:space="preserve">permisos o coordinación regulatoria;</w:t>
      </w:r>
    </w:p>
    <w:p>
      <w:pPr>
        <w:numPr>
          <w:ilvl w:val="0"/>
          <w:numId w:val="1004"/>
        </w:numPr>
        <w:pStyle w:val="Compact"/>
      </w:pPr>
      <w:r>
        <w:t xml:space="preserve">planificación de riesgos y emergencias;</w:t>
      </w:r>
    </w:p>
    <w:p>
      <w:pPr>
        <w:numPr>
          <w:ilvl w:val="0"/>
          <w:numId w:val="1004"/>
        </w:numPr>
        <w:pStyle w:val="Compact"/>
      </w:pPr>
      <w:r>
        <w:t xml:space="preserve">autoridad sobre personal;</w:t>
      </w:r>
    </w:p>
    <w:p>
      <w:pPr>
        <w:numPr>
          <w:ilvl w:val="0"/>
          <w:numId w:val="1004"/>
        </w:numPr>
        <w:pStyle w:val="Compact"/>
      </w:pPr>
      <w:r>
        <w:t xml:space="preserve">patrocinios;</w:t>
      </w:r>
    </w:p>
    <w:p>
      <w:pPr>
        <w:numPr>
          <w:ilvl w:val="0"/>
          <w:numId w:val="1004"/>
        </w:numPr>
        <w:pStyle w:val="Compact"/>
      </w:pPr>
      <w:r>
        <w:t xml:space="preserve">informes ejecutivos o para el cliente;</w:t>
      </w:r>
    </w:p>
    <w:p>
      <w:pPr>
        <w:numPr>
          <w:ilvl w:val="0"/>
          <w:numId w:val="1004"/>
        </w:numPr>
        <w:pStyle w:val="Compact"/>
      </w:pPr>
      <w:r>
        <w:t xml:space="preserve">selección final de proveedores;</w:t>
      </w:r>
    </w:p>
    <w:p>
      <w:pPr>
        <w:numPr>
          <w:ilvl w:val="0"/>
          <w:numId w:val="1004"/>
        </w:numPr>
        <w:pStyle w:val="Compact"/>
      </w:pPr>
      <w:r>
        <w:t xml:space="preserve">compromisos financieros;</w:t>
      </w:r>
    </w:p>
    <w:p>
      <w:pPr>
        <w:numPr>
          <w:ilvl w:val="0"/>
          <w:numId w:val="1004"/>
        </w:numPr>
        <w:pStyle w:val="Compact"/>
      </w:pPr>
      <w:r>
        <w:t xml:space="preserve">decisiones de escalamiento y cancelación.</w:t>
      </w:r>
    </w:p>
    <w:p>
      <w:pPr>
        <w:pStyle w:val="FirstParagraph"/>
      </w:pPr>
      <w:r>
        <w:t xml:space="preserve">Estas diferencias son ejemplos, no reglas universales. La autoridad real depende de la autorización escrita del empleador, el contrato, el proceso de compras, la legislación local, las reglas del lugar y el tipo de evento.</w:t>
      </w:r>
    </w:p>
    <w:bookmarkEnd w:id="24"/>
    <w:bookmarkEnd w:id="25"/>
    <w:bookmarkStart w:id="26" w:name="responsabilidades-típicas"/>
    <w:p>
      <w:pPr>
        <w:pStyle w:val="Heading2"/>
      </w:pPr>
      <w:r>
        <w:t xml:space="preserve">Responsabilidades típicas</w:t>
      </w:r>
    </w:p>
    <w:p>
      <w:pPr>
        <w:pStyle w:val="FirstParagraph"/>
      </w:pPr>
      <w:r>
        <w:t xml:space="preserve">Según el empleador, un coordinador de eventos o asistente de reuniones puede:</w:t>
      </w:r>
    </w:p>
    <w:p>
      <w:pPr>
        <w:numPr>
          <w:ilvl w:val="0"/>
          <w:numId w:val="1005"/>
        </w:numPr>
        <w:pStyle w:val="Compact"/>
      </w:pPr>
      <w:r>
        <w:t xml:space="preserve">reunirse con un cliente, gerente o parte interesada interna para comprender el propósito y público del evento;</w:t>
      </w:r>
    </w:p>
    <w:p>
      <w:pPr>
        <w:numPr>
          <w:ilvl w:val="0"/>
          <w:numId w:val="1005"/>
        </w:numPr>
        <w:pStyle w:val="Compact"/>
      </w:pPr>
      <w:r>
        <w:t xml:space="preserve">documentar objetivos, fechas, supuestos de asistencia, límites presupuestarios, necesidades de accesibilidad y responsables de decisión;</w:t>
      </w:r>
    </w:p>
    <w:p>
      <w:pPr>
        <w:numPr>
          <w:ilvl w:val="0"/>
          <w:numId w:val="1005"/>
        </w:numPr>
        <w:pStyle w:val="Compact"/>
      </w:pPr>
      <w:r>
        <w:t xml:space="preserve">comparar opciones de lugares o espacios de reunión;</w:t>
      </w:r>
    </w:p>
    <w:p>
      <w:pPr>
        <w:numPr>
          <w:ilvl w:val="0"/>
          <w:numId w:val="1005"/>
        </w:numPr>
        <w:pStyle w:val="Compact"/>
      </w:pPr>
      <w:r>
        <w:t xml:space="preserve">mantener calendarios de planificación y listas de hitos;</w:t>
      </w:r>
    </w:p>
    <w:p>
      <w:pPr>
        <w:numPr>
          <w:ilvl w:val="0"/>
          <w:numId w:val="1005"/>
        </w:numPr>
        <w:pStyle w:val="Compact"/>
      </w:pPr>
      <w:r>
        <w:t xml:space="preserve">coordinar invitaciones, registro, confirmaciones, recordatorios y comunicaciones aprobadas para asistentes;</w:t>
      </w:r>
    </w:p>
    <w:p>
      <w:pPr>
        <w:numPr>
          <w:ilvl w:val="0"/>
          <w:numId w:val="1005"/>
        </w:numPr>
        <w:pStyle w:val="Compact"/>
      </w:pPr>
      <w:r>
        <w:t xml:space="preserve">hacer seguimiento del número de asistentes y sus cambios;</w:t>
      </w:r>
    </w:p>
    <w:p>
      <w:pPr>
        <w:numPr>
          <w:ilvl w:val="0"/>
          <w:numId w:val="1005"/>
        </w:numPr>
        <w:pStyle w:val="Compact"/>
      </w:pPr>
      <w:r>
        <w:t xml:space="preserve">apoyar arreglos de alojamiento y transporte cuando sea parte de sus funciones;</w:t>
      </w:r>
    </w:p>
    <w:p>
      <w:pPr>
        <w:numPr>
          <w:ilvl w:val="0"/>
          <w:numId w:val="1005"/>
        </w:numPr>
        <w:pStyle w:val="Compact"/>
      </w:pPr>
      <w:r>
        <w:t xml:space="preserve">coordinar alimentación, montaje de salas, mesas, asientos, señalización, exhibiciones, equipos audiovisuales, impresión o tecnología del evento;</w:t>
      </w:r>
    </w:p>
    <w:p>
      <w:pPr>
        <w:numPr>
          <w:ilvl w:val="0"/>
          <w:numId w:val="1005"/>
        </w:numPr>
        <w:pStyle w:val="Compact"/>
      </w:pPr>
      <w:r>
        <w:t xml:space="preserve">confirmar horarios de llegada, contactos, entregables y rutas de escalamiento de proveedores;</w:t>
      </w:r>
    </w:p>
    <w:p>
      <w:pPr>
        <w:numPr>
          <w:ilvl w:val="0"/>
          <w:numId w:val="1005"/>
        </w:numPr>
        <w:pStyle w:val="Compact"/>
      </w:pPr>
      <w:r>
        <w:t xml:space="preserve">mantener el programa operativo del evento;</w:t>
      </w:r>
    </w:p>
    <w:p>
      <w:pPr>
        <w:numPr>
          <w:ilvl w:val="0"/>
          <w:numId w:val="1005"/>
        </w:numPr>
        <w:pStyle w:val="Compact"/>
      </w:pPr>
      <w:r>
        <w:t xml:space="preserve">preparar materiales de orientación para personal o voluntarios;</w:t>
      </w:r>
    </w:p>
    <w:p>
      <w:pPr>
        <w:numPr>
          <w:ilvl w:val="0"/>
          <w:numId w:val="1005"/>
        </w:numPr>
        <w:pStyle w:val="Compact"/>
      </w:pPr>
      <w:r>
        <w:t xml:space="preserve">ayudar a organizar ponentes, presentadores, paneles, facilitadores o artistas;</w:t>
      </w:r>
    </w:p>
    <w:p>
      <w:pPr>
        <w:numPr>
          <w:ilvl w:val="0"/>
          <w:numId w:val="1005"/>
        </w:numPr>
        <w:pStyle w:val="Compact"/>
      </w:pPr>
      <w:r>
        <w:t xml:space="preserve">recopilar archivos de presentación mediante sistemas aprobados;</w:t>
      </w:r>
    </w:p>
    <w:p>
      <w:pPr>
        <w:numPr>
          <w:ilvl w:val="0"/>
          <w:numId w:val="1005"/>
        </w:numPr>
        <w:pStyle w:val="Compact"/>
      </w:pPr>
      <w:r>
        <w:t xml:space="preserve">apoyar adaptaciones de accesibilidad y planificación de comunicaciones accesibles;</w:t>
      </w:r>
    </w:p>
    <w:p>
      <w:pPr>
        <w:numPr>
          <w:ilvl w:val="0"/>
          <w:numId w:val="1005"/>
        </w:numPr>
        <w:pStyle w:val="Compact"/>
      </w:pPr>
      <w:r>
        <w:t xml:space="preserve">hacer seguimiento de órdenes de compra, gastos aprobados, depósitos, facturas o registros de conciliación;</w:t>
      </w:r>
    </w:p>
    <w:p>
      <w:pPr>
        <w:numPr>
          <w:ilvl w:val="0"/>
          <w:numId w:val="1005"/>
        </w:numPr>
        <w:pStyle w:val="Compact"/>
      </w:pPr>
      <w:r>
        <w:t xml:space="preserve">revisar facturas del evento en busca de discrepancias evidentes y enviarlas al aprobador autorizado;</w:t>
      </w:r>
    </w:p>
    <w:p>
      <w:pPr>
        <w:numPr>
          <w:ilvl w:val="0"/>
          <w:numId w:val="1005"/>
        </w:numPr>
        <w:pStyle w:val="Compact"/>
      </w:pPr>
      <w:r>
        <w:t xml:space="preserve">mantener archivos, contratos, aprobaciones, registros de asistentes, información de proveedores y registros de cambios según las políticas;</w:t>
      </w:r>
    </w:p>
    <w:p>
      <w:pPr>
        <w:numPr>
          <w:ilvl w:val="0"/>
          <w:numId w:val="1005"/>
        </w:numPr>
        <w:pStyle w:val="Compact"/>
      </w:pPr>
      <w:r>
        <w:t xml:space="preserve">verificar que el equipo conozca la información de emergencia del lugar y los contactos de escalamiento del evento;</w:t>
      </w:r>
    </w:p>
    <w:p>
      <w:pPr>
        <w:numPr>
          <w:ilvl w:val="0"/>
          <w:numId w:val="1005"/>
        </w:numPr>
        <w:pStyle w:val="Compact"/>
      </w:pPr>
      <w:r>
        <w:t xml:space="preserve">apoyar puestos de registro, puntos de información o salas de reunión virtuales;</w:t>
      </w:r>
    </w:p>
    <w:p>
      <w:pPr>
        <w:numPr>
          <w:ilvl w:val="0"/>
          <w:numId w:val="1005"/>
        </w:numPr>
        <w:pStyle w:val="Compact"/>
      </w:pPr>
      <w:r>
        <w:t xml:space="preserve">documentar incidentes y escalarlos según los procedimientos del empleador o del lugar;</w:t>
      </w:r>
    </w:p>
    <w:p>
      <w:pPr>
        <w:numPr>
          <w:ilvl w:val="0"/>
          <w:numId w:val="1005"/>
        </w:numPr>
        <w:pStyle w:val="Compact"/>
      </w:pPr>
      <w:r>
        <w:t xml:space="preserve">recopilar retroalimentación posterior al evento cuando esté autorizada;</w:t>
      </w:r>
    </w:p>
    <w:p>
      <w:pPr>
        <w:numPr>
          <w:ilvl w:val="0"/>
          <w:numId w:val="1005"/>
        </w:numPr>
        <w:pStyle w:val="Compact"/>
      </w:pPr>
      <w:r>
        <w:t xml:space="preserve">conciliar asistencia, materiales, facturas, asuntos abiertos y lecciones aprendidas;</w:t>
      </w:r>
    </w:p>
    <w:p>
      <w:pPr>
        <w:numPr>
          <w:ilvl w:val="0"/>
          <w:numId w:val="1005"/>
        </w:numPr>
        <w:pStyle w:val="Compact"/>
      </w:pPr>
      <w:r>
        <w:t xml:space="preserve">archivar o eliminar registros según la política de la organización.</w:t>
      </w:r>
    </w:p>
    <w:bookmarkEnd w:id="26"/>
    <w:bookmarkStart w:id="27" w:name="autoridad-y-límites-profesionales"/>
    <w:p>
      <w:pPr>
        <w:pStyle w:val="Heading2"/>
      </w:pPr>
      <w:r>
        <w:t xml:space="preserve">Autoridad y límites profesionales</w:t>
      </w:r>
    </w:p>
    <w:p>
      <w:pPr>
        <w:pStyle w:val="FirstParagraph"/>
      </w:pPr>
      <w:r>
        <w:t xml:space="preserve">Un título de eventos</w:t>
      </w:r>
      <w:r>
        <w:t xml:space="preserve"> </w:t>
      </w:r>
      <w:r>
        <w:rPr>
          <w:bCs/>
          <w:b/>
        </w:rPr>
        <w:t xml:space="preserve">no</w:t>
      </w:r>
      <w:r>
        <w:t xml:space="preserve"> </w:t>
      </w:r>
      <w:r>
        <w:t xml:space="preserve">autoriza automáticamente a una persona a:</w:t>
      </w:r>
    </w:p>
    <w:p>
      <w:pPr>
        <w:numPr>
          <w:ilvl w:val="0"/>
          <w:numId w:val="1006"/>
        </w:numPr>
        <w:pStyle w:val="Compact"/>
      </w:pPr>
      <w:r>
        <w:t xml:space="preserve">firmar un contrato o comprometer fondos de una empresa;</w:t>
      </w:r>
    </w:p>
    <w:p>
      <w:pPr>
        <w:numPr>
          <w:ilvl w:val="0"/>
          <w:numId w:val="1006"/>
        </w:numPr>
        <w:pStyle w:val="Compact"/>
      </w:pPr>
      <w:r>
        <w:t xml:space="preserve">cambiar instrucciones de pago de un proveedor sin verificación y aprobación;</w:t>
      </w:r>
    </w:p>
    <w:p>
      <w:pPr>
        <w:numPr>
          <w:ilvl w:val="0"/>
          <w:numId w:val="1006"/>
        </w:numPr>
        <w:pStyle w:val="Compact"/>
      </w:pPr>
      <w:r>
        <w:t xml:space="preserve">aprobar una determinación de seguros, asuntos legales, impuestos, servicio de alcohol, código de incendios, ocupación, permisos o licencias;</w:t>
      </w:r>
    </w:p>
    <w:p>
      <w:pPr>
        <w:numPr>
          <w:ilvl w:val="0"/>
          <w:numId w:val="1006"/>
        </w:numPr>
        <w:pStyle w:val="Compact"/>
      </w:pPr>
      <w:r>
        <w:t xml:space="preserve">presentarse como abogado, profesional de seguridad, respondiente de emergencias, certificador de accesibilidad, profesional médico, asesor migratorio o representante gubernamental;</w:t>
      </w:r>
    </w:p>
    <w:p>
      <w:pPr>
        <w:numPr>
          <w:ilvl w:val="0"/>
          <w:numId w:val="1006"/>
        </w:numPr>
        <w:pStyle w:val="Compact"/>
      </w:pPr>
      <w:r>
        <w:t xml:space="preserve">prometer que un evento cumple todas las normas legales o que es completamente seguro;</w:t>
      </w:r>
    </w:p>
    <w:p>
      <w:pPr>
        <w:numPr>
          <w:ilvl w:val="0"/>
          <w:numId w:val="1006"/>
        </w:numPr>
        <w:pStyle w:val="Compact"/>
      </w:pPr>
      <w:r>
        <w:t xml:space="preserve">ignorar los procedimientos de emergencia del lugar o las instrucciones de respondientes autorizados;</w:t>
      </w:r>
    </w:p>
    <w:p>
      <w:pPr>
        <w:numPr>
          <w:ilvl w:val="0"/>
          <w:numId w:val="1006"/>
        </w:numPr>
        <w:pStyle w:val="Compact"/>
      </w:pPr>
      <w:r>
        <w:t xml:space="preserve">divulgar listas de asistentes, planes de viaje, información alimentaria, información sobre discapacidad, datos de contacto, datos de pago, documentos de identidad o agendas privadas a una persona no verificada;</w:t>
      </w:r>
    </w:p>
    <w:p>
      <w:pPr>
        <w:numPr>
          <w:ilvl w:val="0"/>
          <w:numId w:val="1006"/>
        </w:numPr>
        <w:pStyle w:val="Compact"/>
      </w:pPr>
      <w:r>
        <w:t xml:space="preserve">cargar contratos confidenciales, información de asistentes, datos de pago, credenciales o información empresarial privada en un servicio de IA o nube no aprobado;</w:t>
      </w:r>
    </w:p>
    <w:p>
      <w:pPr>
        <w:numPr>
          <w:ilvl w:val="0"/>
          <w:numId w:val="1006"/>
        </w:numPr>
        <w:pStyle w:val="Compact"/>
      </w:pPr>
      <w:r>
        <w:t xml:space="preserve">inventar compromisos de accesibilidad que no hayan sido confirmados;</w:t>
      </w:r>
    </w:p>
    <w:p>
      <w:pPr>
        <w:numPr>
          <w:ilvl w:val="0"/>
          <w:numId w:val="1006"/>
        </w:numPr>
        <w:pStyle w:val="Compact"/>
      </w:pPr>
      <w:r>
        <w:t xml:space="preserve">garantizar el resultado de un proveedor, lugar, ponente, permiso, patrocinio, reembolso o cancelación;</w:t>
      </w:r>
    </w:p>
    <w:p>
      <w:pPr>
        <w:numPr>
          <w:ilvl w:val="0"/>
          <w:numId w:val="1006"/>
        </w:numPr>
        <w:pStyle w:val="Compact"/>
      </w:pPr>
      <w:r>
        <w:t xml:space="preserve">aprobar un evento por encima de la autoridad presupuestaria delegada;</w:t>
      </w:r>
    </w:p>
    <w:p>
      <w:pPr>
        <w:numPr>
          <w:ilvl w:val="0"/>
          <w:numId w:val="1006"/>
        </w:numPr>
        <w:pStyle w:val="Compact"/>
      </w:pPr>
      <w:r>
        <w:t xml:space="preserve">crear facturas, recibos, registros de asistencia, certificados, documentos de seguro, permisos o confirmaciones de proveedores ficticios;</w:t>
      </w:r>
    </w:p>
    <w:p>
      <w:pPr>
        <w:numPr>
          <w:ilvl w:val="0"/>
          <w:numId w:val="1006"/>
        </w:numPr>
        <w:pStyle w:val="Compact"/>
      </w:pPr>
      <w:r>
        <w:t xml:space="preserve">ignorar procedimientos relacionados con acoso, amenazas, emergencias médicas, multitudes, incendios, ciberseguridad, fraude u otros escalones de respuesta;</w:t>
      </w:r>
    </w:p>
    <w:p>
      <w:pPr>
        <w:numPr>
          <w:ilvl w:val="0"/>
          <w:numId w:val="1006"/>
        </w:numPr>
        <w:pStyle w:val="Compact"/>
      </w:pPr>
      <w:r>
        <w:t xml:space="preserve">usar el resultado de una IA como única autoridad para contratos, precios, obligaciones legales, instrucciones de emergencia, obligaciones de accesibilidad, términos de proveedores, requisitos de viaje u otras decisiones de consecuencias importantes.</w:t>
      </w:r>
    </w:p>
    <w:p>
      <w:pPr>
        <w:pStyle w:val="FirstParagraph"/>
      </w:pPr>
      <w:r>
        <w:t xml:space="preserve">Cuando la autoridad no esté clara, se debe documentar el asunto y escalarlo al gerente correspondiente, área de compras, contacto legal o de cumplimiento, finanzas, representante del lugar, contacto de accesibilidad, equipo de seguridad, coordinador de emergencias, aseguradora o autoridad pública.</w:t>
      </w:r>
    </w:p>
    <w:bookmarkEnd w:id="27"/>
    <w:bookmarkStart w:id="28" w:name="entorno-de-trabajo"/>
    <w:p>
      <w:pPr>
        <w:pStyle w:val="Heading2"/>
      </w:pPr>
      <w:r>
        <w:t xml:space="preserve">Entorno de trabajo</w:t>
      </w:r>
    </w:p>
    <w:p>
      <w:pPr>
        <w:pStyle w:val="FirstParagraph"/>
      </w:pPr>
      <w:r>
        <w:t xml:space="preserve">El trabajo de eventos puede alternar entre planificación de escritorio y ejecución activa.</w:t>
      </w:r>
    </w:p>
    <w:p>
      <w:pPr>
        <w:pStyle w:val="BodyText"/>
      </w:pPr>
      <w:r>
        <w:t xml:space="preserve">La planificación puede incluir:</w:t>
      </w:r>
    </w:p>
    <w:p>
      <w:pPr>
        <w:numPr>
          <w:ilvl w:val="0"/>
          <w:numId w:val="1007"/>
        </w:numPr>
        <w:pStyle w:val="Compact"/>
      </w:pPr>
      <w:r>
        <w:t xml:space="preserve">correo electrónico, teléfono, chat y videollamadas;</w:t>
      </w:r>
    </w:p>
    <w:p>
      <w:pPr>
        <w:numPr>
          <w:ilvl w:val="0"/>
          <w:numId w:val="1007"/>
        </w:numPr>
        <w:pStyle w:val="Compact"/>
      </w:pPr>
      <w:r>
        <w:t xml:space="preserve">hojas de cálculo y sistemas de registro;</w:t>
      </w:r>
    </w:p>
    <w:p>
      <w:pPr>
        <w:numPr>
          <w:ilvl w:val="0"/>
          <w:numId w:val="1007"/>
        </w:numPr>
        <w:pStyle w:val="Compact"/>
      </w:pPr>
      <w:r>
        <w:t xml:space="preserve">presupuestos y registros de compras;</w:t>
      </w:r>
    </w:p>
    <w:p>
      <w:pPr>
        <w:numPr>
          <w:ilvl w:val="0"/>
          <w:numId w:val="1007"/>
        </w:numPr>
        <w:pStyle w:val="Compact"/>
      </w:pPr>
      <w:r>
        <w:t xml:space="preserve">propuestas y contratos de proveedores;</w:t>
      </w:r>
    </w:p>
    <w:p>
      <w:pPr>
        <w:numPr>
          <w:ilvl w:val="0"/>
          <w:numId w:val="1007"/>
        </w:numPr>
        <w:pStyle w:val="Compact"/>
      </w:pPr>
      <w:r>
        <w:t xml:space="preserve">calendarios y planes de proyecto;</w:t>
      </w:r>
    </w:p>
    <w:p>
      <w:pPr>
        <w:numPr>
          <w:ilvl w:val="0"/>
          <w:numId w:val="1007"/>
        </w:numPr>
        <w:pStyle w:val="Compact"/>
      </w:pPr>
      <w:r>
        <w:t xml:space="preserve">plataformas de eventos virtuales;</w:t>
      </w:r>
    </w:p>
    <w:p>
      <w:pPr>
        <w:numPr>
          <w:ilvl w:val="0"/>
          <w:numId w:val="1007"/>
        </w:numPr>
        <w:pStyle w:val="Compact"/>
      </w:pPr>
      <w:r>
        <w:t xml:space="preserve">presentaciones y documentos del evento;</w:t>
      </w:r>
    </w:p>
    <w:p>
      <w:pPr>
        <w:numPr>
          <w:ilvl w:val="0"/>
          <w:numId w:val="1007"/>
        </w:numPr>
        <w:pStyle w:val="Compact"/>
      </w:pPr>
      <w:r>
        <w:t xml:space="preserve">comunicación con asistentes y ponentes.</w:t>
      </w:r>
    </w:p>
    <w:p>
      <w:pPr>
        <w:pStyle w:val="FirstParagraph"/>
      </w:pPr>
      <w:r>
        <w:t xml:space="preserve">El día del evento puede implicar:</w:t>
      </w:r>
    </w:p>
    <w:p>
      <w:pPr>
        <w:numPr>
          <w:ilvl w:val="0"/>
          <w:numId w:val="1008"/>
        </w:numPr>
        <w:pStyle w:val="Compact"/>
      </w:pPr>
      <w:r>
        <w:t xml:space="preserve">periodos largos de pie o caminando;</w:t>
      </w:r>
    </w:p>
    <w:p>
      <w:pPr>
        <w:numPr>
          <w:ilvl w:val="0"/>
          <w:numId w:val="1008"/>
        </w:numPr>
        <w:pStyle w:val="Compact"/>
      </w:pPr>
      <w:r>
        <w:t xml:space="preserve">montaje temprano o desmontaje tarde;</w:t>
      </w:r>
    </w:p>
    <w:p>
      <w:pPr>
        <w:numPr>
          <w:ilvl w:val="0"/>
          <w:numId w:val="1008"/>
        </w:numPr>
        <w:pStyle w:val="Compact"/>
      </w:pPr>
      <w:r>
        <w:t xml:space="preserve">espacios concurridos;</w:t>
      </w:r>
    </w:p>
    <w:p>
      <w:pPr>
        <w:numPr>
          <w:ilvl w:val="0"/>
          <w:numId w:val="1008"/>
        </w:numPr>
        <w:pStyle w:val="Compact"/>
      </w:pPr>
      <w:r>
        <w:t xml:space="preserve">preguntas repetidas de asistentes;</w:t>
      </w:r>
    </w:p>
    <w:p>
      <w:pPr>
        <w:numPr>
          <w:ilvl w:val="0"/>
          <w:numId w:val="1008"/>
        </w:numPr>
        <w:pStyle w:val="Compact"/>
      </w:pPr>
      <w:r>
        <w:t xml:space="preserve">coordinación con equipos del lugar, alimentación, audiovisuales, seguridad, transporte y limpieza;</w:t>
      </w:r>
    </w:p>
    <w:p>
      <w:pPr>
        <w:numPr>
          <w:ilvl w:val="0"/>
          <w:numId w:val="1008"/>
        </w:numPr>
        <w:pStyle w:val="Compact"/>
      </w:pPr>
      <w:r>
        <w:t xml:space="preserve">cambios rápidos de horario;</w:t>
      </w:r>
    </w:p>
    <w:p>
      <w:pPr>
        <w:numPr>
          <w:ilvl w:val="0"/>
          <w:numId w:val="1008"/>
        </w:numPr>
        <w:pStyle w:val="Compact"/>
      </w:pPr>
      <w:r>
        <w:t xml:space="preserve">ruido, clima, viajes o limitaciones de acceso físico según el lugar;</w:t>
      </w:r>
    </w:p>
    <w:p>
      <w:pPr>
        <w:numPr>
          <w:ilvl w:val="0"/>
          <w:numId w:val="1008"/>
        </w:numPr>
        <w:pStyle w:val="Compact"/>
      </w:pPr>
      <w:r>
        <w:t xml:space="preserve">presión para resolver problemas sin exceder la autoridad asignada.</w:t>
      </w:r>
    </w:p>
    <w:p>
      <w:pPr>
        <w:pStyle w:val="FirstParagraph"/>
      </w:pPr>
      <w:r>
        <w:t xml:space="preserve">Algunos puestos son remotos o híbridos durante la planificación y presenciales durante la ejecución. Los eventos completamente virtuales también requieren conectividad confiable, cuentas seguras, control cuidadoso de acceso, materiales digitales accesibles, funciones claras de moderación y procedimientos de respaldo.</w:t>
      </w:r>
    </w:p>
    <w:p>
      <w:pPr>
        <w:pStyle w:val="BodyText"/>
      </w:pPr>
      <w:r>
        <w:t xml:space="preserve">Si un puesto incluye levantar objetos, conducir, permanecer de pie por largos periodos, manipular alimentos, servir alcohol, viajar u otras funciones físicas o reguladas específicas, esos requisitos deben verificarse en la oferta real y con el empleador, en vez de suponerse por el título.</w:t>
      </w:r>
    </w:p>
    <w:bookmarkEnd w:id="28"/>
    <w:bookmarkStart w:id="34" w:name="habilidades-que-valoran-los-empleadores"/>
    <w:p>
      <w:pPr>
        <w:pStyle w:val="Heading2"/>
      </w:pPr>
      <w:r>
        <w:t xml:space="preserve">Habilidades que valoran los empleadores</w:t>
      </w:r>
    </w:p>
    <w:bookmarkStart w:id="29" w:name="organización-y-coordinación"/>
    <w:p>
      <w:pPr>
        <w:pStyle w:val="Heading3"/>
      </w:pPr>
      <w:r>
        <w:t xml:space="preserve">Organización y coordinación</w:t>
      </w:r>
    </w:p>
    <w:p>
      <w:pPr>
        <w:numPr>
          <w:ilvl w:val="0"/>
          <w:numId w:val="1009"/>
        </w:numPr>
        <w:pStyle w:val="Compact"/>
      </w:pPr>
      <w:r>
        <w:t xml:space="preserve">manejo de calendario;</w:t>
      </w:r>
    </w:p>
    <w:p>
      <w:pPr>
        <w:numPr>
          <w:ilvl w:val="0"/>
          <w:numId w:val="1009"/>
        </w:numPr>
        <w:pStyle w:val="Compact"/>
      </w:pPr>
      <w:r>
        <w:t xml:space="preserve">secuenciación de tareas;</w:t>
      </w:r>
    </w:p>
    <w:p>
      <w:pPr>
        <w:numPr>
          <w:ilvl w:val="0"/>
          <w:numId w:val="1009"/>
        </w:numPr>
        <w:pStyle w:val="Compact"/>
      </w:pPr>
      <w:r>
        <w:t xml:space="preserve">seguimiento de fechas límite;</w:t>
      </w:r>
    </w:p>
    <w:p>
      <w:pPr>
        <w:numPr>
          <w:ilvl w:val="0"/>
          <w:numId w:val="1009"/>
        </w:numPr>
        <w:pStyle w:val="Compact"/>
      </w:pPr>
      <w:r>
        <w:t xml:space="preserve">atención al detalle;</w:t>
      </w:r>
    </w:p>
    <w:p>
      <w:pPr>
        <w:numPr>
          <w:ilvl w:val="0"/>
          <w:numId w:val="1009"/>
        </w:numPr>
        <w:pStyle w:val="Compact"/>
      </w:pPr>
      <w:r>
        <w:t xml:space="preserve">control de cambios;</w:t>
      </w:r>
    </w:p>
    <w:p>
      <w:pPr>
        <w:numPr>
          <w:ilvl w:val="0"/>
          <w:numId w:val="1009"/>
        </w:numPr>
        <w:pStyle w:val="Compact"/>
      </w:pPr>
      <w:r>
        <w:t xml:space="preserve">seguimiento;</w:t>
      </w:r>
    </w:p>
    <w:p>
      <w:pPr>
        <w:numPr>
          <w:ilvl w:val="0"/>
          <w:numId w:val="1009"/>
        </w:numPr>
        <w:pStyle w:val="Compact"/>
      </w:pPr>
      <w:r>
        <w:t xml:space="preserve">organización documental;</w:t>
      </w:r>
    </w:p>
    <w:p>
      <w:pPr>
        <w:numPr>
          <w:ilvl w:val="0"/>
          <w:numId w:val="1009"/>
        </w:numPr>
        <w:pStyle w:val="Compact"/>
      </w:pPr>
      <w:r>
        <w:t xml:space="preserve">registros precisos;</w:t>
      </w:r>
    </w:p>
    <w:p>
      <w:pPr>
        <w:numPr>
          <w:ilvl w:val="0"/>
          <w:numId w:val="1009"/>
        </w:numPr>
        <w:pStyle w:val="Compact"/>
      </w:pPr>
      <w:r>
        <w:t xml:space="preserve">priorización;</w:t>
      </w:r>
    </w:p>
    <w:p>
      <w:pPr>
        <w:numPr>
          <w:ilvl w:val="0"/>
          <w:numId w:val="1009"/>
        </w:numPr>
        <w:pStyle w:val="Compact"/>
      </w:pPr>
      <w:r>
        <w:t xml:space="preserve">disciplina en los traspasos de trabajo.</w:t>
      </w:r>
    </w:p>
    <w:bookmarkEnd w:id="29"/>
    <w:bookmarkStart w:id="30" w:name="comunicación-y-servicio"/>
    <w:p>
      <w:pPr>
        <w:pStyle w:val="Heading3"/>
      </w:pPr>
      <w:r>
        <w:t xml:space="preserve">Comunicación y servicio</w:t>
      </w:r>
    </w:p>
    <w:p>
      <w:pPr>
        <w:numPr>
          <w:ilvl w:val="0"/>
          <w:numId w:val="1010"/>
        </w:numPr>
        <w:pStyle w:val="Compact"/>
      </w:pPr>
      <w:r>
        <w:t xml:space="preserve">escucha activa;</w:t>
      </w:r>
    </w:p>
    <w:p>
      <w:pPr>
        <w:numPr>
          <w:ilvl w:val="0"/>
          <w:numId w:val="1010"/>
        </w:numPr>
        <w:pStyle w:val="Compact"/>
      </w:pPr>
      <w:r>
        <w:t xml:space="preserve">correo y mensajería claros;</w:t>
      </w:r>
    </w:p>
    <w:p>
      <w:pPr>
        <w:numPr>
          <w:ilvl w:val="0"/>
          <w:numId w:val="1010"/>
        </w:numPr>
        <w:pStyle w:val="Compact"/>
      </w:pPr>
      <w:r>
        <w:t xml:space="preserve">comunicación telefónica profesional;</w:t>
      </w:r>
    </w:p>
    <w:p>
      <w:pPr>
        <w:numPr>
          <w:ilvl w:val="0"/>
          <w:numId w:val="1010"/>
        </w:numPr>
        <w:pStyle w:val="Compact"/>
      </w:pPr>
      <w:r>
        <w:t xml:space="preserve">servicio al cliente;</w:t>
      </w:r>
    </w:p>
    <w:p>
      <w:pPr>
        <w:numPr>
          <w:ilvl w:val="0"/>
          <w:numId w:val="1010"/>
        </w:numPr>
        <w:pStyle w:val="Compact"/>
      </w:pPr>
      <w:r>
        <w:t xml:space="preserve">manejo de expectativas;</w:t>
      </w:r>
    </w:p>
    <w:p>
      <w:pPr>
        <w:numPr>
          <w:ilvl w:val="0"/>
          <w:numId w:val="1010"/>
        </w:numPr>
        <w:pStyle w:val="Compact"/>
      </w:pPr>
      <w:r>
        <w:t xml:space="preserve">desescalamiento de conflictos;</w:t>
      </w:r>
    </w:p>
    <w:p>
      <w:pPr>
        <w:numPr>
          <w:ilvl w:val="0"/>
          <w:numId w:val="1010"/>
        </w:numPr>
        <w:pStyle w:val="Compact"/>
      </w:pPr>
      <w:r>
        <w:t xml:space="preserve">informes de estado concisos;</w:t>
      </w:r>
    </w:p>
    <w:p>
      <w:pPr>
        <w:numPr>
          <w:ilvl w:val="0"/>
          <w:numId w:val="1010"/>
        </w:numPr>
        <w:pStyle w:val="Compact"/>
      </w:pPr>
      <w:r>
        <w:t xml:space="preserve">comunicación con proveedores;</w:t>
      </w:r>
    </w:p>
    <w:p>
      <w:pPr>
        <w:numPr>
          <w:ilvl w:val="0"/>
          <w:numId w:val="1010"/>
        </w:numPr>
        <w:pStyle w:val="Compact"/>
      </w:pPr>
      <w:r>
        <w:t xml:space="preserve">apoyo a ponentes y asistentes;</w:t>
      </w:r>
    </w:p>
    <w:p>
      <w:pPr>
        <w:numPr>
          <w:ilvl w:val="0"/>
          <w:numId w:val="1010"/>
        </w:numPr>
        <w:pStyle w:val="Compact"/>
      </w:pPr>
      <w:r>
        <w:t xml:space="preserve">comunicación respetuosa entre culturas.</w:t>
      </w:r>
    </w:p>
    <w:bookmarkEnd w:id="30"/>
    <w:bookmarkStart w:id="31" w:name="presupuesto-y-administración"/>
    <w:p>
      <w:pPr>
        <w:pStyle w:val="Heading3"/>
      </w:pPr>
      <w:r>
        <w:t xml:space="preserve">Presupuesto y administración</w:t>
      </w:r>
    </w:p>
    <w:p>
      <w:pPr>
        <w:numPr>
          <w:ilvl w:val="0"/>
          <w:numId w:val="1011"/>
        </w:numPr>
        <w:pStyle w:val="Compact"/>
      </w:pPr>
      <w:r>
        <w:t xml:space="preserve">manejo básico de hojas de cálculo;</w:t>
      </w:r>
    </w:p>
    <w:p>
      <w:pPr>
        <w:numPr>
          <w:ilvl w:val="0"/>
          <w:numId w:val="1011"/>
        </w:numPr>
        <w:pStyle w:val="Compact"/>
      </w:pPr>
      <w:r>
        <w:t xml:space="preserve">revisión de facturas;</w:t>
      </w:r>
    </w:p>
    <w:p>
      <w:pPr>
        <w:numPr>
          <w:ilvl w:val="0"/>
          <w:numId w:val="1011"/>
        </w:numPr>
        <w:pStyle w:val="Compact"/>
      </w:pPr>
      <w:r>
        <w:t xml:space="preserve">seguimiento de gastos;</w:t>
      </w:r>
    </w:p>
    <w:p>
      <w:pPr>
        <w:numPr>
          <w:ilvl w:val="0"/>
          <w:numId w:val="1011"/>
        </w:numPr>
        <w:pStyle w:val="Compact"/>
      </w:pPr>
      <w:r>
        <w:t xml:space="preserve">conocimiento de órdenes de compra;</w:t>
      </w:r>
    </w:p>
    <w:p>
      <w:pPr>
        <w:numPr>
          <w:ilvl w:val="0"/>
          <w:numId w:val="1011"/>
        </w:numPr>
        <w:pStyle w:val="Compact"/>
      </w:pPr>
      <w:r>
        <w:t xml:space="preserve">comparación de cotizaciones;</w:t>
      </w:r>
    </w:p>
    <w:p>
      <w:pPr>
        <w:numPr>
          <w:ilvl w:val="0"/>
          <w:numId w:val="1011"/>
        </w:numPr>
        <w:pStyle w:val="Compact"/>
      </w:pPr>
      <w:r>
        <w:t xml:space="preserve">documentación de aprobaciones;</w:t>
      </w:r>
    </w:p>
    <w:p>
      <w:pPr>
        <w:numPr>
          <w:ilvl w:val="0"/>
          <w:numId w:val="1011"/>
        </w:numPr>
        <w:pStyle w:val="Compact"/>
      </w:pPr>
      <w:r>
        <w:t xml:space="preserve">mantenimiento de trazabilidad;</w:t>
      </w:r>
    </w:p>
    <w:p>
      <w:pPr>
        <w:numPr>
          <w:ilvl w:val="0"/>
          <w:numId w:val="1011"/>
        </w:numPr>
        <w:pStyle w:val="Compact"/>
      </w:pPr>
      <w:r>
        <w:t xml:space="preserve">conciliación de cantidades y cargos;</w:t>
      </w:r>
    </w:p>
    <w:p>
      <w:pPr>
        <w:numPr>
          <w:ilvl w:val="0"/>
          <w:numId w:val="1011"/>
        </w:numPr>
        <w:pStyle w:val="Compact"/>
      </w:pPr>
      <w:r>
        <w:t xml:space="preserve">comprensión de la diferencia entre una estimación, presupuesto aprobado, costo comprometido y factura final.</w:t>
      </w:r>
    </w:p>
    <w:bookmarkEnd w:id="31"/>
    <w:bookmarkStart w:id="32" w:name="operaciones-de-eventos"/>
    <w:p>
      <w:pPr>
        <w:pStyle w:val="Heading3"/>
      </w:pPr>
      <w:r>
        <w:t xml:space="preserve">Operaciones de eventos</w:t>
      </w:r>
    </w:p>
    <w:p>
      <w:pPr>
        <w:numPr>
          <w:ilvl w:val="0"/>
          <w:numId w:val="1012"/>
        </w:numPr>
        <w:pStyle w:val="Compact"/>
      </w:pPr>
      <w:r>
        <w:t xml:space="preserve">flujos de registro;</w:t>
      </w:r>
    </w:p>
    <w:p>
      <w:pPr>
        <w:numPr>
          <w:ilvl w:val="0"/>
          <w:numId w:val="1012"/>
        </w:numPr>
        <w:pStyle w:val="Compact"/>
      </w:pPr>
      <w:r>
        <w:t xml:space="preserve">montaje de sala y planos de asientos;</w:t>
      </w:r>
    </w:p>
    <w:p>
      <w:pPr>
        <w:numPr>
          <w:ilvl w:val="0"/>
          <w:numId w:val="1012"/>
        </w:numPr>
        <w:pStyle w:val="Compact"/>
      </w:pPr>
      <w:r>
        <w:t xml:space="preserve">coordinación de alimentación;</w:t>
      </w:r>
    </w:p>
    <w:p>
      <w:pPr>
        <w:numPr>
          <w:ilvl w:val="0"/>
          <w:numId w:val="1012"/>
        </w:numPr>
        <w:pStyle w:val="Compact"/>
      </w:pPr>
      <w:r>
        <w:t xml:space="preserve">coordinación audiovisual;</w:t>
      </w:r>
    </w:p>
    <w:p>
      <w:pPr>
        <w:numPr>
          <w:ilvl w:val="0"/>
          <w:numId w:val="1012"/>
        </w:numPr>
        <w:pStyle w:val="Compact"/>
      </w:pPr>
      <w:r>
        <w:t xml:space="preserve">señalización y orientación;</w:t>
      </w:r>
    </w:p>
    <w:p>
      <w:pPr>
        <w:numPr>
          <w:ilvl w:val="0"/>
          <w:numId w:val="1012"/>
        </w:numPr>
        <w:pStyle w:val="Compact"/>
      </w:pPr>
      <w:r>
        <w:t xml:space="preserve">apoyo a ponentes;</w:t>
      </w:r>
    </w:p>
    <w:p>
      <w:pPr>
        <w:numPr>
          <w:ilvl w:val="0"/>
          <w:numId w:val="1012"/>
        </w:numPr>
        <w:pStyle w:val="Compact"/>
      </w:pPr>
      <w:r>
        <w:t xml:space="preserve">coordinación de transporte;</w:t>
      </w:r>
    </w:p>
    <w:p>
      <w:pPr>
        <w:numPr>
          <w:ilvl w:val="0"/>
          <w:numId w:val="1012"/>
        </w:numPr>
        <w:pStyle w:val="Compact"/>
      </w:pPr>
      <w:r>
        <w:t xml:space="preserve">coordinación de alojamiento;</w:t>
      </w:r>
    </w:p>
    <w:p>
      <w:pPr>
        <w:numPr>
          <w:ilvl w:val="0"/>
          <w:numId w:val="1012"/>
        </w:numPr>
        <w:pStyle w:val="Compact"/>
      </w:pPr>
      <w:r>
        <w:t xml:space="preserve">horarios del personal;</w:t>
      </w:r>
    </w:p>
    <w:p>
      <w:pPr>
        <w:numPr>
          <w:ilvl w:val="0"/>
          <w:numId w:val="1012"/>
        </w:numPr>
        <w:pStyle w:val="Compact"/>
      </w:pPr>
      <w:r>
        <w:t xml:space="preserve">manejo del programa operativo;</w:t>
      </w:r>
    </w:p>
    <w:p>
      <w:pPr>
        <w:numPr>
          <w:ilvl w:val="0"/>
          <w:numId w:val="1012"/>
        </w:numPr>
        <w:pStyle w:val="Compact"/>
      </w:pPr>
      <w:r>
        <w:t xml:space="preserve">planificación de contingencias;</w:t>
      </w:r>
    </w:p>
    <w:p>
      <w:pPr>
        <w:numPr>
          <w:ilvl w:val="0"/>
          <w:numId w:val="1012"/>
        </w:numPr>
        <w:pStyle w:val="Compact"/>
      </w:pPr>
      <w:r>
        <w:t xml:space="preserve">cierre posterior al evento.</w:t>
      </w:r>
    </w:p>
    <w:bookmarkEnd w:id="32"/>
    <w:bookmarkStart w:id="33" w:name="tecnología"/>
    <w:p>
      <w:pPr>
        <w:pStyle w:val="Heading3"/>
      </w:pPr>
      <w:r>
        <w:t xml:space="preserve">Tecnología</w:t>
      </w:r>
    </w:p>
    <w:p>
      <w:pPr>
        <w:pStyle w:val="FirstParagraph"/>
      </w:pPr>
      <w:r>
        <w:t xml:space="preserve">Los sistemas específicos varían. Los empleadores pueden utilizar:</w:t>
      </w:r>
    </w:p>
    <w:p>
      <w:pPr>
        <w:numPr>
          <w:ilvl w:val="0"/>
          <w:numId w:val="1013"/>
        </w:numPr>
        <w:pStyle w:val="Compact"/>
      </w:pPr>
      <w:r>
        <w:t xml:space="preserve">Microsoft Excel, Word, PowerPoint, Outlook, Teams o herramientas equivalentes;</w:t>
      </w:r>
    </w:p>
    <w:p>
      <w:pPr>
        <w:numPr>
          <w:ilvl w:val="0"/>
          <w:numId w:val="1013"/>
        </w:numPr>
        <w:pStyle w:val="Compact"/>
      </w:pPr>
      <w:r>
        <w:t xml:space="preserve">Google Workspace;</w:t>
      </w:r>
    </w:p>
    <w:p>
      <w:pPr>
        <w:numPr>
          <w:ilvl w:val="0"/>
          <w:numId w:val="1013"/>
        </w:numPr>
        <w:pStyle w:val="Compact"/>
      </w:pPr>
      <w:r>
        <w:t xml:space="preserve">herramientas de gestión de proyectos o tareas;</w:t>
      </w:r>
    </w:p>
    <w:p>
      <w:pPr>
        <w:numPr>
          <w:ilvl w:val="0"/>
          <w:numId w:val="1013"/>
        </w:numPr>
        <w:pStyle w:val="Compact"/>
      </w:pPr>
      <w:r>
        <w:t xml:space="preserve">sistemas de gestión de relaciones con clientes;</w:t>
      </w:r>
    </w:p>
    <w:p>
      <w:pPr>
        <w:numPr>
          <w:ilvl w:val="0"/>
          <w:numId w:val="1013"/>
        </w:numPr>
        <w:pStyle w:val="Compact"/>
      </w:pPr>
      <w:r>
        <w:t xml:space="preserve">plataformas de registro de eventos;</w:t>
      </w:r>
    </w:p>
    <w:p>
      <w:pPr>
        <w:numPr>
          <w:ilvl w:val="0"/>
          <w:numId w:val="1013"/>
        </w:numPr>
        <w:pStyle w:val="Compact"/>
      </w:pPr>
      <w:r>
        <w:t xml:space="preserve">plataformas de reuniones virtuales y seminarios web;</w:t>
      </w:r>
    </w:p>
    <w:p>
      <w:pPr>
        <w:numPr>
          <w:ilvl w:val="0"/>
          <w:numId w:val="1013"/>
        </w:numPr>
        <w:pStyle w:val="Compact"/>
      </w:pPr>
      <w:r>
        <w:t xml:space="preserve">sistemas de hoteles o lugares;</w:t>
      </w:r>
    </w:p>
    <w:p>
      <w:pPr>
        <w:numPr>
          <w:ilvl w:val="0"/>
          <w:numId w:val="1013"/>
        </w:numPr>
        <w:pStyle w:val="Compact"/>
      </w:pPr>
      <w:r>
        <w:t xml:space="preserve">sistemas de gastos y compras;</w:t>
      </w:r>
    </w:p>
    <w:p>
      <w:pPr>
        <w:numPr>
          <w:ilvl w:val="0"/>
          <w:numId w:val="1013"/>
        </w:numPr>
        <w:pStyle w:val="Compact"/>
      </w:pPr>
      <w:r>
        <w:t xml:space="preserve">herramientas de encuestas;</w:t>
      </w:r>
    </w:p>
    <w:p>
      <w:pPr>
        <w:numPr>
          <w:ilvl w:val="0"/>
          <w:numId w:val="1013"/>
        </w:numPr>
        <w:pStyle w:val="Compact"/>
      </w:pPr>
      <w:r>
        <w:t xml:space="preserve">sistemas de señalización digital o identificaciones;</w:t>
      </w:r>
    </w:p>
    <w:p>
      <w:pPr>
        <w:numPr>
          <w:ilvl w:val="0"/>
          <w:numId w:val="1013"/>
        </w:numPr>
        <w:pStyle w:val="Compact"/>
      </w:pPr>
      <w:r>
        <w:t xml:space="preserve">asistentes de IA aprobados;</w:t>
      </w:r>
    </w:p>
    <w:p>
      <w:pPr>
        <w:numPr>
          <w:ilvl w:val="0"/>
          <w:numId w:val="1013"/>
        </w:numPr>
        <w:pStyle w:val="Compact"/>
      </w:pPr>
      <w:r>
        <w:t xml:space="preserve">plataformas específicas del empleador para eventos u hotelería.</w:t>
      </w:r>
    </w:p>
    <w:p>
      <w:pPr>
        <w:pStyle w:val="FirstParagraph"/>
      </w:pPr>
      <w:r>
        <w:t xml:space="preserve">El nombre de un producto en una oferta laboral es una preferencia del empleador, no una credencial legal universal. Es mejor aprender conceptos transferibles —registro, permisos, reportes, horarios, presupuestos, plantillas, exportaciones y protección de datos— para poder adaptarse a diferentes plataformas.</w:t>
      </w:r>
    </w:p>
    <w:bookmarkEnd w:id="33"/>
    <w:bookmarkEnd w:id="34"/>
    <w:bookmarkStart w:id="40" w:name="el-ciclo-de-vida-de-un-evento"/>
    <w:p>
      <w:pPr>
        <w:pStyle w:val="Heading2"/>
      </w:pPr>
      <w:r>
        <w:t xml:space="preserve">El ciclo de vida de un evento</w:t>
      </w:r>
    </w:p>
    <w:p>
      <w:pPr>
        <w:pStyle w:val="FirstParagraph"/>
      </w:pPr>
      <w:r>
        <w:t xml:space="preserve">Un ciclo simple ayuda a mantener el trabajo comprensible.</w:t>
      </w:r>
    </w:p>
    <w:bookmarkStart w:id="35" w:name="X11edf6b03d376fcfa70f948c5a81e8131e83636"/>
    <w:p>
      <w:pPr>
        <w:pStyle w:val="Heading3"/>
      </w:pPr>
      <w:r>
        <w:t xml:space="preserve">1. Definir</w:t>
      </w:r>
    </w:p>
    <w:p>
      <w:pPr>
        <w:pStyle w:val="FirstParagraph"/>
      </w:pPr>
      <w:r>
        <w:t xml:space="preserve">Aclarar:</w:t>
      </w:r>
    </w:p>
    <w:p>
      <w:pPr>
        <w:numPr>
          <w:ilvl w:val="0"/>
          <w:numId w:val="1014"/>
        </w:numPr>
        <w:pStyle w:val="Compact"/>
      </w:pPr>
      <w:r>
        <w:t xml:space="preserve">propósito;</w:t>
      </w:r>
    </w:p>
    <w:p>
      <w:pPr>
        <w:numPr>
          <w:ilvl w:val="0"/>
          <w:numId w:val="1014"/>
        </w:numPr>
        <w:pStyle w:val="Compact"/>
      </w:pPr>
      <w:r>
        <w:t xml:space="preserve">público;</w:t>
      </w:r>
    </w:p>
    <w:p>
      <w:pPr>
        <w:numPr>
          <w:ilvl w:val="0"/>
          <w:numId w:val="1014"/>
        </w:numPr>
        <w:pStyle w:val="Compact"/>
      </w:pPr>
      <w:r>
        <w:t xml:space="preserve">responsable del evento;</w:t>
      </w:r>
    </w:p>
    <w:p>
      <w:pPr>
        <w:numPr>
          <w:ilvl w:val="0"/>
          <w:numId w:val="1014"/>
        </w:numPr>
        <w:pStyle w:val="Compact"/>
      </w:pPr>
      <w:r>
        <w:t xml:space="preserve">personas que toman decisiones;</w:t>
      </w:r>
    </w:p>
    <w:p>
      <w:pPr>
        <w:numPr>
          <w:ilvl w:val="0"/>
          <w:numId w:val="1014"/>
        </w:numPr>
        <w:pStyle w:val="Compact"/>
      </w:pPr>
      <w:r>
        <w:t xml:space="preserve">fecha y horario;</w:t>
      </w:r>
    </w:p>
    <w:p>
      <w:pPr>
        <w:numPr>
          <w:ilvl w:val="0"/>
          <w:numId w:val="1014"/>
        </w:numPr>
        <w:pStyle w:val="Compact"/>
      </w:pPr>
      <w:r>
        <w:t xml:space="preserve">ubicación o formato virtual;</w:t>
      </w:r>
    </w:p>
    <w:p>
      <w:pPr>
        <w:numPr>
          <w:ilvl w:val="0"/>
          <w:numId w:val="1014"/>
        </w:numPr>
        <w:pStyle w:val="Compact"/>
      </w:pPr>
      <w:r>
        <w:t xml:space="preserve">estimación de asistencia;</w:t>
      </w:r>
    </w:p>
    <w:p>
      <w:pPr>
        <w:numPr>
          <w:ilvl w:val="0"/>
          <w:numId w:val="1014"/>
        </w:numPr>
        <w:pStyle w:val="Compact"/>
      </w:pPr>
      <w:r>
        <w:t xml:space="preserve">rango de presupuesto;</w:t>
      </w:r>
    </w:p>
    <w:p>
      <w:pPr>
        <w:numPr>
          <w:ilvl w:val="0"/>
          <w:numId w:val="1014"/>
        </w:numPr>
        <w:pStyle w:val="Compact"/>
      </w:pPr>
      <w:r>
        <w:t xml:space="preserve">requisitos de accesibilidad;</w:t>
      </w:r>
    </w:p>
    <w:p>
      <w:pPr>
        <w:numPr>
          <w:ilvl w:val="0"/>
          <w:numId w:val="1014"/>
        </w:numPr>
        <w:pStyle w:val="Compact"/>
      </w:pPr>
      <w:r>
        <w:t xml:space="preserve">medidas de éxito;</w:t>
      </w:r>
    </w:p>
    <w:p>
      <w:pPr>
        <w:numPr>
          <w:ilvl w:val="0"/>
          <w:numId w:val="1014"/>
        </w:numPr>
        <w:pStyle w:val="Compact"/>
      </w:pPr>
      <w:r>
        <w:t xml:space="preserve">restricciones principales.</w:t>
      </w:r>
    </w:p>
    <w:p>
      <w:pPr>
        <w:pStyle w:val="FirstParagraph"/>
      </w:pPr>
      <w:r>
        <w:t xml:space="preserve">No se debe empezar a gastar ni prometer entregables antes de tener clara la autoridad.</w:t>
      </w:r>
    </w:p>
    <w:bookmarkEnd w:id="35"/>
    <w:bookmarkStart w:id="36" w:name="Xf4330aeea6d4e096467a9190169032dd0ecfc37"/>
    <w:p>
      <w:pPr>
        <w:pStyle w:val="Heading3"/>
      </w:pPr>
      <w:r>
        <w:t xml:space="preserve">2. Planificar</w:t>
      </w:r>
    </w:p>
    <w:p>
      <w:pPr>
        <w:pStyle w:val="FirstParagraph"/>
      </w:pPr>
      <w:r>
        <w:t xml:space="preserve">Construir:</w:t>
      </w:r>
    </w:p>
    <w:p>
      <w:pPr>
        <w:numPr>
          <w:ilvl w:val="0"/>
          <w:numId w:val="1015"/>
        </w:numPr>
        <w:pStyle w:val="Compact"/>
      </w:pPr>
      <w:r>
        <w:t xml:space="preserve">hitos;</w:t>
      </w:r>
    </w:p>
    <w:p>
      <w:pPr>
        <w:numPr>
          <w:ilvl w:val="0"/>
          <w:numId w:val="1015"/>
        </w:numPr>
        <w:pStyle w:val="Compact"/>
      </w:pPr>
      <w:r>
        <w:t xml:space="preserve">responsables de tareas;</w:t>
      </w:r>
    </w:p>
    <w:p>
      <w:pPr>
        <w:numPr>
          <w:ilvl w:val="0"/>
          <w:numId w:val="1015"/>
        </w:numPr>
        <w:pStyle w:val="Compact"/>
      </w:pPr>
      <w:r>
        <w:t xml:space="preserve">requisitos de proveedores;</w:t>
      </w:r>
    </w:p>
    <w:p>
      <w:pPr>
        <w:numPr>
          <w:ilvl w:val="0"/>
          <w:numId w:val="1015"/>
        </w:numPr>
        <w:pStyle w:val="Compact"/>
      </w:pPr>
      <w:r>
        <w:t xml:space="preserve">proceso de registro;</w:t>
      </w:r>
    </w:p>
    <w:p>
      <w:pPr>
        <w:numPr>
          <w:ilvl w:val="0"/>
          <w:numId w:val="1015"/>
        </w:numPr>
        <w:pStyle w:val="Compact"/>
      </w:pPr>
      <w:r>
        <w:t xml:space="preserve">calendario de comunicaciones;</w:t>
      </w:r>
    </w:p>
    <w:p>
      <w:pPr>
        <w:numPr>
          <w:ilvl w:val="0"/>
          <w:numId w:val="1015"/>
        </w:numPr>
        <w:pStyle w:val="Compact"/>
      </w:pPr>
      <w:r>
        <w:t xml:space="preserve">plan de sala o plataforma;</w:t>
      </w:r>
    </w:p>
    <w:p>
      <w:pPr>
        <w:numPr>
          <w:ilvl w:val="0"/>
          <w:numId w:val="1015"/>
        </w:numPr>
        <w:pStyle w:val="Compact"/>
      </w:pPr>
      <w:r>
        <w:t xml:space="preserve">requisitos de alimentación y audiovisuales;</w:t>
      </w:r>
    </w:p>
    <w:p>
      <w:pPr>
        <w:numPr>
          <w:ilvl w:val="0"/>
          <w:numId w:val="1015"/>
        </w:numPr>
        <w:pStyle w:val="Compact"/>
      </w:pPr>
      <w:r>
        <w:t xml:space="preserve">necesidades de transporte o alojamiento cuando correspondan;</w:t>
      </w:r>
    </w:p>
    <w:p>
      <w:pPr>
        <w:numPr>
          <w:ilvl w:val="0"/>
          <w:numId w:val="1015"/>
        </w:numPr>
        <w:pStyle w:val="Compact"/>
      </w:pPr>
      <w:r>
        <w:t xml:space="preserve">plan de personal;</w:t>
      </w:r>
    </w:p>
    <w:p>
      <w:pPr>
        <w:numPr>
          <w:ilvl w:val="0"/>
          <w:numId w:val="1015"/>
        </w:numPr>
        <w:pStyle w:val="Compact"/>
      </w:pPr>
      <w:r>
        <w:t xml:space="preserve">plan de accesibilidad;</w:t>
      </w:r>
    </w:p>
    <w:p>
      <w:pPr>
        <w:numPr>
          <w:ilvl w:val="0"/>
          <w:numId w:val="1015"/>
        </w:numPr>
        <w:pStyle w:val="Compact"/>
      </w:pPr>
      <w:r>
        <w:t xml:space="preserve">contactos de emergencia y escalamiento;</w:t>
      </w:r>
    </w:p>
    <w:p>
      <w:pPr>
        <w:numPr>
          <w:ilvl w:val="0"/>
          <w:numId w:val="1015"/>
        </w:numPr>
        <w:pStyle w:val="Compact"/>
      </w:pPr>
      <w:r>
        <w:t xml:space="preserve">opciones de respaldo;</w:t>
      </w:r>
    </w:p>
    <w:p>
      <w:pPr>
        <w:numPr>
          <w:ilvl w:val="0"/>
          <w:numId w:val="1015"/>
        </w:numPr>
        <w:pStyle w:val="Compact"/>
      </w:pPr>
      <w:r>
        <w:t xml:space="preserve">control presupuestario.</w:t>
      </w:r>
    </w:p>
    <w:bookmarkEnd w:id="36"/>
    <w:bookmarkStart w:id="37" w:name="X4b19d8151e2c5b80a6ca2138e2ee8e7504dcc09"/>
    <w:p>
      <w:pPr>
        <w:pStyle w:val="Heading3"/>
      </w:pPr>
      <w:r>
        <w:t xml:space="preserve">3. Confirmar</w:t>
      </w:r>
    </w:p>
    <w:p>
      <w:pPr>
        <w:pStyle w:val="FirstParagraph"/>
      </w:pPr>
      <w:r>
        <w:t xml:space="preserve">Antes del evento, confirmar:</w:t>
      </w:r>
    </w:p>
    <w:p>
      <w:pPr>
        <w:numPr>
          <w:ilvl w:val="0"/>
          <w:numId w:val="1016"/>
        </w:numPr>
        <w:pStyle w:val="Compact"/>
      </w:pPr>
      <w:r>
        <w:t xml:space="preserve">lugar y proveedores aprobados;</w:t>
      </w:r>
    </w:p>
    <w:p>
      <w:pPr>
        <w:numPr>
          <w:ilvl w:val="0"/>
          <w:numId w:val="1016"/>
        </w:numPr>
        <w:pStyle w:val="Compact"/>
      </w:pPr>
      <w:r>
        <w:t xml:space="preserve">horarios y ventanas de acceso;</w:t>
      </w:r>
    </w:p>
    <w:p>
      <w:pPr>
        <w:numPr>
          <w:ilvl w:val="0"/>
          <w:numId w:val="1016"/>
        </w:numPr>
        <w:pStyle w:val="Compact"/>
      </w:pPr>
      <w:r>
        <w:t xml:space="preserve">número de asistentes;</w:t>
      </w:r>
    </w:p>
    <w:p>
      <w:pPr>
        <w:numPr>
          <w:ilvl w:val="0"/>
          <w:numId w:val="1016"/>
        </w:numPr>
        <w:pStyle w:val="Compact"/>
      </w:pPr>
      <w:r>
        <w:t xml:space="preserve">cantidades de alimentación;</w:t>
      </w:r>
    </w:p>
    <w:p>
      <w:pPr>
        <w:numPr>
          <w:ilvl w:val="0"/>
          <w:numId w:val="1016"/>
        </w:numPr>
        <w:pStyle w:val="Compact"/>
      </w:pPr>
      <w:r>
        <w:t xml:space="preserve">montaje de sala;</w:t>
      </w:r>
    </w:p>
    <w:p>
      <w:pPr>
        <w:numPr>
          <w:ilvl w:val="0"/>
          <w:numId w:val="1016"/>
        </w:numPr>
        <w:pStyle w:val="Compact"/>
      </w:pPr>
      <w:r>
        <w:t xml:space="preserve">requisitos audiovisuales;</w:t>
      </w:r>
    </w:p>
    <w:p>
      <w:pPr>
        <w:numPr>
          <w:ilvl w:val="0"/>
          <w:numId w:val="1016"/>
        </w:numPr>
        <w:pStyle w:val="Compact"/>
      </w:pPr>
      <w:r>
        <w:t xml:space="preserve">llegada y materiales de ponentes;</w:t>
      </w:r>
    </w:p>
    <w:p>
      <w:pPr>
        <w:numPr>
          <w:ilvl w:val="0"/>
          <w:numId w:val="1016"/>
        </w:numPr>
        <w:pStyle w:val="Compact"/>
      </w:pPr>
      <w:r>
        <w:t xml:space="preserve">adaptaciones de accesibilidad;</w:t>
      </w:r>
    </w:p>
    <w:p>
      <w:pPr>
        <w:numPr>
          <w:ilvl w:val="0"/>
          <w:numId w:val="1016"/>
        </w:numPr>
        <w:pStyle w:val="Compact"/>
      </w:pPr>
      <w:r>
        <w:t xml:space="preserve">asignaciones de personal o voluntarios;</w:t>
      </w:r>
    </w:p>
    <w:p>
      <w:pPr>
        <w:numPr>
          <w:ilvl w:val="0"/>
          <w:numId w:val="1016"/>
        </w:numPr>
        <w:pStyle w:val="Compact"/>
      </w:pPr>
      <w:r>
        <w:t xml:space="preserve">señalización;</w:t>
      </w:r>
    </w:p>
    <w:p>
      <w:pPr>
        <w:numPr>
          <w:ilvl w:val="0"/>
          <w:numId w:val="1016"/>
        </w:numPr>
        <w:pStyle w:val="Compact"/>
      </w:pPr>
      <w:r>
        <w:t xml:space="preserve">detalles de transporte o alojamiento;</w:t>
      </w:r>
    </w:p>
    <w:p>
      <w:pPr>
        <w:numPr>
          <w:ilvl w:val="0"/>
          <w:numId w:val="1016"/>
        </w:numPr>
        <w:pStyle w:val="Compact"/>
      </w:pPr>
      <w:r>
        <w:t xml:space="preserve">contactos de emergencia y procedimientos del lugar;</w:t>
      </w:r>
    </w:p>
    <w:p>
      <w:pPr>
        <w:numPr>
          <w:ilvl w:val="0"/>
          <w:numId w:val="1016"/>
        </w:numPr>
        <w:pStyle w:val="Compact"/>
      </w:pPr>
      <w:r>
        <w:t xml:space="preserve">estado de pagos o facturas mediante canales aprobados.</w:t>
      </w:r>
    </w:p>
    <w:p>
      <w:pPr>
        <w:pStyle w:val="FirstParagraph"/>
      </w:pPr>
      <w:r>
        <w:t xml:space="preserve">Una confirmación debe quedar documentada. La memoria no es un control.</w:t>
      </w:r>
    </w:p>
    <w:bookmarkEnd w:id="37"/>
    <w:bookmarkStart w:id="38" w:name="Xe6d61bb12e6f4339cd39adf3bc7b9c461eb2131"/>
    <w:p>
      <w:pPr>
        <w:pStyle w:val="Heading3"/>
      </w:pPr>
      <w:r>
        <w:t xml:space="preserve">4. Ejecutar</w:t>
      </w:r>
    </w:p>
    <w:p>
      <w:pPr>
        <w:pStyle w:val="FirstParagraph"/>
      </w:pPr>
      <w:r>
        <w:t xml:space="preserve">Durante el evento:</w:t>
      </w:r>
    </w:p>
    <w:p>
      <w:pPr>
        <w:numPr>
          <w:ilvl w:val="0"/>
          <w:numId w:val="1017"/>
        </w:numPr>
        <w:pStyle w:val="Compact"/>
      </w:pPr>
      <w:r>
        <w:t xml:space="preserve">seguir el programa operativo;</w:t>
      </w:r>
    </w:p>
    <w:p>
      <w:pPr>
        <w:numPr>
          <w:ilvl w:val="0"/>
          <w:numId w:val="1017"/>
        </w:numPr>
        <w:pStyle w:val="Compact"/>
      </w:pPr>
      <w:r>
        <w:t xml:space="preserve">mantener disponibles a los contactos autorizados;</w:t>
      </w:r>
    </w:p>
    <w:p>
      <w:pPr>
        <w:numPr>
          <w:ilvl w:val="0"/>
          <w:numId w:val="1017"/>
        </w:numPr>
        <w:pStyle w:val="Compact"/>
      </w:pPr>
      <w:r>
        <w:t xml:space="preserve">supervisar el registro y la preparación del espacio;</w:t>
      </w:r>
    </w:p>
    <w:p>
      <w:pPr>
        <w:numPr>
          <w:ilvl w:val="0"/>
          <w:numId w:val="1017"/>
        </w:numPr>
        <w:pStyle w:val="Compact"/>
      </w:pPr>
      <w:r>
        <w:t xml:space="preserve">registrar cambios;</w:t>
      </w:r>
    </w:p>
    <w:p>
      <w:pPr>
        <w:numPr>
          <w:ilvl w:val="0"/>
          <w:numId w:val="1017"/>
        </w:numPr>
        <w:pStyle w:val="Compact"/>
      </w:pPr>
      <w:r>
        <w:t xml:space="preserve">comunicarse con claridad;</w:t>
      </w:r>
    </w:p>
    <w:p>
      <w:pPr>
        <w:numPr>
          <w:ilvl w:val="0"/>
          <w:numId w:val="1017"/>
        </w:numPr>
        <w:pStyle w:val="Compact"/>
      </w:pPr>
      <w:r>
        <w:t xml:space="preserve">proteger la información de asistentes;</w:t>
      </w:r>
    </w:p>
    <w:p>
      <w:pPr>
        <w:numPr>
          <w:ilvl w:val="0"/>
          <w:numId w:val="1017"/>
        </w:numPr>
        <w:pStyle w:val="Compact"/>
      </w:pPr>
      <w:r>
        <w:t xml:space="preserve">usar los procedimientos de seguridad y emergencia del lugar;</w:t>
      </w:r>
    </w:p>
    <w:p>
      <w:pPr>
        <w:numPr>
          <w:ilvl w:val="0"/>
          <w:numId w:val="1017"/>
        </w:numPr>
        <w:pStyle w:val="Compact"/>
      </w:pPr>
      <w:r>
        <w:t xml:space="preserve">escalar problemas en lugar de improvisar fuera de la autoridad;</w:t>
      </w:r>
    </w:p>
    <w:p>
      <w:pPr>
        <w:numPr>
          <w:ilvl w:val="0"/>
          <w:numId w:val="1017"/>
        </w:numPr>
        <w:pStyle w:val="Compact"/>
      </w:pPr>
      <w:r>
        <w:t xml:space="preserve">registrar incidentes o decisiones importantes según la política.</w:t>
      </w:r>
    </w:p>
    <w:bookmarkEnd w:id="38"/>
    <w:bookmarkStart w:id="39" w:name="X0bc84014df97ee47fdf84b807116f3122dd6db9"/>
    <w:p>
      <w:pPr>
        <w:pStyle w:val="Heading3"/>
      </w:pPr>
      <w:r>
        <w:t xml:space="preserve">5. Cerrar</w:t>
      </w:r>
    </w:p>
    <w:p>
      <w:pPr>
        <w:pStyle w:val="FirstParagraph"/>
      </w:pPr>
      <w:r>
        <w:t xml:space="preserve">Después del evento:</w:t>
      </w:r>
    </w:p>
    <w:p>
      <w:pPr>
        <w:numPr>
          <w:ilvl w:val="0"/>
          <w:numId w:val="1018"/>
        </w:numPr>
        <w:pStyle w:val="Compact"/>
      </w:pPr>
      <w:r>
        <w:t xml:space="preserve">conciliar la asistencia;</w:t>
      </w:r>
    </w:p>
    <w:p>
      <w:pPr>
        <w:numPr>
          <w:ilvl w:val="0"/>
          <w:numId w:val="1018"/>
        </w:numPr>
        <w:pStyle w:val="Compact"/>
      </w:pPr>
      <w:r>
        <w:t xml:space="preserve">recopilar retroalimentación aprobada;</w:t>
      </w:r>
    </w:p>
    <w:p>
      <w:pPr>
        <w:numPr>
          <w:ilvl w:val="0"/>
          <w:numId w:val="1018"/>
        </w:numPr>
        <w:pStyle w:val="Compact"/>
      </w:pPr>
      <w:r>
        <w:t xml:space="preserve">confirmar la finalización de los proveedores;</w:t>
      </w:r>
    </w:p>
    <w:p>
      <w:pPr>
        <w:numPr>
          <w:ilvl w:val="0"/>
          <w:numId w:val="1018"/>
        </w:numPr>
        <w:pStyle w:val="Compact"/>
      </w:pPr>
      <w:r>
        <w:t xml:space="preserve">enviar facturas para revisión o aprobación;</w:t>
      </w:r>
    </w:p>
    <w:p>
      <w:pPr>
        <w:numPr>
          <w:ilvl w:val="0"/>
          <w:numId w:val="1018"/>
        </w:numPr>
        <w:pStyle w:val="Compact"/>
      </w:pPr>
      <w:r>
        <w:t xml:space="preserve">documentar asuntos abiertos;</w:t>
      </w:r>
    </w:p>
    <w:p>
      <w:pPr>
        <w:numPr>
          <w:ilvl w:val="0"/>
          <w:numId w:val="1018"/>
        </w:numPr>
        <w:pStyle w:val="Compact"/>
      </w:pPr>
      <w:r>
        <w:t xml:space="preserve">devolver o inventariar equipos y materiales;</w:t>
      </w:r>
    </w:p>
    <w:p>
      <w:pPr>
        <w:numPr>
          <w:ilvl w:val="0"/>
          <w:numId w:val="1018"/>
        </w:numPr>
        <w:pStyle w:val="Compact"/>
      </w:pPr>
      <w:r>
        <w:t xml:space="preserve">cerrar permisos de acceso cuando corresponda;</w:t>
      </w:r>
    </w:p>
    <w:p>
      <w:pPr>
        <w:numPr>
          <w:ilvl w:val="0"/>
          <w:numId w:val="1018"/>
        </w:numPr>
        <w:pStyle w:val="Compact"/>
      </w:pPr>
      <w:r>
        <w:t xml:space="preserve">archivar registros según la política;</w:t>
      </w:r>
    </w:p>
    <w:p>
      <w:pPr>
        <w:numPr>
          <w:ilvl w:val="0"/>
          <w:numId w:val="1018"/>
        </w:numPr>
        <w:pStyle w:val="Compact"/>
      </w:pPr>
      <w:r>
        <w:t xml:space="preserve">documentar lecciones aprendidas.</w:t>
      </w:r>
    </w:p>
    <w:bookmarkEnd w:id="39"/>
    <w:bookmarkEnd w:id="40"/>
    <w:bookmarkStart w:id="41" w:name="accesibilidad-y-planificación-inclusiva"/>
    <w:p>
      <w:pPr>
        <w:pStyle w:val="Heading2"/>
      </w:pPr>
      <w:r>
        <w:t xml:space="preserve">Accesibilidad y planificación inclusiva</w:t>
      </w:r>
    </w:p>
    <w:p>
      <w:pPr>
        <w:pStyle w:val="FirstParagraph"/>
      </w:pPr>
      <w:r>
        <w:t xml:space="preserve">La accesibilidad debe considerarse desde el principio, no agregarse al final.</w:t>
      </w:r>
    </w:p>
    <w:p>
      <w:pPr>
        <w:pStyle w:val="BodyText"/>
      </w:pPr>
      <w:r>
        <w:t xml:space="preserve">En Estados Unidos, el Departamento de Justicia identifica centros de convenciones, auditorios, salas de conferencias, hoteles, restaurantes, teatros y otros lugares abiertos al público entre los entornos que pueden estar sujetos a obligaciones de alojamiento público de la ADA. Las obligaciones legales aplicables dependen de la entidad, evento, ubicación y circunstancias.</w:t>
      </w:r>
    </w:p>
    <w:p>
      <w:pPr>
        <w:pStyle w:val="BodyText"/>
      </w:pPr>
      <w:r>
        <w:t xml:space="preserve">Un coordinador puede apoyar la accesibilidad consultando al responsable autorizado del evento o al lugar sobre:</w:t>
      </w:r>
    </w:p>
    <w:p>
      <w:pPr>
        <w:numPr>
          <w:ilvl w:val="0"/>
          <w:numId w:val="1019"/>
        </w:numPr>
        <w:pStyle w:val="Compact"/>
      </w:pPr>
      <w:r>
        <w:t xml:space="preserve">rutas sin escalones y entradas accesibles;</w:t>
      </w:r>
    </w:p>
    <w:p>
      <w:pPr>
        <w:numPr>
          <w:ilvl w:val="0"/>
          <w:numId w:val="1019"/>
        </w:numPr>
        <w:pStyle w:val="Compact"/>
      </w:pPr>
      <w:r>
        <w:t xml:space="preserve">asientos accesibles y para acompañantes cuando corresponda;</w:t>
      </w:r>
    </w:p>
    <w:p>
      <w:pPr>
        <w:numPr>
          <w:ilvl w:val="0"/>
          <w:numId w:val="1019"/>
        </w:numPr>
        <w:pStyle w:val="Compact"/>
      </w:pPr>
      <w:r>
        <w:t xml:space="preserve">baños accesibles;</w:t>
      </w:r>
    </w:p>
    <w:p>
      <w:pPr>
        <w:numPr>
          <w:ilvl w:val="0"/>
          <w:numId w:val="1019"/>
        </w:numPr>
        <w:pStyle w:val="Compact"/>
      </w:pPr>
      <w:r>
        <w:t xml:space="preserve">acceso a escenario o zonas de presentación;</w:t>
      </w:r>
    </w:p>
    <w:p>
      <w:pPr>
        <w:numPr>
          <w:ilvl w:val="0"/>
          <w:numId w:val="1019"/>
        </w:numPr>
        <w:pStyle w:val="Compact"/>
      </w:pPr>
      <w:r>
        <w:t xml:space="preserve">opciones de asistencia auditiva;</w:t>
      </w:r>
    </w:p>
    <w:p>
      <w:pPr>
        <w:numPr>
          <w:ilvl w:val="0"/>
          <w:numId w:val="1019"/>
        </w:numPr>
        <w:pStyle w:val="Compact"/>
      </w:pPr>
      <w:r>
        <w:t xml:space="preserve">subtitulado o interpretación;</w:t>
      </w:r>
    </w:p>
    <w:p>
      <w:pPr>
        <w:numPr>
          <w:ilvl w:val="0"/>
          <w:numId w:val="1019"/>
        </w:numPr>
        <w:pStyle w:val="Compact"/>
      </w:pPr>
      <w:r>
        <w:t xml:space="preserve">registro digital accesible;</w:t>
      </w:r>
    </w:p>
    <w:p>
      <w:pPr>
        <w:numPr>
          <w:ilvl w:val="0"/>
          <w:numId w:val="1019"/>
        </w:numPr>
        <w:pStyle w:val="Compact"/>
      </w:pPr>
      <w:r>
        <w:t xml:space="preserve">tipografías legibles y contraste claro en materiales;</w:t>
      </w:r>
    </w:p>
    <w:p>
      <w:pPr>
        <w:numPr>
          <w:ilvl w:val="0"/>
          <w:numId w:val="1019"/>
        </w:numPr>
        <w:pStyle w:val="Compact"/>
      </w:pPr>
      <w:r>
        <w:t xml:space="preserve">formatos alternativos cuando sean necesarios;</w:t>
      </w:r>
    </w:p>
    <w:p>
      <w:pPr>
        <w:numPr>
          <w:ilvl w:val="0"/>
          <w:numId w:val="1019"/>
        </w:numPr>
        <w:pStyle w:val="Compact"/>
      </w:pPr>
      <w:r>
        <w:t xml:space="preserve">procesos de comunicación sobre necesidades alimentarias y alergias;</w:t>
      </w:r>
    </w:p>
    <w:p>
      <w:pPr>
        <w:numPr>
          <w:ilvl w:val="0"/>
          <w:numId w:val="1019"/>
        </w:numPr>
        <w:pStyle w:val="Compact"/>
      </w:pPr>
      <w:r>
        <w:t xml:space="preserve">procedimientos relacionados con animales de servicio;</w:t>
      </w:r>
    </w:p>
    <w:p>
      <w:pPr>
        <w:numPr>
          <w:ilvl w:val="0"/>
          <w:numId w:val="1019"/>
        </w:numPr>
        <w:pStyle w:val="Compact"/>
      </w:pPr>
      <w:r>
        <w:t xml:space="preserve">espacios tranquilos o de menor estimulación cuando sean viables;</w:t>
      </w:r>
    </w:p>
    <w:p>
      <w:pPr>
        <w:numPr>
          <w:ilvl w:val="0"/>
          <w:numId w:val="1019"/>
        </w:numPr>
        <w:pStyle w:val="Compact"/>
      </w:pPr>
      <w:r>
        <w:t xml:space="preserve">información sobre transporte o zonas de descenso accesibles;</w:t>
      </w:r>
    </w:p>
    <w:p>
      <w:pPr>
        <w:numPr>
          <w:ilvl w:val="0"/>
          <w:numId w:val="1019"/>
        </w:numPr>
        <w:pStyle w:val="Compact"/>
      </w:pPr>
      <w:r>
        <w:t xml:space="preserve">procedimientos de asistencia durante una evacuación;</w:t>
      </w:r>
    </w:p>
    <w:p>
      <w:pPr>
        <w:numPr>
          <w:ilvl w:val="0"/>
          <w:numId w:val="1019"/>
        </w:numPr>
        <w:pStyle w:val="Compact"/>
      </w:pPr>
      <w:r>
        <w:t xml:space="preserve">mecanismos privados para solicitar adaptaciones.</w:t>
      </w:r>
    </w:p>
    <w:p>
      <w:pPr>
        <w:pStyle w:val="FirstParagraph"/>
      </w:pPr>
      <w:r>
        <w:t xml:space="preserve">No se deben pedir detalles médicos innecesarios. Se debe recopilar únicamente la información necesaria para organizar la adaptación autorizada, usar sistemas aprobados, limitar el acceso de manera adecuada y cumplir las reglas de conservación de la organización.</w:t>
      </w:r>
    </w:p>
    <w:p>
      <w:pPr>
        <w:pStyle w:val="BodyText"/>
      </w:pPr>
      <w:r>
        <w:t xml:space="preserve">Las leyes y estándares de accesibilidad varían según país y jurisdicción. Esta guía es educativa y no certifica que un evento, lugar, sitio web u organización cumpla legalmente los requisitos de accesibilidad.</w:t>
      </w:r>
    </w:p>
    <w:bookmarkEnd w:id="41"/>
    <w:bookmarkStart w:id="42" w:name="Xd8463be496f1f624b2effe6a06dbdd1618129bb"/>
    <w:p>
      <w:pPr>
        <w:pStyle w:val="Heading2"/>
      </w:pPr>
      <w:r>
        <w:t xml:space="preserve">Seguridad del evento y preparación para emergencias</w:t>
      </w:r>
    </w:p>
    <w:p>
      <w:pPr>
        <w:pStyle w:val="FirstParagraph"/>
      </w:pPr>
      <w:r>
        <w:t xml:space="preserve">La planificación de seguridad corresponde al empleador responsable, lugar, propietario del evento y profesionales calificados, no a un asistente de nivel inicial actuando por sí solo.</w:t>
      </w:r>
    </w:p>
    <w:p>
      <w:pPr>
        <w:pStyle w:val="BodyText"/>
      </w:pPr>
      <w:r>
        <w:t xml:space="preserve">La orientación de OSHA explica que los planes de acción de emergencia pueden incluir procedimientos de reporte, evacuación, contabilización de personas, funciones de emergencia y capacitación cuando las normas aplicables exigen un plan. Para el trabajo de eventos, como mínimo un coordinador debe conocer los procedimientos establecidos por el lugar y los límites de su función.</w:t>
      </w:r>
    </w:p>
    <w:p>
      <w:pPr>
        <w:pStyle w:val="BodyText"/>
      </w:pPr>
      <w:r>
        <w:t xml:space="preserve">Antes del evento, confirmar mediante el lugar o responsable autorizado:</w:t>
      </w:r>
    </w:p>
    <w:p>
      <w:pPr>
        <w:numPr>
          <w:ilvl w:val="0"/>
          <w:numId w:val="1020"/>
        </w:numPr>
        <w:pStyle w:val="Compact"/>
      </w:pPr>
      <w:r>
        <w:t xml:space="preserve">números de contacto de emergencia;</w:t>
      </w:r>
    </w:p>
    <w:p>
      <w:pPr>
        <w:numPr>
          <w:ilvl w:val="0"/>
          <w:numId w:val="1020"/>
        </w:numPr>
        <w:pStyle w:val="Compact"/>
      </w:pPr>
      <w:r>
        <w:t xml:space="preserve">quién tiene autoridad para detener o modificar el evento;</w:t>
      </w:r>
    </w:p>
    <w:p>
      <w:pPr>
        <w:numPr>
          <w:ilvl w:val="0"/>
          <w:numId w:val="1020"/>
        </w:numPr>
        <w:pStyle w:val="Compact"/>
      </w:pPr>
      <w:r>
        <w:t xml:space="preserve">rutas de evacuación y salidas;</w:t>
      </w:r>
    </w:p>
    <w:p>
      <w:pPr>
        <w:numPr>
          <w:ilvl w:val="0"/>
          <w:numId w:val="1020"/>
        </w:numPr>
        <w:pStyle w:val="Compact"/>
      </w:pPr>
      <w:r>
        <w:t xml:space="preserve">procedimientos de reunión o contabilización cuando se utilicen;</w:t>
      </w:r>
    </w:p>
    <w:p>
      <w:pPr>
        <w:numPr>
          <w:ilvl w:val="0"/>
          <w:numId w:val="1020"/>
        </w:numPr>
        <w:pStyle w:val="Compact"/>
      </w:pPr>
      <w:r>
        <w:t xml:space="preserve">proceso de respuesta médica;</w:t>
      </w:r>
    </w:p>
    <w:p>
      <w:pPr>
        <w:numPr>
          <w:ilvl w:val="0"/>
          <w:numId w:val="1020"/>
        </w:numPr>
        <w:pStyle w:val="Compact"/>
      </w:pPr>
      <w:r>
        <w:t xml:space="preserve">contactos de seguridad contra incendios o de protección de vida;</w:t>
      </w:r>
    </w:p>
    <w:p>
      <w:pPr>
        <w:numPr>
          <w:ilvl w:val="0"/>
          <w:numId w:val="1020"/>
        </w:numPr>
        <w:pStyle w:val="Compact"/>
      </w:pPr>
      <w:r>
        <w:t xml:space="preserve">procedimientos ante clima severo cuando correspondan;</w:t>
      </w:r>
    </w:p>
    <w:p>
      <w:pPr>
        <w:numPr>
          <w:ilvl w:val="0"/>
          <w:numId w:val="1020"/>
        </w:numPr>
        <w:pStyle w:val="Compact"/>
      </w:pPr>
      <w:r>
        <w:t xml:space="preserve">procedimientos de asistencia para accesibilidad;</w:t>
      </w:r>
    </w:p>
    <w:p>
      <w:pPr>
        <w:numPr>
          <w:ilvl w:val="0"/>
          <w:numId w:val="1020"/>
        </w:numPr>
        <w:pStyle w:val="Compact"/>
      </w:pPr>
      <w:r>
        <w:t xml:space="preserve">procedimiento para un menor perdido o persona vulnerable, si aplica;</w:t>
      </w:r>
    </w:p>
    <w:p>
      <w:pPr>
        <w:numPr>
          <w:ilvl w:val="0"/>
          <w:numId w:val="1020"/>
        </w:numPr>
        <w:pStyle w:val="Compact"/>
      </w:pPr>
      <w:r>
        <w:t xml:space="preserve">método para reportar incidentes;</w:t>
      </w:r>
    </w:p>
    <w:p>
      <w:pPr>
        <w:numPr>
          <w:ilvl w:val="0"/>
          <w:numId w:val="1020"/>
        </w:numPr>
        <w:pStyle w:val="Compact"/>
      </w:pPr>
      <w:r>
        <w:t xml:space="preserve">quién se comunica con servicios públicos de emergencia;</w:t>
      </w:r>
    </w:p>
    <w:p>
      <w:pPr>
        <w:numPr>
          <w:ilvl w:val="0"/>
          <w:numId w:val="1020"/>
        </w:numPr>
        <w:pStyle w:val="Compact"/>
      </w:pPr>
      <w:r>
        <w:t xml:space="preserve">método de comunicación de respaldo si los sistemas normales fallan.</w:t>
      </w:r>
    </w:p>
    <w:p>
      <w:pPr>
        <w:pStyle w:val="FirstParagraph"/>
      </w:pPr>
      <w:r>
        <w:t xml:space="preserve">No se deben obstruir salidas, exceder límites de ocupación asignados, desactivar sistemas de seguridad, dirigir personas a áreas restringidas ni ignorar instrucciones de respondientes autorizados.</w:t>
      </w:r>
    </w:p>
    <w:p>
      <w:pPr>
        <w:pStyle w:val="BodyText"/>
      </w:pPr>
      <w:r>
        <w:t xml:space="preserve">Para eventos grandes, de alto riesgo, al aire libre, políticos, de entretenimiento, con alcohol, pirotecnia, estructuras temporales o grandes concentraciones de personas, pueden requerirse planificación especializada y permisos locales. El trabajador debe identificar a los profesionales y autoridades responsables en lugar de intentar autocertificar el cumplimiento.</w:t>
      </w:r>
    </w:p>
    <w:bookmarkEnd w:id="42"/>
    <w:bookmarkStart w:id="43" w:name="privacidad-y-ciberseguridad"/>
    <w:p>
      <w:pPr>
        <w:pStyle w:val="Heading2"/>
      </w:pPr>
      <w:r>
        <w:t xml:space="preserve">Privacidad y ciberseguridad</w:t>
      </w:r>
    </w:p>
    <w:p>
      <w:pPr>
        <w:pStyle w:val="FirstParagraph"/>
      </w:pPr>
      <w:r>
        <w:t xml:space="preserve">Las operaciones de eventos pueden manejar información personal y empresarial valiosa:</w:t>
      </w:r>
    </w:p>
    <w:p>
      <w:pPr>
        <w:numPr>
          <w:ilvl w:val="0"/>
          <w:numId w:val="1021"/>
        </w:numPr>
        <w:pStyle w:val="Compact"/>
      </w:pPr>
      <w:r>
        <w:t xml:space="preserve">nombres y datos de contacto de asistentes;</w:t>
      </w:r>
    </w:p>
    <w:p>
      <w:pPr>
        <w:numPr>
          <w:ilvl w:val="0"/>
          <w:numId w:val="1021"/>
        </w:numPr>
        <w:pStyle w:val="Compact"/>
      </w:pPr>
      <w:r>
        <w:t xml:space="preserve">afiliación a empleadores u organizaciones;</w:t>
      </w:r>
    </w:p>
    <w:p>
      <w:pPr>
        <w:numPr>
          <w:ilvl w:val="0"/>
          <w:numId w:val="1021"/>
        </w:numPr>
        <w:pStyle w:val="Compact"/>
      </w:pPr>
      <w:r>
        <w:t xml:space="preserve">información de viajes y hoteles;</w:t>
      </w:r>
    </w:p>
    <w:p>
      <w:pPr>
        <w:numPr>
          <w:ilvl w:val="0"/>
          <w:numId w:val="1021"/>
        </w:numPr>
        <w:pStyle w:val="Compact"/>
      </w:pPr>
      <w:r>
        <w:t xml:space="preserve">información alimentaria;</w:t>
      </w:r>
    </w:p>
    <w:p>
      <w:pPr>
        <w:numPr>
          <w:ilvl w:val="0"/>
          <w:numId w:val="1021"/>
        </w:numPr>
        <w:pStyle w:val="Compact"/>
      </w:pPr>
      <w:r>
        <w:t xml:space="preserve">solicitudes de accesibilidad;</w:t>
      </w:r>
    </w:p>
    <w:p>
      <w:pPr>
        <w:numPr>
          <w:ilvl w:val="0"/>
          <w:numId w:val="1021"/>
        </w:numPr>
        <w:pStyle w:val="Compact"/>
      </w:pPr>
      <w:r>
        <w:t xml:space="preserve">horarios de ponentes;</w:t>
      </w:r>
    </w:p>
    <w:p>
      <w:pPr>
        <w:numPr>
          <w:ilvl w:val="0"/>
          <w:numId w:val="1021"/>
        </w:numPr>
        <w:pStyle w:val="Compact"/>
      </w:pPr>
      <w:r>
        <w:t xml:space="preserve">itinerarios de ejecutivos o personas VIP;</w:t>
      </w:r>
    </w:p>
    <w:p>
      <w:pPr>
        <w:numPr>
          <w:ilvl w:val="0"/>
          <w:numId w:val="1021"/>
        </w:numPr>
        <w:pStyle w:val="Compact"/>
      </w:pPr>
      <w:r>
        <w:t xml:space="preserve">información de pago;</w:t>
      </w:r>
    </w:p>
    <w:p>
      <w:pPr>
        <w:numPr>
          <w:ilvl w:val="0"/>
          <w:numId w:val="1021"/>
        </w:numPr>
        <w:pStyle w:val="Compact"/>
      </w:pPr>
      <w:r>
        <w:t xml:space="preserve">datos bancarios de proveedores;</w:t>
      </w:r>
    </w:p>
    <w:p>
      <w:pPr>
        <w:numPr>
          <w:ilvl w:val="0"/>
          <w:numId w:val="1021"/>
        </w:numPr>
        <w:pStyle w:val="Compact"/>
      </w:pPr>
      <w:r>
        <w:t xml:space="preserve">contratos y precios;</w:t>
      </w:r>
    </w:p>
    <w:p>
      <w:pPr>
        <w:numPr>
          <w:ilvl w:val="0"/>
          <w:numId w:val="1021"/>
        </w:numPr>
        <w:pStyle w:val="Compact"/>
      </w:pPr>
      <w:r>
        <w:t xml:space="preserve">identificaciones o códigos QR;</w:t>
      </w:r>
    </w:p>
    <w:p>
      <w:pPr>
        <w:numPr>
          <w:ilvl w:val="0"/>
          <w:numId w:val="1021"/>
        </w:numPr>
        <w:pStyle w:val="Compact"/>
      </w:pPr>
      <w:r>
        <w:t xml:space="preserve">enlaces y credenciales de reuniones virtuales;</w:t>
      </w:r>
    </w:p>
    <w:p>
      <w:pPr>
        <w:numPr>
          <w:ilvl w:val="0"/>
          <w:numId w:val="1021"/>
        </w:numPr>
        <w:pStyle w:val="Compact"/>
      </w:pPr>
      <w:r>
        <w:t xml:space="preserve">fotografías o grabaciones;</w:t>
      </w:r>
    </w:p>
    <w:p>
      <w:pPr>
        <w:numPr>
          <w:ilvl w:val="0"/>
          <w:numId w:val="1021"/>
        </w:numPr>
        <w:pStyle w:val="Compact"/>
      </w:pPr>
      <w:r>
        <w:t xml:space="preserve">agendas internas o presentaciones confidenciales.</w:t>
      </w:r>
    </w:p>
    <w:p>
      <w:pPr>
        <w:pStyle w:val="FirstParagraph"/>
      </w:pPr>
      <w:r>
        <w:t xml:space="preserve">La guía Secure Our World de CISA destaca la identificación de</w:t>
      </w:r>
      <w:r>
        <w:t xml:space="preserve"> </w:t>
      </w:r>
      <w:r>
        <w:rPr>
          <w:iCs/>
          <w:i/>
        </w:rPr>
        <w:t xml:space="preserve">phishing</w:t>
      </w:r>
      <w:r>
        <w:t xml:space="preserve">, las contraseñas fuertes, la autenticación multifactor y las actualizaciones de software. Estos principios deben aplicarse mediante sistemas y procedimientos aprobados por el empleador.</w:t>
      </w:r>
    </w:p>
    <w:p>
      <w:pPr>
        <w:pStyle w:val="BodyText"/>
      </w:pPr>
      <w:r>
        <w:t xml:space="preserve">Buenas prácticas incluyen:</w:t>
      </w:r>
    </w:p>
    <w:p>
      <w:pPr>
        <w:numPr>
          <w:ilvl w:val="0"/>
          <w:numId w:val="1022"/>
        </w:numPr>
        <w:pStyle w:val="Compact"/>
      </w:pPr>
      <w:r>
        <w:t xml:space="preserve">habilitar MFA cuando la organización lo permita;</w:t>
      </w:r>
    </w:p>
    <w:p>
      <w:pPr>
        <w:numPr>
          <w:ilvl w:val="0"/>
          <w:numId w:val="1022"/>
        </w:numPr>
        <w:pStyle w:val="Compact"/>
      </w:pPr>
      <w:r>
        <w:t xml:space="preserve">usar credenciales únicas y un administrador de contraseñas aprobado cuando esté disponible;</w:t>
      </w:r>
    </w:p>
    <w:p>
      <w:pPr>
        <w:numPr>
          <w:ilvl w:val="0"/>
          <w:numId w:val="1022"/>
        </w:numPr>
        <w:pStyle w:val="Compact"/>
      </w:pPr>
      <w:r>
        <w:t xml:space="preserve">verificar solicitudes inesperadas para cambiar instrucciones bancarias o de pago de un proveedor mediante un método de contacto independiente y aprobado;</w:t>
      </w:r>
    </w:p>
    <w:p>
      <w:pPr>
        <w:numPr>
          <w:ilvl w:val="0"/>
          <w:numId w:val="1022"/>
        </w:numPr>
        <w:pStyle w:val="Compact"/>
      </w:pPr>
      <w:r>
        <w:t xml:space="preserve">no enviar hojas de cálculo con asistentes al correo personal;</w:t>
      </w:r>
    </w:p>
    <w:p>
      <w:pPr>
        <w:numPr>
          <w:ilvl w:val="0"/>
          <w:numId w:val="1022"/>
        </w:numPr>
        <w:pStyle w:val="Compact"/>
      </w:pPr>
      <w:r>
        <w:t xml:space="preserve">evitar enlaces públicos que expongan datos privados de registro o reuniones;</w:t>
      </w:r>
    </w:p>
    <w:p>
      <w:pPr>
        <w:numPr>
          <w:ilvl w:val="0"/>
          <w:numId w:val="1022"/>
        </w:numPr>
        <w:pStyle w:val="Compact"/>
      </w:pPr>
      <w:r>
        <w:t xml:space="preserve">dar acceso solo a quienes lo necesiten;</w:t>
      </w:r>
    </w:p>
    <w:p>
      <w:pPr>
        <w:numPr>
          <w:ilvl w:val="0"/>
          <w:numId w:val="1022"/>
        </w:numPr>
        <w:pStyle w:val="Compact"/>
      </w:pPr>
      <w:r>
        <w:t xml:space="preserve">retirar el acceso al finalizar el proyecto si esa tarea forma parte del puesto;</w:t>
      </w:r>
    </w:p>
    <w:p>
      <w:pPr>
        <w:numPr>
          <w:ilvl w:val="0"/>
          <w:numId w:val="1022"/>
        </w:numPr>
        <w:pStyle w:val="Compact"/>
      </w:pPr>
      <w:r>
        <w:t xml:space="preserve">no reutilizar enlaces públicos antiguos para sesiones confidenciales;</w:t>
      </w:r>
    </w:p>
    <w:p>
      <w:pPr>
        <w:numPr>
          <w:ilvl w:val="0"/>
          <w:numId w:val="1022"/>
        </w:numPr>
        <w:pStyle w:val="Compact"/>
      </w:pPr>
      <w:r>
        <w:t xml:space="preserve">verificar al destinatario antes de enviar información de asistentes o contratos;</w:t>
      </w:r>
    </w:p>
    <w:p>
      <w:pPr>
        <w:numPr>
          <w:ilvl w:val="0"/>
          <w:numId w:val="1022"/>
        </w:numPr>
        <w:pStyle w:val="Compact"/>
      </w:pPr>
      <w:r>
        <w:t xml:space="preserve">reportar rápidamente sospechas de</w:t>
      </w:r>
      <w:r>
        <w:t xml:space="preserve"> </w:t>
      </w:r>
      <w:r>
        <w:rPr>
          <w:iCs/>
          <w:i/>
        </w:rPr>
        <w:t xml:space="preserve">phishing</w:t>
      </w:r>
      <w:r>
        <w:t xml:space="preserve">, fraude, compromiso de cuenta o exposición de datos;</w:t>
      </w:r>
    </w:p>
    <w:p>
      <w:pPr>
        <w:numPr>
          <w:ilvl w:val="0"/>
          <w:numId w:val="1022"/>
        </w:numPr>
        <w:pStyle w:val="Compact"/>
      </w:pPr>
      <w:r>
        <w:t xml:space="preserve">seguir las reglas de retención y eliminación del empleador;</w:t>
      </w:r>
    </w:p>
    <w:p>
      <w:pPr>
        <w:numPr>
          <w:ilvl w:val="0"/>
          <w:numId w:val="1022"/>
        </w:numPr>
        <w:pStyle w:val="Compact"/>
      </w:pPr>
      <w:r>
        <w:t xml:space="preserve">no recopilar información sensible adicional “por si acaso”.</w:t>
      </w:r>
    </w:p>
    <w:p>
      <w:pPr>
        <w:pStyle w:val="FirstParagraph"/>
      </w:pPr>
      <w:r>
        <w:t xml:space="preserve">Un coordinador no debe inventar una política de ciberseguridad. Debe seguir las herramientas, controles y rutas de escalamiento aprobadas por la organización.</w:t>
      </w:r>
    </w:p>
    <w:bookmarkEnd w:id="43"/>
    <w:bookmarkStart w:id="44" w:name="X4383a75c98b131fc4354735fa52f3d5847cabac"/>
    <w:p>
      <w:pPr>
        <w:pStyle w:val="Heading2"/>
      </w:pPr>
      <w:r>
        <w:t xml:space="preserve">Uso responsable de inteligencia artificial en eventos</w:t>
      </w:r>
    </w:p>
    <w:p>
      <w:pPr>
        <w:pStyle w:val="FirstParagraph"/>
      </w:pPr>
      <w:r>
        <w:t xml:space="preserve">La IA puede ser útil para tareas de bajo riesgo cuando la organización lo permita.</w:t>
      </w:r>
    </w:p>
    <w:p>
      <w:pPr>
        <w:pStyle w:val="BodyText"/>
      </w:pPr>
      <w:r>
        <w:t xml:space="preserve">Usos razonables pueden incluir:</w:t>
      </w:r>
    </w:p>
    <w:p>
      <w:pPr>
        <w:numPr>
          <w:ilvl w:val="0"/>
          <w:numId w:val="1023"/>
        </w:numPr>
        <w:pStyle w:val="Compact"/>
      </w:pPr>
      <w:r>
        <w:t xml:space="preserve">generar ideas de temas o estructuras de agenda;</w:t>
      </w:r>
    </w:p>
    <w:p>
      <w:pPr>
        <w:numPr>
          <w:ilvl w:val="0"/>
          <w:numId w:val="1023"/>
        </w:numPr>
        <w:pStyle w:val="Compact"/>
      </w:pPr>
      <w:r>
        <w:t xml:space="preserve">crear un primer borrador de lista de verificación;</w:t>
      </w:r>
    </w:p>
    <w:p>
      <w:pPr>
        <w:numPr>
          <w:ilvl w:val="0"/>
          <w:numId w:val="1023"/>
        </w:numPr>
        <w:pStyle w:val="Compact"/>
      </w:pPr>
      <w:r>
        <w:t xml:space="preserve">redactar lenguaje rutinario para invitaciones;</w:t>
      </w:r>
    </w:p>
    <w:p>
      <w:pPr>
        <w:numPr>
          <w:ilvl w:val="0"/>
          <w:numId w:val="1023"/>
        </w:numPr>
        <w:pStyle w:val="Compact"/>
      </w:pPr>
      <w:r>
        <w:t xml:space="preserve">convertir notas en una lista de acciones;</w:t>
      </w:r>
    </w:p>
    <w:p>
      <w:pPr>
        <w:numPr>
          <w:ilvl w:val="0"/>
          <w:numId w:val="1023"/>
        </w:numPr>
        <w:pStyle w:val="Compact"/>
      </w:pPr>
      <w:r>
        <w:t xml:space="preserve">revisar comunicaciones no sensibles;</w:t>
      </w:r>
    </w:p>
    <w:p>
      <w:pPr>
        <w:numPr>
          <w:ilvl w:val="0"/>
          <w:numId w:val="1023"/>
        </w:numPr>
        <w:pStyle w:val="Compact"/>
      </w:pPr>
      <w:r>
        <w:t xml:space="preserve">sugerir categorías para revisar riesgos o logística;</w:t>
      </w:r>
    </w:p>
    <w:p>
      <w:pPr>
        <w:numPr>
          <w:ilvl w:val="0"/>
          <w:numId w:val="1023"/>
        </w:numPr>
        <w:pStyle w:val="Compact"/>
      </w:pPr>
      <w:r>
        <w:t xml:space="preserve">generar escenarios ficticios de práctica;</w:t>
      </w:r>
    </w:p>
    <w:p>
      <w:pPr>
        <w:numPr>
          <w:ilvl w:val="0"/>
          <w:numId w:val="1023"/>
        </w:numPr>
        <w:pStyle w:val="Compact"/>
      </w:pPr>
      <w:r>
        <w:t xml:space="preserve">resumir información pública no sensible;</w:t>
      </w:r>
    </w:p>
    <w:p>
      <w:pPr>
        <w:numPr>
          <w:ilvl w:val="0"/>
          <w:numId w:val="1023"/>
        </w:numPr>
        <w:pStyle w:val="Compact"/>
      </w:pPr>
      <w:r>
        <w:t xml:space="preserve">crear un primer borrador de encuesta posterior al evento.</w:t>
      </w:r>
    </w:p>
    <w:p>
      <w:pPr>
        <w:pStyle w:val="FirstParagraph"/>
      </w:pPr>
      <w:r>
        <w:t xml:space="preserve">Aun así, se requiere verificación humana.</w:t>
      </w:r>
    </w:p>
    <w:p>
      <w:pPr>
        <w:pStyle w:val="BodyText"/>
      </w:pPr>
      <w:r>
        <w:t xml:space="preserve">No se debe depender únicamente de IA para:</w:t>
      </w:r>
    </w:p>
    <w:p>
      <w:pPr>
        <w:numPr>
          <w:ilvl w:val="0"/>
          <w:numId w:val="1024"/>
        </w:numPr>
        <w:pStyle w:val="Compact"/>
      </w:pPr>
      <w:r>
        <w:t xml:space="preserve">interpretar contratos;</w:t>
      </w:r>
    </w:p>
    <w:p>
      <w:pPr>
        <w:numPr>
          <w:ilvl w:val="0"/>
          <w:numId w:val="1024"/>
        </w:numPr>
        <w:pStyle w:val="Compact"/>
      </w:pPr>
      <w:r>
        <w:t xml:space="preserve">precios o disponibilidad en tiempo real;</w:t>
      </w:r>
    </w:p>
    <w:p>
      <w:pPr>
        <w:numPr>
          <w:ilvl w:val="0"/>
          <w:numId w:val="1024"/>
        </w:numPr>
        <w:pStyle w:val="Compact"/>
      </w:pPr>
      <w:r>
        <w:t xml:space="preserve">requisitos legales;</w:t>
      </w:r>
    </w:p>
    <w:p>
      <w:pPr>
        <w:numPr>
          <w:ilvl w:val="0"/>
          <w:numId w:val="1024"/>
        </w:numPr>
        <w:pStyle w:val="Compact"/>
      </w:pPr>
      <w:r>
        <w:t xml:space="preserve">permisos;</w:t>
      </w:r>
    </w:p>
    <w:p>
      <w:pPr>
        <w:numPr>
          <w:ilvl w:val="0"/>
          <w:numId w:val="1024"/>
        </w:numPr>
        <w:pStyle w:val="Compact"/>
      </w:pPr>
      <w:r>
        <w:t xml:space="preserve">cobertura de seguros;</w:t>
      </w:r>
    </w:p>
    <w:p>
      <w:pPr>
        <w:numPr>
          <w:ilvl w:val="0"/>
          <w:numId w:val="1024"/>
        </w:numPr>
        <w:pStyle w:val="Compact"/>
      </w:pPr>
      <w:r>
        <w:t xml:space="preserve">instrucciones de emergencia;</w:t>
      </w:r>
    </w:p>
    <w:p>
      <w:pPr>
        <w:numPr>
          <w:ilvl w:val="0"/>
          <w:numId w:val="1024"/>
        </w:numPr>
        <w:pStyle w:val="Compact"/>
      </w:pPr>
      <w:r>
        <w:t xml:space="preserve">límites de ocupación o requisitos de seguridad del lugar;</w:t>
      </w:r>
    </w:p>
    <w:p>
      <w:pPr>
        <w:numPr>
          <w:ilvl w:val="0"/>
          <w:numId w:val="1024"/>
        </w:numPr>
        <w:pStyle w:val="Compact"/>
      </w:pPr>
      <w:r>
        <w:t xml:space="preserve">compromisos de accesibilidad;</w:t>
      </w:r>
    </w:p>
    <w:p>
      <w:pPr>
        <w:numPr>
          <w:ilvl w:val="0"/>
          <w:numId w:val="1024"/>
        </w:numPr>
        <w:pStyle w:val="Compact"/>
      </w:pPr>
      <w:r>
        <w:t xml:space="preserve">cambios de pago de proveedores;</w:t>
      </w:r>
    </w:p>
    <w:p>
      <w:pPr>
        <w:numPr>
          <w:ilvl w:val="0"/>
          <w:numId w:val="1024"/>
        </w:numPr>
        <w:pStyle w:val="Compact"/>
      </w:pPr>
      <w:r>
        <w:t xml:space="preserve">requisitos de visa o viaje;</w:t>
      </w:r>
    </w:p>
    <w:p>
      <w:pPr>
        <w:numPr>
          <w:ilvl w:val="0"/>
          <w:numId w:val="1024"/>
        </w:numPr>
        <w:pStyle w:val="Compact"/>
      </w:pPr>
      <w:r>
        <w:t xml:space="preserve">decisiones tributarias;</w:t>
      </w:r>
    </w:p>
    <w:p>
      <w:pPr>
        <w:numPr>
          <w:ilvl w:val="0"/>
          <w:numId w:val="1024"/>
        </w:numPr>
        <w:pStyle w:val="Compact"/>
      </w:pPr>
      <w:r>
        <w:t xml:space="preserve">requisitos de servicio de alcohol;</w:t>
      </w:r>
    </w:p>
    <w:p>
      <w:pPr>
        <w:numPr>
          <w:ilvl w:val="0"/>
          <w:numId w:val="1024"/>
        </w:numPr>
        <w:pStyle w:val="Compact"/>
      </w:pPr>
      <w:r>
        <w:t xml:space="preserve">orientación médica;</w:t>
      </w:r>
    </w:p>
    <w:p>
      <w:pPr>
        <w:numPr>
          <w:ilvl w:val="0"/>
          <w:numId w:val="1024"/>
        </w:numPr>
        <w:pStyle w:val="Compact"/>
      </w:pPr>
      <w:r>
        <w:t xml:space="preserve">decisiones de seguridad;</w:t>
      </w:r>
    </w:p>
    <w:p>
      <w:pPr>
        <w:numPr>
          <w:ilvl w:val="0"/>
          <w:numId w:val="1024"/>
        </w:numPr>
        <w:pStyle w:val="Compact"/>
      </w:pPr>
      <w:r>
        <w:t xml:space="preserve">listas finales de asistentes;</w:t>
      </w:r>
    </w:p>
    <w:p>
      <w:pPr>
        <w:numPr>
          <w:ilvl w:val="0"/>
          <w:numId w:val="1024"/>
        </w:numPr>
        <w:pStyle w:val="Compact"/>
      </w:pPr>
      <w:r>
        <w:t xml:space="preserve">agendas confidenciales de ejecutivos.</w:t>
      </w:r>
    </w:p>
    <w:p>
      <w:pPr>
        <w:pStyle w:val="FirstParagraph"/>
      </w:pPr>
      <w:r>
        <w:t xml:space="preserve">No se debe introducir en una herramienta de IA información privada de asistentes, información sobre discapacidad, datos de tarjetas de pago, datos bancarios, contraseñas, tokens de acceso, contratos no publicados, presentaciones confidenciales u otra información protegida, salvo que la organización haya aprobado expresamente esa herramienta y ese caso de uso.</w:t>
      </w:r>
    </w:p>
    <w:p>
      <w:pPr>
        <w:pStyle w:val="BodyText"/>
      </w:pPr>
      <w:r>
        <w:t xml:space="preserve">El Marco de Gestión de Riesgos de IA de NIST ofrece una estructura voluntaria para gestionar riesgos de IA. Una regla práctica para eventos es:</w:t>
      </w:r>
      <w:r>
        <w:t xml:space="preserve"> </w:t>
      </w:r>
      <w:r>
        <w:rPr>
          <w:bCs/>
          <w:b/>
        </w:rPr>
        <w:t xml:space="preserve">la IA puede ayudar a redactar u organizar; una persona autorizada debe verificar los hechos y decisiones de consecuencias importantes contra sistemas fuente actuales y confiables.</w:t>
      </w:r>
    </w:p>
    <w:bookmarkEnd w:id="44"/>
    <w:bookmarkStart w:id="45" w:name="X2e40e8b476a4f61d95f2f6df22dd9e800baac25"/>
    <w:p>
      <w:pPr>
        <w:pStyle w:val="Heading2"/>
      </w:pPr>
      <w:r>
        <w:t xml:space="preserve">Educación y rutas de entrada — Estados Unidos</w:t>
      </w:r>
    </w:p>
    <w:p>
      <w:pPr>
        <w:pStyle w:val="FirstParagraph"/>
      </w:pPr>
      <w:r>
        <w:t xml:space="preserve">BLS informa que los planificadores de reuniones, convenciones y eventos normalmente necesitan una</w:t>
      </w:r>
      <w:r>
        <w:t xml:space="preserve"> </w:t>
      </w:r>
      <w:r>
        <w:rPr>
          <w:bCs/>
          <w:b/>
        </w:rPr>
        <w:t xml:space="preserve">licenciatura</w:t>
      </w:r>
      <w:r>
        <w:t xml:space="preserve">, aunque la experiencia relacionada con planificación de eventos puede ser útil. O*NET ubica la ocupación en una zona de preparación más alta, lo cual coincide con muchos puestos completos de planificador.</w:t>
      </w:r>
    </w:p>
    <w:p>
      <w:pPr>
        <w:pStyle w:val="BodyText"/>
      </w:pPr>
      <w:r>
        <w:t xml:space="preserve">Esto no significa que cada puesto de asistente o coordinador de eventos requiera el mismo título universitario. Los empleadores pueden contratar personas con:</w:t>
      </w:r>
    </w:p>
    <w:p>
      <w:pPr>
        <w:numPr>
          <w:ilvl w:val="0"/>
          <w:numId w:val="1025"/>
        </w:numPr>
        <w:pStyle w:val="Compact"/>
      </w:pPr>
      <w:r>
        <w:t xml:space="preserve">experiencia en hotelería;</w:t>
      </w:r>
    </w:p>
    <w:p>
      <w:pPr>
        <w:numPr>
          <w:ilvl w:val="0"/>
          <w:numId w:val="1025"/>
        </w:numPr>
        <w:pStyle w:val="Compact"/>
      </w:pPr>
      <w:r>
        <w:t xml:space="preserve">experiencia de apoyo administrativo;</w:t>
      </w:r>
    </w:p>
    <w:p>
      <w:pPr>
        <w:numPr>
          <w:ilvl w:val="0"/>
          <w:numId w:val="1025"/>
        </w:numPr>
        <w:pStyle w:val="Compact"/>
      </w:pPr>
      <w:r>
        <w:t xml:space="preserve">experiencia de servicio al cliente;</w:t>
      </w:r>
    </w:p>
    <w:p>
      <w:pPr>
        <w:numPr>
          <w:ilvl w:val="0"/>
          <w:numId w:val="1025"/>
        </w:numPr>
        <w:pStyle w:val="Compact"/>
      </w:pPr>
      <w:r>
        <w:t xml:space="preserve">experiencia en hoteles o banquetes;</w:t>
      </w:r>
    </w:p>
    <w:p>
      <w:pPr>
        <w:numPr>
          <w:ilvl w:val="0"/>
          <w:numId w:val="1025"/>
        </w:numPr>
        <w:pStyle w:val="Compact"/>
      </w:pPr>
      <w:r>
        <w:t xml:space="preserve">experiencia en mercadeo o comunicaciones;</w:t>
      </w:r>
    </w:p>
    <w:p>
      <w:pPr>
        <w:numPr>
          <w:ilvl w:val="0"/>
          <w:numId w:val="1025"/>
        </w:numPr>
        <w:pStyle w:val="Compact"/>
      </w:pPr>
      <w:r>
        <w:t xml:space="preserve">experiencia en eventos comunitarios o sin fines de lucro;</w:t>
      </w:r>
    </w:p>
    <w:p>
      <w:pPr>
        <w:numPr>
          <w:ilvl w:val="0"/>
          <w:numId w:val="1025"/>
        </w:numPr>
        <w:pStyle w:val="Compact"/>
      </w:pPr>
      <w:r>
        <w:t xml:space="preserve">certificado o programa de nivel asociado;</w:t>
      </w:r>
    </w:p>
    <w:p>
      <w:pPr>
        <w:numPr>
          <w:ilvl w:val="0"/>
          <w:numId w:val="1025"/>
        </w:numPr>
        <w:pStyle w:val="Compact"/>
      </w:pPr>
      <w:r>
        <w:t xml:space="preserve">experiencia de práctica profesional;</w:t>
      </w:r>
    </w:p>
    <w:p>
      <w:pPr>
        <w:numPr>
          <w:ilvl w:val="0"/>
          <w:numId w:val="1025"/>
        </w:numPr>
        <w:pStyle w:val="Compact"/>
      </w:pPr>
      <w:r>
        <w:t xml:space="preserve">portafolio sólido junto con experiencia relevante.</w:t>
      </w:r>
    </w:p>
    <w:p>
      <w:pPr>
        <w:pStyle w:val="FirstParagraph"/>
      </w:pPr>
      <w:r>
        <w:t xml:space="preserve">Una secuencia de bajo costo puede ser:</w:t>
      </w:r>
    </w:p>
    <w:p>
      <w:pPr>
        <w:numPr>
          <w:ilvl w:val="0"/>
          <w:numId w:val="1026"/>
        </w:numPr>
        <w:pStyle w:val="Compact"/>
      </w:pPr>
      <w:r>
        <w:t xml:space="preserve">fortalecer correo electrónico, calendario, hojas de cálculo, documentos y servicio al cliente;</w:t>
      </w:r>
    </w:p>
    <w:p>
      <w:pPr>
        <w:numPr>
          <w:ilvl w:val="0"/>
          <w:numId w:val="1026"/>
        </w:numPr>
        <w:pStyle w:val="Compact"/>
      </w:pPr>
      <w:r>
        <w:t xml:space="preserve">aprender vocabulario básico de eventos y el ciclo de vida del evento;</w:t>
      </w:r>
    </w:p>
    <w:p>
      <w:pPr>
        <w:numPr>
          <w:ilvl w:val="0"/>
          <w:numId w:val="1026"/>
        </w:numPr>
        <w:pStyle w:val="Compact"/>
      </w:pPr>
      <w:r>
        <w:t xml:space="preserve">practicar un plan ficticio sin datos personales reales;</w:t>
      </w:r>
    </w:p>
    <w:p>
      <w:pPr>
        <w:numPr>
          <w:ilvl w:val="0"/>
          <w:numId w:val="1026"/>
        </w:numPr>
        <w:pStyle w:val="Compact"/>
      </w:pPr>
      <w:r>
        <w:t xml:space="preserve">participar como voluntario o trabajar en un entorno supervisado cuando corresponda;</w:t>
      </w:r>
    </w:p>
    <w:p>
      <w:pPr>
        <w:numPr>
          <w:ilvl w:val="0"/>
          <w:numId w:val="1026"/>
        </w:numPr>
        <w:pStyle w:val="Compact"/>
      </w:pPr>
      <w:r>
        <w:t xml:space="preserve">construir un portafolio sencillo con artefactos de planificación;</w:t>
      </w:r>
    </w:p>
    <w:p>
      <w:pPr>
        <w:numPr>
          <w:ilvl w:val="0"/>
          <w:numId w:val="1026"/>
        </w:numPr>
        <w:pStyle w:val="Compact"/>
      </w:pPr>
      <w:r>
        <w:t xml:space="preserve">postularse a puestos como asistente de eventos, asistente de reuniones, asistente de conferencias, asistente de registro, coordinador de banquetes, asistente de programas, coordinador administrativo o coordinador júnior de eventos;</w:t>
      </w:r>
    </w:p>
    <w:p>
      <w:pPr>
        <w:numPr>
          <w:ilvl w:val="0"/>
          <w:numId w:val="1026"/>
        </w:numPr>
        <w:pStyle w:val="Compact"/>
      </w:pPr>
      <w:r>
        <w:t xml:space="preserve">aprender los sistemas aprobados, procedimientos de seguridad, proceso de proveedores y controles presupuestarios del empleador;</w:t>
      </w:r>
    </w:p>
    <w:p>
      <w:pPr>
        <w:numPr>
          <w:ilvl w:val="0"/>
          <w:numId w:val="1026"/>
        </w:numPr>
        <w:pStyle w:val="Compact"/>
      </w:pPr>
      <w:r>
        <w:t xml:space="preserve">asumir responsabilidades más amplias de coordinación o planificación después de demostrar una ejecución confiable.</w:t>
      </w:r>
    </w:p>
    <w:bookmarkEnd w:id="45"/>
    <w:bookmarkStart w:id="49" w:name="Xfe183080c85391f2e77766d2fe3f10f1f7bdf3c"/>
    <w:p>
      <w:pPr>
        <w:pStyle w:val="Heading2"/>
      </w:pPr>
      <w:r>
        <w:t xml:space="preserve">Financiamiento, capacitación gratuita o de bajo costo y aprendizaje basado en el trabajo — Estados Unidos</w:t>
      </w:r>
    </w:p>
    <w:bookmarkStart w:id="47" w:name="careeronestop-y-american-job-centers"/>
    <w:p>
      <w:pPr>
        <w:pStyle w:val="Heading3"/>
      </w:pPr>
      <w:r>
        <w:t xml:space="preserve">CareerOneStop y American Job Centers</w:t>
      </w:r>
    </w:p>
    <w:p>
      <w:pPr>
        <w:pStyle w:val="FirstParagraph"/>
      </w:pPr>
      <w:r>
        <w:t xml:space="preserve">El WIOA-Eligible Training Program Finder de CareerOneStop ayuda a identificar directorios estatales de programas que pueden ser elegibles para apoyo bajo la Workforce Innovation and Opportunity Act:</w:t>
      </w:r>
    </w:p>
    <w:p>
      <w:pPr>
        <w:pStyle w:val="BodyText"/>
      </w:pPr>
      <w:hyperlink r:id="rId46">
        <w:hyperlink r:id="rId46">
          <w:r>
            <w:rPr>
              <w:rStyle w:val="Hyperlink"/>
            </w:rPr>
            <w:t xml:space="preserve">Source link</w:t>
          </w:r>
        </w:hyperlink>
      </w:hyperlink>
    </w:p>
    <w:p>
      <w:pPr>
        <w:pStyle w:val="BodyText"/>
      </w:pPr>
      <w:r>
        <w:t xml:space="preserve">La elegibilidad WIOA, el financiamiento, servicios de apoyo y proveedores aprobados varían. El financiamiento no es automático. Un American Job Center puede explicar la elegibilidad y los servicios locales.</w:t>
      </w:r>
    </w:p>
    <w:p>
      <w:pPr>
        <w:pStyle w:val="BodyText"/>
      </w:pPr>
      <w:r>
        <w:t xml:space="preserve">Conviene buscar categorías relacionadas además del título exacto del evento. Entre ellas:</w:t>
      </w:r>
    </w:p>
    <w:p>
      <w:pPr>
        <w:numPr>
          <w:ilvl w:val="0"/>
          <w:numId w:val="1027"/>
        </w:numPr>
        <w:pStyle w:val="Compact"/>
      </w:pPr>
      <w:r>
        <w:t xml:space="preserve">hotelería;</w:t>
      </w:r>
    </w:p>
    <w:p>
      <w:pPr>
        <w:numPr>
          <w:ilvl w:val="0"/>
          <w:numId w:val="1027"/>
        </w:numPr>
        <w:pStyle w:val="Compact"/>
      </w:pPr>
      <w:r>
        <w:t xml:space="preserve">turismo;</w:t>
      </w:r>
    </w:p>
    <w:p>
      <w:pPr>
        <w:numPr>
          <w:ilvl w:val="0"/>
          <w:numId w:val="1027"/>
        </w:numPr>
        <w:pStyle w:val="Compact"/>
      </w:pPr>
      <w:r>
        <w:t xml:space="preserve">administración de empresas;</w:t>
      </w:r>
    </w:p>
    <w:p>
      <w:pPr>
        <w:numPr>
          <w:ilvl w:val="0"/>
          <w:numId w:val="1027"/>
        </w:numPr>
        <w:pStyle w:val="Compact"/>
      </w:pPr>
      <w:r>
        <w:t xml:space="preserve">coordinación de proyectos;</w:t>
      </w:r>
    </w:p>
    <w:p>
      <w:pPr>
        <w:numPr>
          <w:ilvl w:val="0"/>
          <w:numId w:val="1027"/>
        </w:numPr>
        <w:pStyle w:val="Compact"/>
      </w:pPr>
      <w:r>
        <w:t xml:space="preserve">mercadeo;</w:t>
      </w:r>
    </w:p>
    <w:p>
      <w:pPr>
        <w:numPr>
          <w:ilvl w:val="0"/>
          <w:numId w:val="1027"/>
        </w:numPr>
        <w:pStyle w:val="Compact"/>
      </w:pPr>
      <w:r>
        <w:t xml:space="preserve">comunicaciones;</w:t>
      </w:r>
    </w:p>
    <w:p>
      <w:pPr>
        <w:numPr>
          <w:ilvl w:val="0"/>
          <w:numId w:val="1027"/>
        </w:numPr>
        <w:pStyle w:val="Compact"/>
      </w:pPr>
      <w:r>
        <w:t xml:space="preserve">administración de oficina;</w:t>
      </w:r>
    </w:p>
    <w:p>
      <w:pPr>
        <w:numPr>
          <w:ilvl w:val="0"/>
          <w:numId w:val="1027"/>
        </w:numPr>
        <w:pStyle w:val="Compact"/>
      </w:pPr>
      <w:r>
        <w:t xml:space="preserve">servicio al cliente;</w:t>
      </w:r>
    </w:p>
    <w:p>
      <w:pPr>
        <w:numPr>
          <w:ilvl w:val="0"/>
          <w:numId w:val="1027"/>
        </w:numPr>
        <w:pStyle w:val="Compact"/>
      </w:pPr>
      <w:r>
        <w:t xml:space="preserve">herramientas digitales de productividad.</w:t>
      </w:r>
    </w:p>
    <w:bookmarkEnd w:id="47"/>
    <w:bookmarkStart w:id="48" w:name="aprendizaje-basado-en-el-trabajo"/>
    <w:p>
      <w:pPr>
        <w:pStyle w:val="Heading3"/>
      </w:pPr>
      <w:r>
        <w:t xml:space="preserve">Aprendizaje basado en el trabajo</w:t>
      </w:r>
    </w:p>
    <w:p>
      <w:pPr>
        <w:pStyle w:val="FirstParagraph"/>
      </w:pPr>
      <w:r>
        <w:t xml:space="preserve">O*NET enlaza esta ocupación con Apprenticeship.gov como recurso de descubrimiento, pero no debe suponerse que existe un Registered Apprenticeship formal en todas las ubicaciones.</w:t>
      </w:r>
    </w:p>
    <w:p>
      <w:pPr>
        <w:pStyle w:val="BodyText"/>
      </w:pPr>
      <w:r>
        <w:t xml:space="preserve">El aprendizaje práctico puede incluir:</w:t>
      </w:r>
    </w:p>
    <w:p>
      <w:pPr>
        <w:numPr>
          <w:ilvl w:val="0"/>
          <w:numId w:val="1028"/>
        </w:numPr>
        <w:pStyle w:val="Compact"/>
      </w:pPr>
      <w:r>
        <w:t xml:space="preserve">puestos remunerados de asistente de eventos;</w:t>
      </w:r>
    </w:p>
    <w:p>
      <w:pPr>
        <w:numPr>
          <w:ilvl w:val="0"/>
          <w:numId w:val="1028"/>
        </w:numPr>
        <w:pStyle w:val="Compact"/>
      </w:pPr>
      <w:r>
        <w:t xml:space="preserve">puestos de banquetes o servicios de conferencias en hoteles;</w:t>
      </w:r>
    </w:p>
    <w:p>
      <w:pPr>
        <w:numPr>
          <w:ilvl w:val="0"/>
          <w:numId w:val="1028"/>
        </w:numPr>
        <w:pStyle w:val="Compact"/>
      </w:pPr>
      <w:r>
        <w:t xml:space="preserve">apoyo a eventos universitarios;</w:t>
      </w:r>
    </w:p>
    <w:p>
      <w:pPr>
        <w:numPr>
          <w:ilvl w:val="0"/>
          <w:numId w:val="1028"/>
        </w:numPr>
        <w:pStyle w:val="Compact"/>
      </w:pPr>
      <w:r>
        <w:t xml:space="preserve">trabajo de eventos en organizaciones sin fines de lucro;</w:t>
      </w:r>
    </w:p>
    <w:p>
      <w:pPr>
        <w:numPr>
          <w:ilvl w:val="0"/>
          <w:numId w:val="1028"/>
        </w:numPr>
        <w:pStyle w:val="Compact"/>
      </w:pPr>
      <w:r>
        <w:t xml:space="preserve">apoyo en centros de convenciones;</w:t>
      </w:r>
    </w:p>
    <w:p>
      <w:pPr>
        <w:numPr>
          <w:ilvl w:val="0"/>
          <w:numId w:val="1028"/>
        </w:numPr>
        <w:pStyle w:val="Compact"/>
      </w:pPr>
      <w:r>
        <w:t xml:space="preserve">prácticas profesionales;</w:t>
      </w:r>
    </w:p>
    <w:p>
      <w:pPr>
        <w:numPr>
          <w:ilvl w:val="0"/>
          <w:numId w:val="1028"/>
        </w:numPr>
        <w:pStyle w:val="Compact"/>
      </w:pPr>
      <w:r>
        <w:t xml:space="preserve">operaciones de lugares;</w:t>
      </w:r>
    </w:p>
    <w:p>
      <w:pPr>
        <w:numPr>
          <w:ilvl w:val="0"/>
          <w:numId w:val="1028"/>
        </w:numPr>
        <w:pStyle w:val="Compact"/>
      </w:pPr>
      <w:r>
        <w:t xml:space="preserve">mentoría del empleador;</w:t>
      </w:r>
    </w:p>
    <w:p>
      <w:pPr>
        <w:numPr>
          <w:ilvl w:val="0"/>
          <w:numId w:val="1028"/>
        </w:numPr>
        <w:pStyle w:val="Compact"/>
      </w:pPr>
      <w:r>
        <w:t xml:space="preserve">coordinación supervisada de proveedores;</w:t>
      </w:r>
    </w:p>
    <w:p>
      <w:pPr>
        <w:numPr>
          <w:ilvl w:val="0"/>
          <w:numId w:val="1028"/>
        </w:numPr>
        <w:pStyle w:val="Compact"/>
      </w:pPr>
      <w:r>
        <w:t xml:space="preserve">capacitación cruzada desde puestos administrativos u hoteleros.</w:t>
      </w:r>
    </w:p>
    <w:p>
      <w:pPr>
        <w:pStyle w:val="FirstParagraph"/>
      </w:pPr>
      <w:r>
        <w:t xml:space="preserve">Nunca se debe describir una oportunidad como Registered Apprenticeship sin verificar el patrocinador y su registro.</w:t>
      </w:r>
    </w:p>
    <w:bookmarkEnd w:id="48"/>
    <w:bookmarkEnd w:id="49"/>
    <w:bookmarkStart w:id="56" w:name="salario-y-perspectivas--estados-unidos"/>
    <w:p>
      <w:pPr>
        <w:pStyle w:val="Heading2"/>
      </w:pPr>
      <w:r>
        <w:t xml:space="preserve">Salario y perspectivas — Estados Unidos</w:t>
      </w:r>
    </w:p>
    <w:bookmarkStart w:id="53" w:name="referencia-oficial"/>
    <w:p>
      <w:pPr>
        <w:pStyle w:val="Heading3"/>
      </w:pPr>
      <w:r>
        <w:t xml:space="preserve">Referencia oficial</w:t>
      </w:r>
    </w:p>
    <w:p>
      <w:pPr>
        <w:pStyle w:val="FirstParagraph"/>
      </w:pPr>
      <w:r>
        <w:t xml:space="preserve">La página actual de O*NET informa datos salariales de BLS de</w:t>
      </w:r>
      <w:r>
        <w:t xml:space="preserve"> </w:t>
      </w:r>
      <w:r>
        <w:rPr>
          <w:bCs/>
          <w:b/>
        </w:rPr>
        <w:t xml:space="preserve">2025</w:t>
      </w:r>
      <w:r>
        <w:t xml:space="preserve"> </w:t>
      </w:r>
      <w:r>
        <w:t xml:space="preserve">para Meeting, Convention, and Event Planners:</w:t>
      </w:r>
    </w:p>
    <w:p>
      <w:pPr>
        <w:numPr>
          <w:ilvl w:val="0"/>
          <w:numId w:val="1029"/>
        </w:numPr>
        <w:pStyle w:val="Compact"/>
      </w:pPr>
      <w:r>
        <w:rPr>
          <w:bCs/>
          <w:b/>
        </w:rPr>
        <w:t xml:space="preserve">Salario mediano por hora:</w:t>
      </w:r>
      <w:r>
        <w:t xml:space="preserve"> </w:t>
      </w:r>
      <w:r>
        <w:rPr>
          <w:bCs/>
          <w:b/>
        </w:rPr>
        <w:t xml:space="preserve">$29.41</w:t>
      </w:r>
      <w:r>
        <w:t xml:space="preserve">;</w:t>
      </w:r>
    </w:p>
    <w:p>
      <w:pPr>
        <w:numPr>
          <w:ilvl w:val="0"/>
          <w:numId w:val="1029"/>
        </w:numPr>
        <w:pStyle w:val="Compact"/>
      </w:pPr>
      <w:r>
        <w:rPr>
          <w:bCs/>
          <w:b/>
        </w:rPr>
        <w:t xml:space="preserve">Salario mediano anual:</w:t>
      </w:r>
      <w:r>
        <w:t xml:space="preserve"> </w:t>
      </w:r>
      <w:r>
        <w:rPr>
          <w:bCs/>
          <w:b/>
        </w:rPr>
        <w:t xml:space="preserve">$61,160</w:t>
      </w:r>
      <w:r>
        <w:t xml:space="preserve">;</w:t>
      </w:r>
    </w:p>
    <w:p>
      <w:pPr>
        <w:numPr>
          <w:ilvl w:val="0"/>
          <w:numId w:val="1029"/>
        </w:numPr>
        <w:pStyle w:val="Compact"/>
      </w:pPr>
      <w:r>
        <w:rPr>
          <w:bCs/>
          <w:b/>
        </w:rPr>
        <w:t xml:space="preserve">Percentil 10 anual:</w:t>
      </w:r>
      <w:r>
        <w:t xml:space="preserve"> </w:t>
      </w:r>
      <w:r>
        <w:rPr>
          <w:bCs/>
          <w:b/>
        </w:rPr>
        <w:t xml:space="preserve">$36,830</w:t>
      </w:r>
      <w:r>
        <w:t xml:space="preserve">;</w:t>
      </w:r>
    </w:p>
    <w:p>
      <w:pPr>
        <w:numPr>
          <w:ilvl w:val="0"/>
          <w:numId w:val="1029"/>
        </w:numPr>
        <w:pStyle w:val="Compact"/>
      </w:pPr>
      <w:r>
        <w:rPr>
          <w:bCs/>
          <w:b/>
        </w:rPr>
        <w:t xml:space="preserve">Percentil 90 anual:</w:t>
      </w:r>
      <w:r>
        <w:t xml:space="preserve"> </w:t>
      </w:r>
      <w:r>
        <w:rPr>
          <w:bCs/>
          <w:b/>
        </w:rPr>
        <w:t xml:space="preserve">$101,700</w:t>
      </w:r>
      <w:r>
        <w:t xml:space="preserve">.</w:t>
      </w:r>
    </w:p>
    <w:p>
      <w:pPr>
        <w:pStyle w:val="FirstParagraph"/>
      </w:pPr>
      <w:r>
        <w:t xml:space="preserve">O*NET también informa:</w:t>
      </w:r>
    </w:p>
    <w:p>
      <w:pPr>
        <w:numPr>
          <w:ilvl w:val="0"/>
          <w:numId w:val="1030"/>
        </w:numPr>
        <w:pStyle w:val="Compact"/>
      </w:pPr>
      <w:r>
        <w:t xml:space="preserve">aproximadamente</w:t>
      </w:r>
      <w:r>
        <w:t xml:space="preserve"> </w:t>
      </w:r>
      <w:r>
        <w:rPr>
          <w:bCs/>
          <w:b/>
        </w:rPr>
        <w:t xml:space="preserve">155,800 trabajadores en 2024</w:t>
      </w:r>
      <w:r>
        <w:t xml:space="preserve">;</w:t>
      </w:r>
    </w:p>
    <w:p>
      <w:pPr>
        <w:numPr>
          <w:ilvl w:val="0"/>
          <w:numId w:val="1030"/>
        </w:numPr>
        <w:pStyle w:val="Compact"/>
      </w:pPr>
      <w:r>
        <w:t xml:space="preserve">crecimiento proyectado de</w:t>
      </w:r>
      <w:r>
        <w:t xml:space="preserve"> </w:t>
      </w:r>
      <w:r>
        <w:rPr>
          <w:bCs/>
          <w:b/>
        </w:rPr>
        <w:t xml:space="preserve">5% a 6% entre 2024 y 2034</w:t>
      </w:r>
      <w:r>
        <w:t xml:space="preserve">;</w:t>
      </w:r>
    </w:p>
    <w:p>
      <w:pPr>
        <w:numPr>
          <w:ilvl w:val="0"/>
          <w:numId w:val="1030"/>
        </w:numPr>
        <w:pStyle w:val="Compact"/>
      </w:pPr>
      <w:r>
        <w:t xml:space="preserve">aproximadamente</w:t>
      </w:r>
      <w:r>
        <w:t xml:space="preserve"> </w:t>
      </w:r>
      <w:r>
        <w:rPr>
          <w:bCs/>
          <w:b/>
        </w:rPr>
        <w:t xml:space="preserve">15,500 vacantes proyectadas por año</w:t>
      </w:r>
      <w:r>
        <w:t xml:space="preserve"> </w:t>
      </w:r>
      <w:r>
        <w:t xml:space="preserve">durante el periodo de proyección.</w:t>
      </w:r>
    </w:p>
    <w:p>
      <w:pPr>
        <w:pStyle w:val="FirstParagraph"/>
      </w:pPr>
      <w:r>
        <w:t xml:space="preserve">El Occupational Outlook Handbook de BLS utiliza un salario mediano anterior de</w:t>
      </w:r>
      <w:r>
        <w:t xml:space="preserve"> </w:t>
      </w:r>
      <w:r>
        <w:rPr>
          <w:bCs/>
          <w:b/>
        </w:rPr>
        <w:t xml:space="preserve">$59,440 anuales en mayo de 2024</w:t>
      </w:r>
      <w:r>
        <w:t xml:space="preserve"> </w:t>
      </w:r>
      <w:r>
        <w:t xml:space="preserve">y proyecta</w:t>
      </w:r>
      <w:r>
        <w:t xml:space="preserve"> </w:t>
      </w:r>
      <w:r>
        <w:rPr>
          <w:bCs/>
          <w:b/>
        </w:rPr>
        <w:t xml:space="preserve">5% de crecimiento entre 2024 y 2034</w:t>
      </w:r>
      <w:r>
        <w:t xml:space="preserve">. La diferencia en las cifras salariales corresponde al año de referencia. Para la referencia principal actual se utiliza el dato salarial de 2025 y se mantiene claramente identificado el periodo de proyección.</w:t>
      </w:r>
    </w:p>
    <w:p>
      <w:pPr>
        <w:pStyle w:val="BodyText"/>
      </w:pPr>
      <w:r>
        <w:t xml:space="preserve">Fuentes:</w:t>
      </w:r>
      <w:r>
        <w:t xml:space="preserve"> </w:t>
      </w:r>
      <w:hyperlink r:id="rId50">
        <w:hyperlink r:id="rId50">
          <w:r>
            <w:rPr>
              <w:rStyle w:val="Hyperlink"/>
            </w:rPr>
            <w:t xml:space="preserve">Source link</w:t>
          </w:r>
        </w:hyperlink>
      </w:hyperlink>
      <w:r>
        <w:br/>
      </w:r>
      <w:hyperlink r:id="rId51">
        <w:hyperlink r:id="rId51">
          <w:r>
            <w:rPr>
              <w:rStyle w:val="Hyperlink"/>
            </w:rPr>
            <w:t xml:space="preserve">Source link</w:t>
          </w:r>
        </w:hyperlink>
      </w:hyperlink>
      <w:r>
        <w:br/>
      </w:r>
      <w:hyperlink r:id="rId52">
        <w:hyperlink r:id="rId52">
          <w:r>
            <w:rPr>
              <w:rStyle w:val="Hyperlink"/>
            </w:rPr>
            <w:t xml:space="preserve">Source link</w:t>
          </w:r>
        </w:hyperlink>
      </w:hyperlink>
    </w:p>
    <w:bookmarkEnd w:id="53"/>
    <w:bookmarkStart w:id="55" w:name="X4b4b3f9f93152d129520e1b22c889a78025b972"/>
    <w:p>
      <w:pPr>
        <w:pStyle w:val="Heading3"/>
      </w:pPr>
      <w:r>
        <w:t xml:space="preserve">Estimación no gubernamental actual — Indeed</w:t>
      </w:r>
    </w:p>
    <w:p>
      <w:pPr>
        <w:pStyle w:val="FirstParagraph"/>
      </w:pPr>
      <w:r>
        <w:t xml:space="preserve">Indeed informó un salario base promedio en Estados Unidos para</w:t>
      </w:r>
      <w:r>
        <w:t xml:space="preserve"> </w:t>
      </w:r>
      <w:r>
        <w:rPr>
          <w:bCs/>
          <w:b/>
        </w:rPr>
        <w:t xml:space="preserve">Event Coordinator</w:t>
      </w:r>
      <w:r>
        <w:t xml:space="preserve"> </w:t>
      </w:r>
      <w:r>
        <w:t xml:space="preserve">de aproximadamente</w:t>
      </w:r>
      <w:r>
        <w:t xml:space="preserve"> </w:t>
      </w:r>
      <w:r>
        <w:rPr>
          <w:bCs/>
          <w:b/>
        </w:rPr>
        <w:t xml:space="preserve">$22.75 por hora</w:t>
      </w:r>
      <w:r>
        <w:t xml:space="preserve">, con un rango mostrado de aproximadamente</w:t>
      </w:r>
      <w:r>
        <w:t xml:space="preserve"> </w:t>
      </w:r>
      <w:r>
        <w:rPr>
          <w:bCs/>
          <w:b/>
        </w:rPr>
        <w:t xml:space="preserve">$14.88 a $34.79 por hora</w:t>
      </w:r>
      <w:r>
        <w:t xml:space="preserve">, basado en cerca de</w:t>
      </w:r>
      <w:r>
        <w:t xml:space="preserve"> </w:t>
      </w:r>
      <w:r>
        <w:rPr>
          <w:bCs/>
          <w:b/>
        </w:rPr>
        <w:t xml:space="preserve">5.1 mil salarios provenientes de ofertas de empleo de los 36 meses anteriores</w:t>
      </w:r>
      <w:r>
        <w:t xml:space="preserve">, actualizado el</w:t>
      </w:r>
      <w:r>
        <w:t xml:space="preserve"> </w:t>
      </w:r>
      <w:r>
        <w:rPr>
          <w:bCs/>
          <w:b/>
        </w:rPr>
        <w:t xml:space="preserve">3 de agosto de 2026</w:t>
      </w:r>
      <w:r>
        <w:t xml:space="preserve">.</w:t>
      </w:r>
    </w:p>
    <w:p>
      <w:pPr>
        <w:pStyle w:val="BodyText"/>
      </w:pPr>
      <w:r>
        <w:t xml:space="preserve">Fuente:</w:t>
      </w:r>
      <w:r>
        <w:t xml:space="preserve"> </w:t>
      </w:r>
      <w:hyperlink r:id="rId54">
        <w:hyperlink r:id="rId54">
          <w:r>
            <w:rPr>
              <w:rStyle w:val="Hyperlink"/>
            </w:rPr>
            <w:t xml:space="preserve">Source link</w:t>
          </w:r>
        </w:hyperlink>
      </w:hyperlink>
    </w:p>
    <w:p>
      <w:pPr>
        <w:pStyle w:val="BodyText"/>
      </w:pPr>
      <w:r>
        <w:t xml:space="preserve">Esta es una</w:t>
      </w:r>
      <w:r>
        <w:t xml:space="preserve"> </w:t>
      </w:r>
      <w:r>
        <w:rPr>
          <w:bCs/>
          <w:b/>
        </w:rPr>
        <w:t xml:space="preserve">estimación de mercado no gubernamental</w:t>
      </w:r>
      <w:r>
        <w:t xml:space="preserve"> </w:t>
      </w:r>
      <w:r>
        <w:t xml:space="preserve">para un título laboral que puede tener un alcance más estrecho que la ocupación de O*NET. No es una oferta garantizada y debe compararse con ofertas actuales de la ubicación del lector.</w:t>
      </w:r>
    </w:p>
    <w:bookmarkEnd w:id="55"/>
    <w:bookmarkEnd w:id="56"/>
    <w:bookmarkStart w:id="66" w:name="ruta-de-canadá"/>
    <w:p>
      <w:pPr>
        <w:pStyle w:val="Heading2"/>
      </w:pPr>
      <w:r>
        <w:t xml:space="preserve">Ruta de Canadá</w:t>
      </w:r>
    </w:p>
    <w:p>
      <w:pPr>
        <w:pStyle w:val="FirstParagraph"/>
      </w:pPr>
      <w:r>
        <w:t xml:space="preserve">Canadá clasifica a los</w:t>
      </w:r>
      <w:r>
        <w:t xml:space="preserve"> </w:t>
      </w:r>
      <w:r>
        <w:rPr>
          <w:bCs/>
          <w:b/>
        </w:rPr>
        <w:t xml:space="preserve">Conference and event planners</w:t>
      </w:r>
      <w:r>
        <w:t xml:space="preserve"> </w:t>
      </w:r>
      <w:r>
        <w:t xml:space="preserve">bajo</w:t>
      </w:r>
      <w:r>
        <w:t xml:space="preserve"> </w:t>
      </w:r>
      <w:r>
        <w:rPr>
          <w:bCs/>
          <w:b/>
        </w:rPr>
        <w:t xml:space="preserve">NOC 12103</w:t>
      </w:r>
      <w:r>
        <w:t xml:space="preserve">.</w:t>
      </w:r>
    </w:p>
    <w:p>
      <w:pPr>
        <w:pStyle w:val="BodyText"/>
      </w:pPr>
      <w:r>
        <w:t xml:space="preserve">Job Bank describe el trabajo como planificar, organizar y coordinar conferencias, convenciones, reuniones, seminarios, exposiciones, ferias comerciales, festivales y otros eventos. Los empleadores incluyen asociaciones de turismo, asociaciones comerciales y profesionales, centros de convenciones y conferencias, gobiernos y empresas de planificación de eventos; algunas personas también trabajan por cuenta propia.</w:t>
      </w:r>
    </w:p>
    <w:bookmarkStart w:id="57" w:name="requisitos-típicos"/>
    <w:p>
      <w:pPr>
        <w:pStyle w:val="Heading3"/>
      </w:pPr>
      <w:r>
        <w:t xml:space="preserve">Requisitos típicos</w:t>
      </w:r>
    </w:p>
    <w:p>
      <w:pPr>
        <w:pStyle w:val="FirstParagraph"/>
      </w:pPr>
      <w:r>
        <w:t xml:space="preserve">Los requisitos detallados de Job Bank indican que los empleadores normalmente buscan:</w:t>
      </w:r>
    </w:p>
    <w:p>
      <w:pPr>
        <w:numPr>
          <w:ilvl w:val="0"/>
          <w:numId w:val="1031"/>
        </w:numPr>
        <w:pStyle w:val="Compact"/>
      </w:pPr>
      <w:r>
        <w:t xml:space="preserve">título universitario o diploma de</w:t>
      </w:r>
      <w:r>
        <w:t xml:space="preserve"> </w:t>
      </w:r>
      <w:r>
        <w:rPr>
          <w:iCs/>
          <w:i/>
        </w:rPr>
        <w:t xml:space="preserve">college</w:t>
      </w:r>
      <w:r>
        <w:t xml:space="preserve"> </w:t>
      </w:r>
      <w:r>
        <w:t xml:space="preserve">en negocios, turismo o administración hotelera; o</w:t>
      </w:r>
    </w:p>
    <w:p>
      <w:pPr>
        <w:numPr>
          <w:ilvl w:val="0"/>
          <w:numId w:val="1031"/>
        </w:numPr>
        <w:pStyle w:val="Compact"/>
      </w:pPr>
      <w:r>
        <w:t xml:space="preserve">varios años de experiencia relevante en hotelería, administración turística o relaciones públicas que pueden sustituir la educación formal.</w:t>
      </w:r>
    </w:p>
    <w:p>
      <w:pPr>
        <w:pStyle w:val="FirstParagraph"/>
      </w:pPr>
      <w:r>
        <w:t xml:space="preserve">Algunos empleadores</w:t>
      </w:r>
      <w:r>
        <w:t xml:space="preserve"> </w:t>
      </w:r>
      <w:r>
        <w:rPr>
          <w:bCs/>
          <w:b/>
        </w:rPr>
        <w:t xml:space="preserve">pueden</w:t>
      </w:r>
      <w:r>
        <w:t xml:space="preserve"> </w:t>
      </w:r>
      <w:r>
        <w:t xml:space="preserve">requerir certificación relacionada con eventos especiales, reuniones o gestión de conferencias. “Pueden” es importante: una credencial no es automáticamente un requisito legal universal.</w:t>
      </w:r>
    </w:p>
    <w:bookmarkEnd w:id="57"/>
    <w:bookmarkStart w:id="61" w:name="salarios-en-canadá"/>
    <w:p>
      <w:pPr>
        <w:pStyle w:val="Heading3"/>
      </w:pPr>
      <w:r>
        <w:t xml:space="preserve">Salarios en Canadá</w:t>
      </w:r>
    </w:p>
    <w:p>
      <w:pPr>
        <w:pStyle w:val="FirstParagraph"/>
      </w:pPr>
      <w:r>
        <w:t xml:space="preserve">Los datos nacionales de Job Bank, actualizados el 19 de noviembre de 2025, informan:</w:t>
      </w:r>
    </w:p>
    <w:p>
      <w:pPr>
        <w:numPr>
          <w:ilvl w:val="0"/>
          <w:numId w:val="1032"/>
        </w:numPr>
        <w:pStyle w:val="Compact"/>
      </w:pPr>
      <w:r>
        <w:rPr>
          <w:bCs/>
          <w:b/>
        </w:rPr>
        <w:t xml:space="preserve">Bajo:</w:t>
      </w:r>
      <w:r>
        <w:t xml:space="preserve"> </w:t>
      </w:r>
      <w:r>
        <w:t xml:space="preserve">C$17.65/hora;</w:t>
      </w:r>
    </w:p>
    <w:p>
      <w:pPr>
        <w:numPr>
          <w:ilvl w:val="0"/>
          <w:numId w:val="1032"/>
        </w:numPr>
        <w:pStyle w:val="Compact"/>
      </w:pPr>
      <w:r>
        <w:rPr>
          <w:bCs/>
          <w:b/>
        </w:rPr>
        <w:t xml:space="preserve">Mediano:</w:t>
      </w:r>
      <w:r>
        <w:t xml:space="preserve"> </w:t>
      </w:r>
      <w:r>
        <w:t xml:space="preserve">C$28.37/hora;</w:t>
      </w:r>
    </w:p>
    <w:p>
      <w:pPr>
        <w:numPr>
          <w:ilvl w:val="0"/>
          <w:numId w:val="1032"/>
        </w:numPr>
        <w:pStyle w:val="Compact"/>
      </w:pPr>
      <w:r>
        <w:rPr>
          <w:bCs/>
          <w:b/>
        </w:rPr>
        <w:t xml:space="preserve">Alto:</w:t>
      </w:r>
      <w:r>
        <w:t xml:space="preserve"> </w:t>
      </w:r>
      <w:r>
        <w:t xml:space="preserve">C$47.53/hora.</w:t>
      </w:r>
    </w:p>
    <w:p>
      <w:pPr>
        <w:pStyle w:val="FirstParagraph"/>
      </w:pPr>
      <w:r>
        <w:t xml:space="preserve">El periodo nacional de referencia es 2023-2024 y la fuente es la Labour Force Survey de Statistics Canada. Las perspectivas y salarios varían por provincia y territorio.</w:t>
      </w:r>
    </w:p>
    <w:p>
      <w:pPr>
        <w:pStyle w:val="BodyText"/>
      </w:pPr>
      <w:r>
        <w:t xml:space="preserve">Fuentes:</w:t>
      </w:r>
      <w:r>
        <w:t xml:space="preserve"> </w:t>
      </w:r>
      <w:hyperlink r:id="rId58">
        <w:hyperlink r:id="rId58">
          <w:r>
            <w:rPr>
              <w:rStyle w:val="Hyperlink"/>
            </w:rPr>
            <w:t xml:space="preserve">Source link</w:t>
          </w:r>
        </w:hyperlink>
      </w:hyperlink>
      <w:r>
        <w:br/>
      </w:r>
      <w:hyperlink r:id="rId59">
        <w:hyperlink r:id="rId59">
          <w:r>
            <w:rPr>
              <w:rStyle w:val="Hyperlink"/>
            </w:rPr>
            <w:t xml:space="preserve">Source link</w:t>
          </w:r>
        </w:hyperlink>
      </w:hyperlink>
      <w:r>
        <w:br/>
      </w:r>
      <w:hyperlink r:id="rId60">
        <w:hyperlink r:id="rId60">
          <w:r>
            <w:rPr>
              <w:rStyle w:val="Hyperlink"/>
            </w:rPr>
            <w:t xml:space="preserve">Source link</w:t>
          </w:r>
        </w:hyperlink>
      </w:hyperlink>
    </w:p>
    <w:bookmarkEnd w:id="61"/>
    <w:bookmarkStart w:id="65" w:name="Xd1af3f09fd9f2e77bc66478ba1057eec45bd7f7"/>
    <w:p>
      <w:pPr>
        <w:pStyle w:val="Heading3"/>
      </w:pPr>
      <w:r>
        <w:t xml:space="preserve">Capacitación y apoyo financiero en Canadá</w:t>
      </w:r>
    </w:p>
    <w:p>
      <w:pPr>
        <w:pStyle w:val="FirstParagraph"/>
      </w:pPr>
      <w:r>
        <w:t xml:space="preserve">El punto de partida es el portal de capacitación del Gobierno de Canadá:</w:t>
      </w:r>
    </w:p>
    <w:p>
      <w:pPr>
        <w:pStyle w:val="BodyText"/>
      </w:pPr>
      <w:hyperlink r:id="rId62">
        <w:hyperlink r:id="rId62">
          <w:r>
            <w:rPr>
              <w:rStyle w:val="Hyperlink"/>
            </w:rPr>
            <w:t xml:space="preserve">Source link</w:t>
          </w:r>
        </w:hyperlink>
      </w:hyperlink>
    </w:p>
    <w:p>
      <w:pPr>
        <w:pStyle w:val="BodyText"/>
      </w:pPr>
      <w:r>
        <w:t xml:space="preserve">Este enlaza cursos cortos pagados o gratuitos, ayuda estudiantil, información sobre EI y capacitación, exploración de carreras, recursos de habilidades y otros apoyos públicos.</w:t>
      </w:r>
    </w:p>
    <w:p>
      <w:pPr>
        <w:pStyle w:val="BodyText"/>
      </w:pPr>
      <w:r>
        <w:t xml:space="preserve">Canadá también transfiere fondos del mercado laboral a provincias y territorios mediante Labour Market Development Agreements y Workforce Development Agreements. El material federal actual describe aproximadamente</w:t>
      </w:r>
      <w:r>
        <w:t xml:space="preserve"> </w:t>
      </w:r>
      <w:r>
        <w:rPr>
          <w:bCs/>
          <w:b/>
        </w:rPr>
        <w:t xml:space="preserve">C$3 mil millones anuales</w:t>
      </w:r>
      <w:r>
        <w:t xml:space="preserve"> </w:t>
      </w:r>
      <w:r>
        <w:t xml:space="preserve">a través de estos acuerdos para capacitación, actualización de habilidades, apoyo al empleo, orientación profesional y asistencia en la búsqueda de empleo.</w:t>
      </w:r>
    </w:p>
    <w:p>
      <w:pPr>
        <w:pStyle w:val="BodyText"/>
      </w:pPr>
      <w:r>
        <w:t xml:space="preserve">Fuentes:</w:t>
      </w:r>
      <w:r>
        <w:t xml:space="preserve"> </w:t>
      </w:r>
      <w:hyperlink r:id="rId63">
        <w:hyperlink r:id="rId63">
          <w:r>
            <w:rPr>
              <w:rStyle w:val="Hyperlink"/>
            </w:rPr>
            <w:t xml:space="preserve">Source link</w:t>
          </w:r>
        </w:hyperlink>
      </w:hyperlink>
      <w:r>
        <w:br/>
      </w:r>
      <w:hyperlink r:id="rId64">
        <w:hyperlink r:id="rId64">
          <w:r>
            <w:rPr>
              <w:rStyle w:val="Hyperlink"/>
            </w:rPr>
            <w:t xml:space="preserve">Source link</w:t>
          </w:r>
        </w:hyperlink>
      </w:hyperlink>
    </w:p>
    <w:p>
      <w:pPr>
        <w:pStyle w:val="BodyText"/>
      </w:pPr>
      <w:r>
        <w:t xml:space="preserve">La elegibilidad y el diseño de los programas varían según provincia o territorio y circunstancias personales. Se debe verificar localmente antes de depender de ese financiamiento.</w:t>
      </w:r>
    </w:p>
    <w:bookmarkEnd w:id="65"/>
    <w:bookmarkEnd w:id="66"/>
    <w:bookmarkStart w:id="71" w:name="ruta-de-colombia"/>
    <w:p>
      <w:pPr>
        <w:pStyle w:val="Heading2"/>
      </w:pPr>
      <w:r>
        <w:t xml:space="preserve">Ruta de Colombia</w:t>
      </w:r>
    </w:p>
    <w:p>
      <w:pPr>
        <w:pStyle w:val="FirstParagraph"/>
      </w:pPr>
      <w:r>
        <w:t xml:space="preserve">El catálogo OCUPACOL del Ministerio del Trabajo de Colombia ubica este trabajo en</w:t>
      </w:r>
      <w:r>
        <w:t xml:space="preserve"> </w:t>
      </w:r>
      <w:r>
        <w:rPr>
          <w:bCs/>
          <w:b/>
        </w:rPr>
        <w:t xml:space="preserve">CUOC 33320 — Coordinadores y productores de conferencias, eventos y espectáculos</w:t>
      </w:r>
      <w:r>
        <w:t xml:space="preserve">.</w:t>
      </w:r>
    </w:p>
    <w:p>
      <w:pPr>
        <w:pStyle w:val="BodyText"/>
      </w:pPr>
      <w:r>
        <w:t xml:space="preserve">El perfil ocupacional incluye expresamente títulos como:</w:t>
      </w:r>
    </w:p>
    <w:p>
      <w:pPr>
        <w:numPr>
          <w:ilvl w:val="0"/>
          <w:numId w:val="1033"/>
        </w:numPr>
        <w:pStyle w:val="Compact"/>
      </w:pPr>
      <w:r>
        <w:t xml:space="preserve">Coordinador de eventos;</w:t>
      </w:r>
    </w:p>
    <w:p>
      <w:pPr>
        <w:numPr>
          <w:ilvl w:val="0"/>
          <w:numId w:val="1033"/>
        </w:numPr>
        <w:pStyle w:val="Compact"/>
      </w:pPr>
      <w:r>
        <w:t xml:space="preserve">Coordinador de conferencia;</w:t>
      </w:r>
    </w:p>
    <w:p>
      <w:pPr>
        <w:numPr>
          <w:ilvl w:val="0"/>
          <w:numId w:val="1033"/>
        </w:numPr>
        <w:pStyle w:val="Compact"/>
      </w:pPr>
      <w:r>
        <w:t xml:space="preserve">Administrador de eventos;</w:t>
      </w:r>
    </w:p>
    <w:p>
      <w:pPr>
        <w:numPr>
          <w:ilvl w:val="0"/>
          <w:numId w:val="1033"/>
        </w:numPr>
        <w:pStyle w:val="Compact"/>
      </w:pPr>
      <w:r>
        <w:t xml:space="preserve">Gestor de eventos;</w:t>
      </w:r>
    </w:p>
    <w:p>
      <w:pPr>
        <w:numPr>
          <w:ilvl w:val="0"/>
          <w:numId w:val="1033"/>
        </w:numPr>
        <w:pStyle w:val="Compact"/>
      </w:pPr>
      <w:r>
        <w:t xml:space="preserve">Organizador de conferencias y eventos;</w:t>
      </w:r>
    </w:p>
    <w:p>
      <w:pPr>
        <w:numPr>
          <w:ilvl w:val="0"/>
          <w:numId w:val="1033"/>
        </w:numPr>
        <w:pStyle w:val="Compact"/>
      </w:pPr>
      <w:r>
        <w:t xml:space="preserve">Planeador de eventos;</w:t>
      </w:r>
    </w:p>
    <w:p>
      <w:pPr>
        <w:numPr>
          <w:ilvl w:val="0"/>
          <w:numId w:val="1033"/>
        </w:numPr>
        <w:pStyle w:val="Compact"/>
      </w:pPr>
      <w:r>
        <w:t xml:space="preserve">Productor de eventos;</w:t>
      </w:r>
    </w:p>
    <w:p>
      <w:pPr>
        <w:numPr>
          <w:ilvl w:val="0"/>
          <w:numId w:val="1033"/>
        </w:numPr>
        <w:pStyle w:val="Compact"/>
      </w:pPr>
      <w:r>
        <w:t xml:space="preserve">y otros títulos relacionados con producción de eventos.</w:t>
      </w:r>
    </w:p>
    <w:p>
      <w:pPr>
        <w:pStyle w:val="FirstParagraph"/>
      </w:pPr>
      <w:r>
        <w:t xml:space="preserve">Sus funciones incluyen análisis de necesidades del cliente, coordinación de servicios del evento, seguimiento presupuestario, registro de participantes, materiales del programa y promoción, coordinación de personal de apoyo, requisitos técnicos o regulatorios y registros financieros.</w:t>
      </w:r>
    </w:p>
    <w:p>
      <w:pPr>
        <w:pStyle w:val="BodyText"/>
      </w:pPr>
      <w:r>
        <w:t xml:space="preserve">Fuente:</w:t>
      </w:r>
      <w:r>
        <w:t xml:space="preserve"> </w:t>
      </w:r>
      <w:hyperlink r:id="rId67">
        <w:hyperlink r:id="rId67">
          <w:r>
            <w:rPr>
              <w:rStyle w:val="Hyperlink"/>
            </w:rPr>
            <w:t xml:space="preserve">Source link</w:t>
          </w:r>
        </w:hyperlink>
      </w:hyperlink>
    </w:p>
    <w:p>
      <w:pPr>
        <w:pStyle w:val="BodyText"/>
      </w:pPr>
      <w:r>
        <w:t xml:space="preserve">OCUPACOL también muestra indicadores del mercado laboral, pero su página advierte que los datos ocupacionales presentados</w:t>
      </w:r>
      <w:r>
        <w:t xml:space="preserve"> </w:t>
      </w:r>
      <w:r>
        <w:rPr>
          <w:bCs/>
          <w:b/>
        </w:rPr>
        <w:t xml:space="preserve">no cuentan con representatividad estadística bajo la metodología aplicada</w:t>
      </w:r>
      <w:r>
        <w:t xml:space="preserve">. Por esa razón, esta guía no utiliza el rango salarial mostrado por OCUPACOL como referencia salarial representativa.</w:t>
      </w:r>
    </w:p>
    <w:bookmarkStart w:id="70" w:name="opciones-de-aprendizaje-de-sena"/>
    <w:p>
      <w:pPr>
        <w:pStyle w:val="Heading3"/>
      </w:pPr>
      <w:r>
        <w:t xml:space="preserve">Opciones de aprendizaje de SENA</w:t>
      </w:r>
    </w:p>
    <w:p>
      <w:pPr>
        <w:pStyle w:val="FirstParagraph"/>
      </w:pPr>
      <w:r>
        <w:t xml:space="preserve">SENA Betowa lista</w:t>
      </w:r>
      <w:r>
        <w:t xml:space="preserve"> </w:t>
      </w:r>
      <w:r>
        <w:rPr>
          <w:bCs/>
          <w:b/>
        </w:rPr>
        <w:t xml:space="preserve">Estrategias aplicadas a la organización de eventos</w:t>
      </w:r>
      <w:r>
        <w:t xml:space="preserve"> </w:t>
      </w:r>
      <w:r>
        <w:t xml:space="preserve">como curso especial complementario de</w:t>
      </w:r>
      <w:r>
        <w:t xml:space="preserve"> </w:t>
      </w:r>
      <w:r>
        <w:rPr>
          <w:bCs/>
          <w:b/>
        </w:rPr>
        <w:t xml:space="preserve">40 horas</w:t>
      </w:r>
      <w:r>
        <w:t xml:space="preserve">. La competencia declarada es organizar eventos de acuerdo con el portafolio de servicios y el estudio de mercado.</w:t>
      </w:r>
    </w:p>
    <w:p>
      <w:pPr>
        <w:pStyle w:val="BodyText"/>
      </w:pPr>
      <w:r>
        <w:t xml:space="preserve">Fuente:</w:t>
      </w:r>
      <w:r>
        <w:t xml:space="preserve"> </w:t>
      </w:r>
      <w:hyperlink r:id="rId68">
        <w:hyperlink r:id="rId68">
          <w:r>
            <w:rPr>
              <w:rStyle w:val="Hyperlink"/>
            </w:rPr>
            <w:t xml:space="preserve">Source link</w:t>
          </w:r>
        </w:hyperlink>
      </w:hyperlink>
    </w:p>
    <w:p>
      <w:pPr>
        <w:pStyle w:val="BodyText"/>
      </w:pPr>
      <w:r>
        <w:t xml:space="preserve">SENA también lista</w:t>
      </w:r>
      <w:r>
        <w:t xml:space="preserve"> </w:t>
      </w:r>
      <w:r>
        <w:rPr>
          <w:bCs/>
          <w:b/>
        </w:rPr>
        <w:t xml:space="preserve">Gestión Administrativa</w:t>
      </w:r>
      <w:r>
        <w:t xml:space="preserve"> </w:t>
      </w:r>
      <w:r>
        <w:t xml:space="preserve">como programa</w:t>
      </w:r>
      <w:r>
        <w:t xml:space="preserve"> </w:t>
      </w:r>
      <w:r>
        <w:rPr>
          <w:bCs/>
          <w:b/>
        </w:rPr>
        <w:t xml:space="preserve">Tecnólogo de 24 meses</w:t>
      </w:r>
      <w:r>
        <w:t xml:space="preserve">. Sus competencias incluyen organizar eventos que promuevan relaciones empresariales, además de TIC, documentación, servicio al cliente, procesamiento de información y trabajo administrativo.</w:t>
      </w:r>
    </w:p>
    <w:p>
      <w:pPr>
        <w:pStyle w:val="BodyText"/>
      </w:pPr>
      <w:r>
        <w:t xml:space="preserve">Fuente:</w:t>
      </w:r>
      <w:r>
        <w:t xml:space="preserve"> </w:t>
      </w:r>
      <w:hyperlink r:id="rId69">
        <w:hyperlink r:id="rId69">
          <w:r>
            <w:rPr>
              <w:rStyle w:val="Hyperlink"/>
            </w:rPr>
            <w:t xml:space="preserve">Source link</w:t>
          </w:r>
        </w:hyperlink>
      </w:hyperlink>
    </w:p>
    <w:p>
      <w:pPr>
        <w:pStyle w:val="BodyText"/>
      </w:pPr>
      <w:r>
        <w:t xml:space="preserve">Las cohortes, ciudades, fechas, modalidad, cupos y requisitos de admisión cambian. La persona debe verificar la disponibilidad actual en Betowa antes de planificar alrededor de una oferta específica.</w:t>
      </w:r>
    </w:p>
    <w:bookmarkEnd w:id="70"/>
    <w:bookmarkEnd w:id="71"/>
    <w:bookmarkStart w:id="74" w:name="X39ca81ee16d10dc5012dffc080a9a79b0f233c8"/>
    <w:p>
      <w:pPr>
        <w:pStyle w:val="Heading2"/>
      </w:pPr>
      <w:r>
        <w:t xml:space="preserve">Contexto de remuneración en Colombia — claramente etiquetado</w:t>
      </w:r>
    </w:p>
    <w:p>
      <w:pPr>
        <w:pStyle w:val="FirstParagraph"/>
      </w:pPr>
      <w:r>
        <w:t xml:space="preserve">Indeed informó un salario base promedio para</w:t>
      </w:r>
      <w:r>
        <w:t xml:space="preserve"> </w:t>
      </w:r>
      <w:r>
        <w:rPr>
          <w:bCs/>
          <w:b/>
        </w:rPr>
        <w:t xml:space="preserve">Coordinador/a de eventos</w:t>
      </w:r>
      <w:r>
        <w:t xml:space="preserve"> </w:t>
      </w:r>
      <w:r>
        <w:t xml:space="preserve">en Colombia de aproximadamente</w:t>
      </w:r>
      <w:r>
        <w:t xml:space="preserve"> </w:t>
      </w:r>
      <w:r>
        <w:rPr>
          <w:bCs/>
          <w:b/>
        </w:rPr>
        <w:t xml:space="preserve">COP 2,216,074 al mes</w:t>
      </w:r>
      <w:r>
        <w:t xml:space="preserve">, basado en</w:t>
      </w:r>
      <w:r>
        <w:t xml:space="preserve"> </w:t>
      </w:r>
      <w:r>
        <w:rPr>
          <w:bCs/>
          <w:b/>
        </w:rPr>
        <w:t xml:space="preserve">20 salarios reportados</w:t>
      </w:r>
      <w:r>
        <w:t xml:space="preserve">, actualizado el</w:t>
      </w:r>
      <w:r>
        <w:t xml:space="preserve"> </w:t>
      </w:r>
      <w:r>
        <w:rPr>
          <w:bCs/>
          <w:b/>
        </w:rPr>
        <w:t xml:space="preserve">9 de julio de 2026</w:t>
      </w:r>
      <w:r>
        <w:t xml:space="preserve">.</w:t>
      </w:r>
    </w:p>
    <w:p>
      <w:pPr>
        <w:pStyle w:val="BodyText"/>
      </w:pPr>
      <w:r>
        <w:t xml:space="preserve">Para Bogotá, Indeed informó aproximadamente</w:t>
      </w:r>
      <w:r>
        <w:t xml:space="preserve"> </w:t>
      </w:r>
      <w:r>
        <w:rPr>
          <w:bCs/>
          <w:b/>
        </w:rPr>
        <w:t xml:space="preserve">COP 2,100,876 al mes</w:t>
      </w:r>
      <w:r>
        <w:t xml:space="preserve">, basado en</w:t>
      </w:r>
      <w:r>
        <w:t xml:space="preserve"> </w:t>
      </w:r>
      <w:r>
        <w:rPr>
          <w:bCs/>
          <w:b/>
        </w:rPr>
        <w:t xml:space="preserve">12 salarios reportados</w:t>
      </w:r>
      <w:r>
        <w:t xml:space="preserve">, también actualizado el 9 de julio de 2026.</w:t>
      </w:r>
    </w:p>
    <w:p>
      <w:pPr>
        <w:pStyle w:val="BodyText"/>
      </w:pPr>
      <w:r>
        <w:t xml:space="preserve">Fuentes:</w:t>
      </w:r>
      <w:r>
        <w:t xml:space="preserve"> </w:t>
      </w:r>
      <w:hyperlink r:id="rId72">
        <w:hyperlink r:id="rId72">
          <w:r>
            <w:rPr>
              <w:rStyle w:val="Hyperlink"/>
            </w:rPr>
            <w:t xml:space="preserve">Source link</w:t>
          </w:r>
        </w:hyperlink>
      </w:hyperlink>
      <w:r>
        <w:br/>
      </w:r>
      <w:hyperlink r:id="rId73">
        <w:hyperlink r:id="rId73">
          <w:r>
            <w:rPr>
              <w:rStyle w:val="Hyperlink"/>
            </w:rPr>
            <w:t xml:space="preserve">Source link</w:t>
          </w:r>
        </w:hyperlink>
      </w:hyperlink>
    </w:p>
    <w:p>
      <w:pPr>
        <w:pStyle w:val="BodyText"/>
      </w:pPr>
      <w:r>
        <w:t xml:space="preserve">Estas son</w:t>
      </w:r>
      <w:r>
        <w:t xml:space="preserve"> </w:t>
      </w:r>
      <w:r>
        <w:rPr>
          <w:bCs/>
          <w:b/>
        </w:rPr>
        <w:t xml:space="preserve">estimaciones de mercado no gubernamentales con muestras pequeñas</w:t>
      </w:r>
      <w:r>
        <w:t xml:space="preserve">, no estadísticas salariales oficiales ni remuneración garantizada. La hotelería frente a eventos corporativos, incentivos de ventas, idiomas, ciudad, horario, complejidad del evento, empleador y antigüedad pueden cambiar materialmente el salario.</w:t>
      </w:r>
    </w:p>
    <w:bookmarkEnd w:id="74"/>
    <w:bookmarkStart w:id="77" w:name="ruta-para-américa-latina-y-el-caribe"/>
    <w:p>
      <w:pPr>
        <w:pStyle w:val="Heading2"/>
      </w:pPr>
      <w:r>
        <w:t xml:space="preserve">Ruta para América Latina y el Caribe</w:t>
      </w:r>
    </w:p>
    <w:p>
      <w:pPr>
        <w:pStyle w:val="FirstParagraph"/>
      </w:pPr>
      <w:r>
        <w:t xml:space="preserve">Los sistemas de capacitación varían en la región. OIT/Cinterfor, centro especializado de la OIT para formación profesional, coordina una red de instituciones de formación profesional en América Latina y el Caribe y ofrece recursos por país e institución.</w:t>
      </w:r>
    </w:p>
    <w:p>
      <w:pPr>
        <w:pStyle w:val="BodyText"/>
      </w:pPr>
      <w:r>
        <w:t xml:space="preserve">Puntos de partida:</w:t>
      </w:r>
    </w:p>
    <w:p>
      <w:pPr>
        <w:pStyle w:val="BodyText"/>
      </w:pPr>
      <w:hyperlink r:id="rId75">
        <w:r>
          <w:rPr>
            <w:rStyle w:val="Hyperlink"/>
          </w:rPr>
          <w:t xml:space="preserve">https://www.oitcinterfor.org/</w:t>
        </w:r>
      </w:hyperlink>
      <w:r>
        <w:br/>
      </w:r>
      <w:hyperlink r:id="rId76">
        <w:r>
          <w:rPr>
            <w:rStyle w:val="Hyperlink"/>
          </w:rPr>
          <w:t xml:space="preserve">https://www.oitcinterfor.org/statsfp/paises</w:t>
        </w:r>
      </w:hyperlink>
    </w:p>
    <w:p>
      <w:pPr>
        <w:pStyle w:val="BodyText"/>
      </w:pPr>
      <w:r>
        <w:t xml:space="preserve">La red puede usarse para identificar la institución pública o de formación profesional correspondiente del país, y después verificar directamente el catálogo actual, costo, modalidad, elegibilidad, financiamiento y fechas de postulación.</w:t>
      </w:r>
    </w:p>
    <w:p>
      <w:pPr>
        <w:pStyle w:val="BodyText"/>
      </w:pPr>
      <w:r>
        <w:t xml:space="preserve">Las instituciones públicas de la región pueden ofrecer formación en hotelería, turismo, administración, servicio al cliente, habilidades digitales, mercadeo, apoyo audiovisual o áreas relacionadas con eventos aun cuando no exista un programa llamado exactamente “coordinador de eventos”.</w:t>
      </w:r>
    </w:p>
    <w:p>
      <w:pPr>
        <w:pStyle w:val="BodyText"/>
      </w:pPr>
      <w:r>
        <w:t xml:space="preserve">Un directorio regional es un</w:t>
      </w:r>
      <w:r>
        <w:t xml:space="preserve"> </w:t>
      </w:r>
      <w:r>
        <w:rPr>
          <w:bCs/>
          <w:b/>
        </w:rPr>
        <w:t xml:space="preserve">localizador</w:t>
      </w:r>
      <w:r>
        <w:t xml:space="preserve">, no prueba de que un curso, beca, aprendizaje o empleo específico esté abierto.</w:t>
      </w:r>
    </w:p>
    <w:bookmarkEnd w:id="77"/>
    <w:bookmarkStart w:id="78" w:name="certificaciones-y-capacitación-pagada"/>
    <w:p>
      <w:pPr>
        <w:pStyle w:val="Heading2"/>
      </w:pPr>
      <w:r>
        <w:t xml:space="preserve">Certificaciones y capacitación pagada</w:t>
      </w:r>
    </w:p>
    <w:p>
      <w:pPr>
        <w:pStyle w:val="FirstParagraph"/>
      </w:pPr>
      <w:r>
        <w:t xml:space="preserve">Las credenciales de la industria de eventos pueden ser útiles en algunos mercados, especialmente más adelante en la carrera, pero deben tratarse como una decisión de inversión.</w:t>
      </w:r>
    </w:p>
    <w:p>
      <w:pPr>
        <w:pStyle w:val="BodyText"/>
      </w:pPr>
      <w:r>
        <w:t xml:space="preserve">Antes de pagar una certificación o curso privado, conviene preguntar:</w:t>
      </w:r>
    </w:p>
    <w:p>
      <w:pPr>
        <w:numPr>
          <w:ilvl w:val="0"/>
          <w:numId w:val="1034"/>
        </w:numPr>
        <w:pStyle w:val="Compact"/>
      </w:pPr>
      <w:r>
        <w:t xml:space="preserve">¿Los empleadores objetivo realmente la solicitan?</w:t>
      </w:r>
    </w:p>
    <w:p>
      <w:pPr>
        <w:numPr>
          <w:ilvl w:val="0"/>
          <w:numId w:val="1034"/>
        </w:numPr>
        <w:pStyle w:val="Compact"/>
      </w:pPr>
      <w:r>
        <w:t xml:space="preserve">¿Es apropiada para nivel inicial o está diseñada para planificadores con experiencia?</w:t>
      </w:r>
    </w:p>
    <w:p>
      <w:pPr>
        <w:numPr>
          <w:ilvl w:val="0"/>
          <w:numId w:val="1034"/>
        </w:numPr>
        <w:pStyle w:val="Compact"/>
      </w:pPr>
      <w:r>
        <w:t xml:space="preserve">¿Exige experiencia previa?</w:t>
      </w:r>
    </w:p>
    <w:p>
      <w:pPr>
        <w:numPr>
          <w:ilvl w:val="0"/>
          <w:numId w:val="1034"/>
        </w:numPr>
        <w:pStyle w:val="Compact"/>
      </w:pPr>
      <w:r>
        <w:t xml:space="preserve">¿Cuál es el costo total, incluyendo examen, membresía, renovación, viajes o educación continua?</w:t>
      </w:r>
    </w:p>
    <w:p>
      <w:pPr>
        <w:numPr>
          <w:ilvl w:val="0"/>
          <w:numId w:val="1034"/>
        </w:numPr>
        <w:pStyle w:val="Compact"/>
      </w:pPr>
      <w:r>
        <w:t xml:space="preserve">¿Existe reembolso del empleador?</w:t>
      </w:r>
    </w:p>
    <w:p>
      <w:pPr>
        <w:numPr>
          <w:ilvl w:val="0"/>
          <w:numId w:val="1034"/>
        </w:numPr>
        <w:pStyle w:val="Compact"/>
      </w:pPr>
      <w:r>
        <w:t xml:space="preserve">¿Hay primero una ruta de</w:t>
      </w:r>
      <w:r>
        <w:t xml:space="preserve"> </w:t>
      </w:r>
      <w:r>
        <w:rPr>
          <w:iCs/>
          <w:i/>
        </w:rPr>
        <w:t xml:space="preserve">college</w:t>
      </w:r>
      <w:r>
        <w:t xml:space="preserve"> </w:t>
      </w:r>
      <w:r>
        <w:t xml:space="preserve">público, fuerza laboral, SENA o capacitación del empleador?</w:t>
      </w:r>
    </w:p>
    <w:p>
      <w:pPr>
        <w:numPr>
          <w:ilvl w:val="0"/>
          <w:numId w:val="1034"/>
        </w:numPr>
        <w:pStyle w:val="Compact"/>
      </w:pPr>
      <w:r>
        <w:t xml:space="preserve">¿La capacitación produce habilidades demostrables o solamente un certificado de finalización?</w:t>
      </w:r>
    </w:p>
    <w:p>
      <w:pPr>
        <w:pStyle w:val="FirstParagraph"/>
      </w:pPr>
      <w:r>
        <w:t xml:space="preserve">Un certificado de finalización de curso no es lo mismo que licencia profesional, acreditación ni reconocimiento garantizado del empleador.</w:t>
      </w:r>
    </w:p>
    <w:bookmarkEnd w:id="78"/>
    <w:bookmarkStart w:id="79" w:name="Xf110202626ce43692adfe056ed77ae7cb31b2f8"/>
    <w:p>
      <w:pPr>
        <w:pStyle w:val="Heading2"/>
      </w:pPr>
      <w:r>
        <w:t xml:space="preserve">Construir experiencia antes de gastar mucho</w:t>
      </w:r>
    </w:p>
    <w:p>
      <w:pPr>
        <w:pStyle w:val="FirstParagraph"/>
      </w:pPr>
      <w:r>
        <w:t xml:space="preserve">Formas de bajo costo para construir evidencia pueden incluir:</w:t>
      </w:r>
    </w:p>
    <w:p>
      <w:pPr>
        <w:numPr>
          <w:ilvl w:val="0"/>
          <w:numId w:val="1035"/>
        </w:numPr>
        <w:pStyle w:val="Compact"/>
      </w:pPr>
      <w:r>
        <w:t xml:space="preserve">apoyar un evento comunitario o sin fines de lucro bajo supervisión;</w:t>
      </w:r>
    </w:p>
    <w:p>
      <w:pPr>
        <w:numPr>
          <w:ilvl w:val="0"/>
          <w:numId w:val="1035"/>
        </w:numPr>
        <w:pStyle w:val="Compact"/>
      </w:pPr>
      <w:r>
        <w:t xml:space="preserve">ayudar a coordinar una reunión de trabajo;</w:t>
      </w:r>
    </w:p>
    <w:p>
      <w:pPr>
        <w:numPr>
          <w:ilvl w:val="0"/>
          <w:numId w:val="1035"/>
        </w:numPr>
        <w:pStyle w:val="Compact"/>
      </w:pPr>
      <w:r>
        <w:t xml:space="preserve">colaborar como voluntario en un equipo de registro de conferencias;</w:t>
      </w:r>
    </w:p>
    <w:p>
      <w:pPr>
        <w:numPr>
          <w:ilvl w:val="0"/>
          <w:numId w:val="1035"/>
        </w:numPr>
        <w:pStyle w:val="Compact"/>
      </w:pPr>
      <w:r>
        <w:t xml:space="preserve">apoyar un evento escolar, de biblioteca, cultural o de asociación;</w:t>
      </w:r>
    </w:p>
    <w:p>
      <w:pPr>
        <w:numPr>
          <w:ilvl w:val="0"/>
          <w:numId w:val="1035"/>
        </w:numPr>
        <w:pStyle w:val="Compact"/>
      </w:pPr>
      <w:r>
        <w:t xml:space="preserve">asumir un puesto de hotelería, banquetes, servicio al cliente o administración;</w:t>
      </w:r>
    </w:p>
    <w:p>
      <w:pPr>
        <w:numPr>
          <w:ilvl w:val="0"/>
          <w:numId w:val="1035"/>
        </w:numPr>
        <w:pStyle w:val="Compact"/>
      </w:pPr>
      <w:r>
        <w:t xml:space="preserve">crear planes ficticios de eventos que no usen datos personales reales;</w:t>
      </w:r>
    </w:p>
    <w:p>
      <w:pPr>
        <w:numPr>
          <w:ilvl w:val="0"/>
          <w:numId w:val="1035"/>
        </w:numPr>
        <w:pStyle w:val="Compact"/>
      </w:pPr>
      <w:r>
        <w:t xml:space="preserve">practicar presupuestos y cronogramas en hojas de cálculo;</w:t>
      </w:r>
    </w:p>
    <w:p>
      <w:pPr>
        <w:numPr>
          <w:ilvl w:val="0"/>
          <w:numId w:val="1035"/>
        </w:numPr>
        <w:pStyle w:val="Compact"/>
      </w:pPr>
      <w:r>
        <w:t xml:space="preserve">aprender fundamentos de documentos accesibles;</w:t>
      </w:r>
    </w:p>
    <w:p>
      <w:pPr>
        <w:numPr>
          <w:ilvl w:val="0"/>
          <w:numId w:val="1035"/>
        </w:numPr>
        <w:pStyle w:val="Compact"/>
      </w:pPr>
      <w:r>
        <w:t xml:space="preserve">practicar tablas de comparación de proveedores con información pública;</w:t>
      </w:r>
    </w:p>
    <w:p>
      <w:pPr>
        <w:numPr>
          <w:ilvl w:val="0"/>
          <w:numId w:val="1035"/>
        </w:numPr>
        <w:pStyle w:val="Compact"/>
      </w:pPr>
      <w:r>
        <w:t xml:space="preserve">aprender fundamentos de ciberseguridad y</w:t>
      </w:r>
      <w:r>
        <w:t xml:space="preserve"> </w:t>
      </w:r>
      <w:r>
        <w:rPr>
          <w:iCs/>
          <w:i/>
        </w:rPr>
        <w:t xml:space="preserve">phishing</w:t>
      </w:r>
      <w:r>
        <w:t xml:space="preserve">.</w:t>
      </w:r>
    </w:p>
    <w:p>
      <w:pPr>
        <w:pStyle w:val="FirstParagraph"/>
      </w:pPr>
      <w:r>
        <w:t xml:space="preserve">Si se trabaja como voluntario, se deben confirmar la función, supervisión, expectativas de seguros y seguridad, horario y reglas de manejo de datos. “Voluntario” no significa “sin controles”.</w:t>
      </w:r>
    </w:p>
    <w:bookmarkEnd w:id="79"/>
    <w:bookmarkStart w:id="86" w:name="ideas-para-el-portafolio"/>
    <w:p>
      <w:pPr>
        <w:pStyle w:val="Heading2"/>
      </w:pPr>
      <w:r>
        <w:t xml:space="preserve">Ideas para el portafolio</w:t>
      </w:r>
    </w:p>
    <w:p>
      <w:pPr>
        <w:pStyle w:val="FirstParagraph"/>
      </w:pPr>
      <w:r>
        <w:t xml:space="preserve">Un portafolio inicial puede usar escenarios ficticios o completamente desidentificados.</w:t>
      </w:r>
    </w:p>
    <w:p>
      <w:pPr>
        <w:pStyle w:val="BodyText"/>
      </w:pPr>
      <w:r>
        <w:t xml:space="preserve">Muestras útiles incluyen:</w:t>
      </w:r>
    </w:p>
    <w:bookmarkStart w:id="80" w:name="resumen-del-evento"/>
    <w:p>
      <w:pPr>
        <w:pStyle w:val="Heading3"/>
      </w:pPr>
      <w:r>
        <w:t xml:space="preserve">Resumen del evento</w:t>
      </w:r>
    </w:p>
    <w:p>
      <w:pPr>
        <w:pStyle w:val="FirstParagraph"/>
      </w:pPr>
      <w:r>
        <w:t xml:space="preserve">Mostrar:</w:t>
      </w:r>
    </w:p>
    <w:p>
      <w:pPr>
        <w:numPr>
          <w:ilvl w:val="0"/>
          <w:numId w:val="1036"/>
        </w:numPr>
        <w:pStyle w:val="Compact"/>
      </w:pPr>
      <w:r>
        <w:t xml:space="preserve">objetivo;</w:t>
      </w:r>
    </w:p>
    <w:p>
      <w:pPr>
        <w:numPr>
          <w:ilvl w:val="0"/>
          <w:numId w:val="1036"/>
        </w:numPr>
        <w:pStyle w:val="Compact"/>
      </w:pPr>
      <w:r>
        <w:t xml:space="preserve">público;</w:t>
      </w:r>
    </w:p>
    <w:p>
      <w:pPr>
        <w:numPr>
          <w:ilvl w:val="0"/>
          <w:numId w:val="1036"/>
        </w:numPr>
        <w:pStyle w:val="Compact"/>
      </w:pPr>
      <w:r>
        <w:t xml:space="preserve">supuestos;</w:t>
      </w:r>
    </w:p>
    <w:p>
      <w:pPr>
        <w:numPr>
          <w:ilvl w:val="0"/>
          <w:numId w:val="1036"/>
        </w:numPr>
        <w:pStyle w:val="Compact"/>
      </w:pPr>
      <w:r>
        <w:t xml:space="preserve">rango de presupuesto;</w:t>
      </w:r>
    </w:p>
    <w:p>
      <w:pPr>
        <w:numPr>
          <w:ilvl w:val="0"/>
          <w:numId w:val="1036"/>
        </w:numPr>
        <w:pStyle w:val="Compact"/>
      </w:pPr>
      <w:r>
        <w:t xml:space="preserve">fecha y ubicación;</w:t>
      </w:r>
    </w:p>
    <w:p>
      <w:pPr>
        <w:numPr>
          <w:ilvl w:val="0"/>
          <w:numId w:val="1036"/>
        </w:numPr>
        <w:pStyle w:val="Compact"/>
      </w:pPr>
      <w:r>
        <w:t xml:space="preserve">consideraciones de accesibilidad;</w:t>
      </w:r>
    </w:p>
    <w:p>
      <w:pPr>
        <w:numPr>
          <w:ilvl w:val="0"/>
          <w:numId w:val="1036"/>
        </w:numPr>
        <w:pStyle w:val="Compact"/>
      </w:pPr>
      <w:r>
        <w:t xml:space="preserve">medidas de éxito.</w:t>
      </w:r>
    </w:p>
    <w:bookmarkEnd w:id="80"/>
    <w:bookmarkStart w:id="81" w:name="cronograma-de-planificación"/>
    <w:p>
      <w:pPr>
        <w:pStyle w:val="Heading3"/>
      </w:pPr>
      <w:r>
        <w:t xml:space="preserve">Cronograma de planificación</w:t>
      </w:r>
    </w:p>
    <w:p>
      <w:pPr>
        <w:pStyle w:val="FirstParagraph"/>
      </w:pPr>
      <w:r>
        <w:t xml:space="preserve">Crear hitos para:</w:t>
      </w:r>
    </w:p>
    <w:p>
      <w:pPr>
        <w:numPr>
          <w:ilvl w:val="0"/>
          <w:numId w:val="1037"/>
        </w:numPr>
        <w:pStyle w:val="Compact"/>
      </w:pPr>
      <w:r>
        <w:t xml:space="preserve">confirmación del lugar;</w:t>
      </w:r>
    </w:p>
    <w:p>
      <w:pPr>
        <w:numPr>
          <w:ilvl w:val="0"/>
          <w:numId w:val="1037"/>
        </w:numPr>
        <w:pStyle w:val="Compact"/>
      </w:pPr>
      <w:r>
        <w:t xml:space="preserve">lanzamiento del registro;</w:t>
      </w:r>
    </w:p>
    <w:p>
      <w:pPr>
        <w:numPr>
          <w:ilvl w:val="0"/>
          <w:numId w:val="1037"/>
        </w:numPr>
        <w:pStyle w:val="Compact"/>
      </w:pPr>
      <w:r>
        <w:t xml:space="preserve">fechas límite de proveedores;</w:t>
      </w:r>
    </w:p>
    <w:p>
      <w:pPr>
        <w:numPr>
          <w:ilvl w:val="0"/>
          <w:numId w:val="1037"/>
        </w:numPr>
        <w:pStyle w:val="Compact"/>
      </w:pPr>
      <w:r>
        <w:t xml:space="preserve">materiales de ponentes;</w:t>
      </w:r>
    </w:p>
    <w:p>
      <w:pPr>
        <w:numPr>
          <w:ilvl w:val="0"/>
          <w:numId w:val="1037"/>
        </w:numPr>
        <w:pStyle w:val="Compact"/>
      </w:pPr>
      <w:r>
        <w:t xml:space="preserve">confirmaciones de accesibilidad;</w:t>
      </w:r>
    </w:p>
    <w:p>
      <w:pPr>
        <w:numPr>
          <w:ilvl w:val="0"/>
          <w:numId w:val="1037"/>
        </w:numPr>
        <w:pStyle w:val="Compact"/>
      </w:pPr>
      <w:r>
        <w:t xml:space="preserve">recordatorios a asistentes;</w:t>
      </w:r>
    </w:p>
    <w:p>
      <w:pPr>
        <w:numPr>
          <w:ilvl w:val="0"/>
          <w:numId w:val="1037"/>
        </w:numPr>
        <w:pStyle w:val="Compact"/>
      </w:pPr>
      <w:r>
        <w:t xml:space="preserve">conteos finales;</w:t>
      </w:r>
    </w:p>
    <w:p>
      <w:pPr>
        <w:numPr>
          <w:ilvl w:val="0"/>
          <w:numId w:val="1037"/>
        </w:numPr>
        <w:pStyle w:val="Compact"/>
      </w:pPr>
      <w:r>
        <w:t xml:space="preserve">montaje del día del evento;</w:t>
      </w:r>
    </w:p>
    <w:p>
      <w:pPr>
        <w:numPr>
          <w:ilvl w:val="0"/>
          <w:numId w:val="1037"/>
        </w:numPr>
        <w:pStyle w:val="Compact"/>
      </w:pPr>
      <w:r>
        <w:t xml:space="preserve">cierre posterior.</w:t>
      </w:r>
    </w:p>
    <w:bookmarkEnd w:id="81"/>
    <w:bookmarkStart w:id="82" w:name="control-de-presupuesto"/>
    <w:p>
      <w:pPr>
        <w:pStyle w:val="Heading3"/>
      </w:pPr>
      <w:r>
        <w:t xml:space="preserve">Control de presupuesto</w:t>
      </w:r>
    </w:p>
    <w:p>
      <w:pPr>
        <w:pStyle w:val="FirstParagraph"/>
      </w:pPr>
      <w:r>
        <w:t xml:space="preserve">Incluir columnas para:</w:t>
      </w:r>
    </w:p>
    <w:p>
      <w:pPr>
        <w:numPr>
          <w:ilvl w:val="0"/>
          <w:numId w:val="1038"/>
        </w:numPr>
        <w:pStyle w:val="Compact"/>
      </w:pPr>
      <w:r>
        <w:t xml:space="preserve">categoría;</w:t>
      </w:r>
    </w:p>
    <w:p>
      <w:pPr>
        <w:numPr>
          <w:ilvl w:val="0"/>
          <w:numId w:val="1038"/>
        </w:numPr>
        <w:pStyle w:val="Compact"/>
      </w:pPr>
      <w:r>
        <w:t xml:space="preserve">estimación;</w:t>
      </w:r>
    </w:p>
    <w:p>
      <w:pPr>
        <w:numPr>
          <w:ilvl w:val="0"/>
          <w:numId w:val="1038"/>
        </w:numPr>
        <w:pStyle w:val="Compact"/>
      </w:pPr>
      <w:r>
        <w:t xml:space="preserve">monto aprobado;</w:t>
      </w:r>
    </w:p>
    <w:p>
      <w:pPr>
        <w:numPr>
          <w:ilvl w:val="0"/>
          <w:numId w:val="1038"/>
        </w:numPr>
        <w:pStyle w:val="Compact"/>
      </w:pPr>
      <w:r>
        <w:t xml:space="preserve">monto comprometido;</w:t>
      </w:r>
    </w:p>
    <w:p>
      <w:pPr>
        <w:numPr>
          <w:ilvl w:val="0"/>
          <w:numId w:val="1038"/>
        </w:numPr>
        <w:pStyle w:val="Compact"/>
      </w:pPr>
      <w:r>
        <w:t xml:space="preserve">factura real;</w:t>
      </w:r>
    </w:p>
    <w:p>
      <w:pPr>
        <w:numPr>
          <w:ilvl w:val="0"/>
          <w:numId w:val="1038"/>
        </w:numPr>
        <w:pStyle w:val="Compact"/>
      </w:pPr>
      <w:r>
        <w:t xml:space="preserve">variación;</w:t>
      </w:r>
    </w:p>
    <w:p>
      <w:pPr>
        <w:numPr>
          <w:ilvl w:val="0"/>
          <w:numId w:val="1038"/>
        </w:numPr>
        <w:pStyle w:val="Compact"/>
      </w:pPr>
      <w:r>
        <w:t xml:space="preserve">responsable de aprobación;</w:t>
      </w:r>
    </w:p>
    <w:p>
      <w:pPr>
        <w:numPr>
          <w:ilvl w:val="0"/>
          <w:numId w:val="1038"/>
        </w:numPr>
        <w:pStyle w:val="Compact"/>
      </w:pPr>
      <w:r>
        <w:t xml:space="preserve">notas.</w:t>
      </w:r>
    </w:p>
    <w:p>
      <w:pPr>
        <w:pStyle w:val="FirstParagraph"/>
      </w:pPr>
      <w:r>
        <w:t xml:space="preserve">Utilizar números inventados salvo que exista autorización para divulgar datos empresariales reales.</w:t>
      </w:r>
    </w:p>
    <w:bookmarkEnd w:id="82"/>
    <w:bookmarkStart w:id="83" w:name="programa-operativo-o-run-of-show"/>
    <w:p>
      <w:pPr>
        <w:pStyle w:val="Heading3"/>
      </w:pPr>
      <w:r>
        <w:t xml:space="preserve">Programa operativo o</w:t>
      </w:r>
      <w:r>
        <w:t xml:space="preserve"> </w:t>
      </w:r>
      <w:r>
        <w:rPr>
          <w:iCs/>
          <w:i/>
        </w:rPr>
        <w:t xml:space="preserve">run of show</w:t>
      </w:r>
    </w:p>
    <w:p>
      <w:pPr>
        <w:pStyle w:val="FirstParagraph"/>
      </w:pPr>
      <w:r>
        <w:t xml:space="preserve">Incluir:</w:t>
      </w:r>
    </w:p>
    <w:p>
      <w:pPr>
        <w:numPr>
          <w:ilvl w:val="0"/>
          <w:numId w:val="1039"/>
        </w:numPr>
        <w:pStyle w:val="Compact"/>
      </w:pPr>
      <w:r>
        <w:t xml:space="preserve">hora;</w:t>
      </w:r>
    </w:p>
    <w:p>
      <w:pPr>
        <w:numPr>
          <w:ilvl w:val="0"/>
          <w:numId w:val="1039"/>
        </w:numPr>
        <w:pStyle w:val="Compact"/>
      </w:pPr>
      <w:r>
        <w:t xml:space="preserve">actividad;</w:t>
      </w:r>
    </w:p>
    <w:p>
      <w:pPr>
        <w:numPr>
          <w:ilvl w:val="0"/>
          <w:numId w:val="1039"/>
        </w:numPr>
        <w:pStyle w:val="Compact"/>
      </w:pPr>
      <w:r>
        <w:t xml:space="preserve">responsable;</w:t>
      </w:r>
    </w:p>
    <w:p>
      <w:pPr>
        <w:numPr>
          <w:ilvl w:val="0"/>
          <w:numId w:val="1039"/>
        </w:numPr>
        <w:pStyle w:val="Compact"/>
      </w:pPr>
      <w:r>
        <w:t xml:space="preserve">ubicación;</w:t>
      </w:r>
    </w:p>
    <w:p>
      <w:pPr>
        <w:numPr>
          <w:ilvl w:val="0"/>
          <w:numId w:val="1039"/>
        </w:numPr>
        <w:pStyle w:val="Compact"/>
      </w:pPr>
      <w:r>
        <w:t xml:space="preserve">dependencias;</w:t>
      </w:r>
    </w:p>
    <w:p>
      <w:pPr>
        <w:numPr>
          <w:ilvl w:val="0"/>
          <w:numId w:val="1039"/>
        </w:numPr>
        <w:pStyle w:val="Compact"/>
      </w:pPr>
      <w:r>
        <w:t xml:space="preserve">señal de comunicación;</w:t>
      </w:r>
    </w:p>
    <w:p>
      <w:pPr>
        <w:numPr>
          <w:ilvl w:val="0"/>
          <w:numId w:val="1039"/>
        </w:numPr>
        <w:pStyle w:val="Compact"/>
      </w:pPr>
      <w:r>
        <w:t xml:space="preserve">acción de respaldo;</w:t>
      </w:r>
    </w:p>
    <w:p>
      <w:pPr>
        <w:numPr>
          <w:ilvl w:val="0"/>
          <w:numId w:val="1039"/>
        </w:numPr>
        <w:pStyle w:val="Compact"/>
      </w:pPr>
      <w:r>
        <w:t xml:space="preserve">rol del contacto de escalamiento.</w:t>
      </w:r>
    </w:p>
    <w:p>
      <w:pPr>
        <w:pStyle w:val="FirstParagraph"/>
      </w:pPr>
      <w:r>
        <w:t xml:space="preserve">No publicar detalles reales sensibles de seguridad o movimientos ejecutivos.</w:t>
      </w:r>
    </w:p>
    <w:bookmarkEnd w:id="83"/>
    <w:bookmarkStart w:id="84" w:name="flujo-de-registro"/>
    <w:p>
      <w:pPr>
        <w:pStyle w:val="Heading3"/>
      </w:pPr>
      <w:r>
        <w:t xml:space="preserve">Flujo de registro</w:t>
      </w:r>
    </w:p>
    <w:p>
      <w:pPr>
        <w:pStyle w:val="FirstParagraph"/>
      </w:pPr>
      <w:r>
        <w:t xml:space="preserve">Mostrar cómo un participante pasa por:</w:t>
      </w:r>
    </w:p>
    <w:p>
      <w:pPr>
        <w:pStyle w:val="BodyText"/>
      </w:pPr>
      <w:r>
        <w:t xml:space="preserve">invitación → registro → solicitud de adaptación → confirmación → recordatorio → ingreso → retroalimentación → cierre del registro.</w:t>
      </w:r>
    </w:p>
    <w:p>
      <w:pPr>
        <w:pStyle w:val="BodyText"/>
      </w:pPr>
      <w:r>
        <w:t xml:space="preserve">Explicar qué información es realmente necesaria en cada etapa.</w:t>
      </w:r>
    </w:p>
    <w:bookmarkEnd w:id="84"/>
    <w:bookmarkStart w:id="85" w:name="informe-posterior-al-evento"/>
    <w:p>
      <w:pPr>
        <w:pStyle w:val="Heading3"/>
      </w:pPr>
      <w:r>
        <w:t xml:space="preserve">Informe posterior al evento</w:t>
      </w:r>
    </w:p>
    <w:p>
      <w:pPr>
        <w:pStyle w:val="FirstParagraph"/>
      </w:pPr>
      <w:r>
        <w:t xml:space="preserve">Resumir:</w:t>
      </w:r>
    </w:p>
    <w:p>
      <w:pPr>
        <w:numPr>
          <w:ilvl w:val="0"/>
          <w:numId w:val="1040"/>
        </w:numPr>
        <w:pStyle w:val="Compact"/>
      </w:pPr>
      <w:r>
        <w:t xml:space="preserve">asistencia;</w:t>
      </w:r>
    </w:p>
    <w:p>
      <w:pPr>
        <w:numPr>
          <w:ilvl w:val="0"/>
          <w:numId w:val="1040"/>
        </w:numPr>
        <w:pStyle w:val="Compact"/>
      </w:pPr>
      <w:r>
        <w:t xml:space="preserve">cumplimiento de objetivos;</w:t>
      </w:r>
    </w:p>
    <w:p>
      <w:pPr>
        <w:numPr>
          <w:ilvl w:val="0"/>
          <w:numId w:val="1040"/>
        </w:numPr>
        <w:pStyle w:val="Compact"/>
      </w:pPr>
      <w:r>
        <w:t xml:space="preserve">estado presupuestario;</w:t>
      </w:r>
    </w:p>
    <w:p>
      <w:pPr>
        <w:numPr>
          <w:ilvl w:val="0"/>
          <w:numId w:val="1040"/>
        </w:numPr>
        <w:pStyle w:val="Compact"/>
      </w:pPr>
      <w:r>
        <w:t xml:space="preserve">problemas operativos;</w:t>
      </w:r>
    </w:p>
    <w:p>
      <w:pPr>
        <w:numPr>
          <w:ilvl w:val="0"/>
          <w:numId w:val="1040"/>
        </w:numPr>
        <w:pStyle w:val="Compact"/>
      </w:pPr>
      <w:r>
        <w:t xml:space="preserve">retroalimentación sobre accesibilidad;</w:t>
      </w:r>
    </w:p>
    <w:p>
      <w:pPr>
        <w:numPr>
          <w:ilvl w:val="0"/>
          <w:numId w:val="1040"/>
        </w:numPr>
        <w:pStyle w:val="Compact"/>
      </w:pPr>
      <w:r>
        <w:t xml:space="preserve">seguimiento de proveedores;</w:t>
      </w:r>
    </w:p>
    <w:p>
      <w:pPr>
        <w:numPr>
          <w:ilvl w:val="0"/>
          <w:numId w:val="1040"/>
        </w:numPr>
        <w:pStyle w:val="Compact"/>
      </w:pPr>
      <w:r>
        <w:t xml:space="preserve">lecciones aprendidas;</w:t>
      </w:r>
    </w:p>
    <w:p>
      <w:pPr>
        <w:numPr>
          <w:ilvl w:val="0"/>
          <w:numId w:val="1040"/>
        </w:numPr>
        <w:pStyle w:val="Compact"/>
      </w:pPr>
      <w:r>
        <w:t xml:space="preserve">mejoras recomendadas.</w:t>
      </w:r>
    </w:p>
    <w:bookmarkEnd w:id="85"/>
    <w:bookmarkEnd w:id="86"/>
    <w:bookmarkStart w:id="87" w:name="orientación-para-el-currículum-o-résumé"/>
    <w:p>
      <w:pPr>
        <w:pStyle w:val="Heading2"/>
      </w:pPr>
      <w:r>
        <w:t xml:space="preserve">Orientación para el currículum o résumé</w:t>
      </w:r>
    </w:p>
    <w:p>
      <w:pPr>
        <w:pStyle w:val="FirstParagraph"/>
      </w:pPr>
      <w:r>
        <w:t xml:space="preserve">Usar evidencia, no adjetivos.</w:t>
      </w:r>
    </w:p>
    <w:p>
      <w:pPr>
        <w:pStyle w:val="BodyText"/>
      </w:pPr>
      <w:r>
        <w:t xml:space="preserve">Débil:</w:t>
      </w:r>
    </w:p>
    <w:p>
      <w:pPr>
        <w:pStyle w:val="BlockText"/>
      </w:pPr>
      <w:r>
        <w:t xml:space="preserve">Excelente profesional de eventos con increíbles habilidades organizativas.</w:t>
      </w:r>
    </w:p>
    <w:p>
      <w:pPr>
        <w:pStyle w:val="FirstParagraph"/>
      </w:pPr>
      <w:r>
        <w:t xml:space="preserve">Más sólido:</w:t>
      </w:r>
    </w:p>
    <w:p>
      <w:pPr>
        <w:pStyle w:val="BlockText"/>
      </w:pPr>
      <w:r>
        <w:t xml:space="preserve">Coordiné registro, horarios de proveedores, materiales del evento y comunicaciones de asistentes para una conferencia comunitaria de 150 personas; mantuve el control de planificación y resolví asuntos del día mediante el proceso de escalamiento del responsable del evento.</w:t>
      </w:r>
    </w:p>
    <w:p>
      <w:pPr>
        <w:pStyle w:val="FirstParagraph"/>
      </w:pPr>
      <w:r>
        <w:t xml:space="preserve">Solo se deben usar cifras que puedan respaldarse.</w:t>
      </w:r>
    </w:p>
    <w:p>
      <w:pPr>
        <w:pStyle w:val="BodyText"/>
      </w:pPr>
      <w:r>
        <w:t xml:space="preserve">Evidencia relevante puede incluir:</w:t>
      </w:r>
    </w:p>
    <w:p>
      <w:pPr>
        <w:numPr>
          <w:ilvl w:val="0"/>
          <w:numId w:val="1041"/>
        </w:numPr>
        <w:pStyle w:val="Compact"/>
      </w:pPr>
      <w:r>
        <w:t xml:space="preserve">número o tipo de eventos apoyados;</w:t>
      </w:r>
    </w:p>
    <w:p>
      <w:pPr>
        <w:numPr>
          <w:ilvl w:val="0"/>
          <w:numId w:val="1041"/>
        </w:numPr>
        <w:pStyle w:val="Compact"/>
      </w:pPr>
      <w:r>
        <w:t xml:space="preserve">volumen de asistentes;</w:t>
      </w:r>
    </w:p>
    <w:p>
      <w:pPr>
        <w:numPr>
          <w:ilvl w:val="0"/>
          <w:numId w:val="1041"/>
        </w:numPr>
        <w:pStyle w:val="Compact"/>
      </w:pPr>
      <w:r>
        <w:t xml:space="preserve">responsabilidad de seguimiento presupuestario sin afirmar autoridad de aprobación que no se tuvo;</w:t>
      </w:r>
    </w:p>
    <w:p>
      <w:pPr>
        <w:numPr>
          <w:ilvl w:val="0"/>
          <w:numId w:val="1041"/>
        </w:numPr>
        <w:pStyle w:val="Compact"/>
      </w:pPr>
      <w:r>
        <w:t xml:space="preserve">cantidad de proveedores;</w:t>
      </w:r>
    </w:p>
    <w:p>
      <w:pPr>
        <w:numPr>
          <w:ilvl w:val="0"/>
          <w:numId w:val="1041"/>
        </w:numPr>
        <w:pStyle w:val="Compact"/>
      </w:pPr>
      <w:r>
        <w:t xml:space="preserve">sistemas de registro utilizados;</w:t>
      </w:r>
    </w:p>
    <w:p>
      <w:pPr>
        <w:numPr>
          <w:ilvl w:val="0"/>
          <w:numId w:val="1041"/>
        </w:numPr>
        <w:pStyle w:val="Compact"/>
      </w:pPr>
      <w:r>
        <w:t xml:space="preserve">trabajo con hojas de cálculo o reportes;</w:t>
      </w:r>
    </w:p>
    <w:p>
      <w:pPr>
        <w:numPr>
          <w:ilvl w:val="0"/>
          <w:numId w:val="1041"/>
        </w:numPr>
        <w:pStyle w:val="Compact"/>
      </w:pPr>
      <w:r>
        <w:t xml:space="preserve">hitos cumplidos a tiempo;</w:t>
      </w:r>
    </w:p>
    <w:p>
      <w:pPr>
        <w:numPr>
          <w:ilvl w:val="0"/>
          <w:numId w:val="1041"/>
        </w:numPr>
        <w:pStyle w:val="Compact"/>
      </w:pPr>
      <w:r>
        <w:t xml:space="preserve">resultados de servicio al cliente;</w:t>
      </w:r>
    </w:p>
    <w:p>
      <w:pPr>
        <w:numPr>
          <w:ilvl w:val="0"/>
          <w:numId w:val="1041"/>
        </w:numPr>
        <w:pStyle w:val="Compact"/>
      </w:pPr>
      <w:r>
        <w:t xml:space="preserve">apoyo de accesibilidad;</w:t>
      </w:r>
    </w:p>
    <w:p>
      <w:pPr>
        <w:numPr>
          <w:ilvl w:val="0"/>
          <w:numId w:val="1041"/>
        </w:numPr>
        <w:pStyle w:val="Compact"/>
      </w:pPr>
      <w:r>
        <w:t xml:space="preserve">tecnología de eventos;</w:t>
      </w:r>
    </w:p>
    <w:p>
      <w:pPr>
        <w:numPr>
          <w:ilvl w:val="0"/>
          <w:numId w:val="1041"/>
        </w:numPr>
        <w:pStyle w:val="Compact"/>
      </w:pPr>
      <w:r>
        <w:t xml:space="preserve">comunicación bilingüe;</w:t>
      </w:r>
    </w:p>
    <w:p>
      <w:pPr>
        <w:numPr>
          <w:ilvl w:val="0"/>
          <w:numId w:val="1041"/>
        </w:numPr>
        <w:pStyle w:val="Compact"/>
      </w:pPr>
      <w:r>
        <w:t xml:space="preserve">mejoras de proceso;</w:t>
      </w:r>
    </w:p>
    <w:p>
      <w:pPr>
        <w:numPr>
          <w:ilvl w:val="0"/>
          <w:numId w:val="1041"/>
        </w:numPr>
        <w:pStyle w:val="Compact"/>
      </w:pPr>
      <w:r>
        <w:t xml:space="preserve">ejecución sin incidentes únicamente cuando exista un registro apropiado y sin implicar certificación de seguridad.</w:t>
      </w:r>
    </w:p>
    <w:bookmarkEnd w:id="87"/>
    <w:bookmarkStart w:id="93" w:name="preparación-para-entrevistas"/>
    <w:p>
      <w:pPr>
        <w:pStyle w:val="Heading2"/>
      </w:pPr>
      <w:r>
        <w:t xml:space="preserve">Preparación para entrevistas</w:t>
      </w:r>
    </w:p>
    <w:p>
      <w:pPr>
        <w:pStyle w:val="FirstParagraph"/>
      </w:pPr>
      <w:r>
        <w:t xml:space="preserve">Preguntas posibles:</w:t>
      </w:r>
    </w:p>
    <w:bookmarkStart w:id="88" w:name="cómo-manejas-varias-fechas-límite"/>
    <w:p>
      <w:pPr>
        <w:pStyle w:val="Heading3"/>
      </w:pPr>
      <w:r>
        <w:t xml:space="preserve">“¿Cómo manejas varias fechas límite?”</w:t>
      </w:r>
    </w:p>
    <w:p>
      <w:pPr>
        <w:pStyle w:val="FirstParagraph"/>
      </w:pPr>
      <w:r>
        <w:t xml:space="preserve">Una respuesta sólida explica el sistema real utilizado: lista de hitos, calendario, responsable, fecha, estado, dependencia, recordatorio y escalamiento.</w:t>
      </w:r>
    </w:p>
    <w:bookmarkEnd w:id="88"/>
    <w:bookmarkStart w:id="89" w:name="qué-harías-si-un-proveedor-no-llega"/>
    <w:p>
      <w:pPr>
        <w:pStyle w:val="Heading3"/>
      </w:pPr>
      <w:r>
        <w:t xml:space="preserve">“¿Qué harías si un proveedor no llega?”</w:t>
      </w:r>
    </w:p>
    <w:p>
      <w:pPr>
        <w:pStyle w:val="FirstParagraph"/>
      </w:pPr>
      <w:r>
        <w:t xml:space="preserve">Mostrar un escalamiento tranquilo:</w:t>
      </w:r>
    </w:p>
    <w:p>
      <w:pPr>
        <w:numPr>
          <w:ilvl w:val="0"/>
          <w:numId w:val="1042"/>
        </w:numPr>
        <w:pStyle w:val="Compact"/>
      </w:pPr>
      <w:r>
        <w:t xml:space="preserve">verificar la hora y contacto acordados;</w:t>
      </w:r>
    </w:p>
    <w:p>
      <w:pPr>
        <w:numPr>
          <w:ilvl w:val="0"/>
          <w:numId w:val="1042"/>
        </w:numPr>
        <w:pStyle w:val="Compact"/>
      </w:pPr>
      <w:r>
        <w:t xml:space="preserve">contactar al representante aprobado del proveedor;</w:t>
      </w:r>
    </w:p>
    <w:p>
      <w:pPr>
        <w:numPr>
          <w:ilvl w:val="0"/>
          <w:numId w:val="1042"/>
        </w:numPr>
        <w:pStyle w:val="Compact"/>
      </w:pPr>
      <w:r>
        <w:t xml:space="preserve">informar al responsable del evento;</w:t>
      </w:r>
    </w:p>
    <w:p>
      <w:pPr>
        <w:numPr>
          <w:ilvl w:val="0"/>
          <w:numId w:val="1042"/>
        </w:numPr>
        <w:pStyle w:val="Compact"/>
      </w:pPr>
      <w:r>
        <w:t xml:space="preserve">revisar el plan de respaldo autorizado;</w:t>
      </w:r>
    </w:p>
    <w:p>
      <w:pPr>
        <w:numPr>
          <w:ilvl w:val="0"/>
          <w:numId w:val="1042"/>
        </w:numPr>
        <w:pStyle w:val="Compact"/>
      </w:pPr>
      <w:r>
        <w:t xml:space="preserve">documentar el cambio;</w:t>
      </w:r>
    </w:p>
    <w:p>
      <w:pPr>
        <w:numPr>
          <w:ilvl w:val="0"/>
          <w:numId w:val="1042"/>
        </w:numPr>
        <w:pStyle w:val="Compact"/>
      </w:pPr>
      <w:r>
        <w:t xml:space="preserve">evitar hacer un compromiso financiero no autorizado.</w:t>
      </w:r>
    </w:p>
    <w:bookmarkEnd w:id="89"/>
    <w:bookmarkStart w:id="90" w:name="cómo-atiendes-a-un-asistente-molesto"/>
    <w:p>
      <w:pPr>
        <w:pStyle w:val="Heading3"/>
      </w:pPr>
      <w:r>
        <w:t xml:space="preserve">“¿Cómo atiendes a un asistente molesto?”</w:t>
      </w:r>
    </w:p>
    <w:p>
      <w:pPr>
        <w:pStyle w:val="FirstParagraph"/>
      </w:pPr>
      <w:r>
        <w:t xml:space="preserve">Mostrar escucha, comunicación respetuosa, opciones claras dentro de la autoridad, privacidad y escalamiento cuando sea necesario.</w:t>
      </w:r>
    </w:p>
    <w:bookmarkEnd w:id="90"/>
    <w:bookmarkStart w:id="91" w:name="X6c594cbacc23337f3715a83dc3bc907cfd9ebec"/>
    <w:p>
      <w:pPr>
        <w:pStyle w:val="Heading3"/>
      </w:pPr>
      <w:r>
        <w:t xml:space="preserve">“¿Cómo proteges la información de asistentes?”</w:t>
      </w:r>
    </w:p>
    <w:p>
      <w:pPr>
        <w:pStyle w:val="FirstParagraph"/>
      </w:pPr>
      <w:r>
        <w:t xml:space="preserve">Mencionar sistemas aprobados, acceso mínimo necesario, verificación del destinatario, MFA cuando esté disponible, conciencia de</w:t>
      </w:r>
      <w:r>
        <w:t xml:space="preserve"> </w:t>
      </w:r>
      <w:r>
        <w:rPr>
          <w:iCs/>
          <w:i/>
        </w:rPr>
        <w:t xml:space="preserve">phishing</w:t>
      </w:r>
      <w:r>
        <w:t xml:space="preserve">, evitar correo o almacenamiento personal y reporte rápido de sospechas de exposición.</w:t>
      </w:r>
    </w:p>
    <w:bookmarkEnd w:id="91"/>
    <w:bookmarkStart w:id="92" w:name="cómo-usarías-ia"/>
    <w:p>
      <w:pPr>
        <w:pStyle w:val="Heading3"/>
      </w:pPr>
      <w:r>
        <w:t xml:space="preserve">“¿Cómo usarías IA?”</w:t>
      </w:r>
    </w:p>
    <w:p>
      <w:pPr>
        <w:pStyle w:val="FirstParagraph"/>
      </w:pPr>
      <w:r>
        <w:t xml:space="preserve">Una respuesta segura es que la IA puede ayudar con borradores de bajo riesgo, listas u organización cuando esté aprobada, pero los hechos de consecuencias importantes se verifican por una persona contra sistemas autorizados y la información sensible no se introduce en herramientas no aprobadas.</w:t>
      </w:r>
    </w:p>
    <w:bookmarkEnd w:id="92"/>
    <w:bookmarkEnd w:id="93"/>
    <w:bookmarkStart w:id="98" w:name="plan-práctico-de-aprendizaje-de-30-días"/>
    <w:p>
      <w:pPr>
        <w:pStyle w:val="Heading2"/>
      </w:pPr>
      <w:r>
        <w:t xml:space="preserve">Plan práctico de aprendizaje de 30 días</w:t>
      </w:r>
    </w:p>
    <w:bookmarkStart w:id="94" w:name="semana-1--comprender-el-trabajo"/>
    <w:p>
      <w:pPr>
        <w:pStyle w:val="Heading3"/>
      </w:pPr>
      <w:r>
        <w:t xml:space="preserve">Semana 1 — Comprender el trabajo</w:t>
      </w:r>
    </w:p>
    <w:p>
      <w:pPr>
        <w:pStyle w:val="FirstParagraph"/>
      </w:pPr>
      <w:r>
        <w:t xml:space="preserve">Aprender:</w:t>
      </w:r>
    </w:p>
    <w:p>
      <w:pPr>
        <w:numPr>
          <w:ilvl w:val="0"/>
          <w:numId w:val="1043"/>
        </w:numPr>
        <w:pStyle w:val="Compact"/>
      </w:pPr>
      <w:r>
        <w:t xml:space="preserve">ciclo de vida de eventos;</w:t>
      </w:r>
    </w:p>
    <w:p>
      <w:pPr>
        <w:numPr>
          <w:ilvl w:val="0"/>
          <w:numId w:val="1043"/>
        </w:numPr>
        <w:pStyle w:val="Compact"/>
      </w:pPr>
      <w:r>
        <w:t xml:space="preserve">títulos comunes;</w:t>
      </w:r>
    </w:p>
    <w:p>
      <w:pPr>
        <w:numPr>
          <w:ilvl w:val="0"/>
          <w:numId w:val="1043"/>
        </w:numPr>
        <w:pStyle w:val="Compact"/>
      </w:pPr>
      <w:r>
        <w:t xml:space="preserve">resumen del evento;</w:t>
      </w:r>
    </w:p>
    <w:p>
      <w:pPr>
        <w:numPr>
          <w:ilvl w:val="0"/>
          <w:numId w:val="1043"/>
        </w:numPr>
        <w:pStyle w:val="Compact"/>
      </w:pPr>
      <w:r>
        <w:t xml:space="preserve">programa operativo;</w:t>
      </w:r>
    </w:p>
    <w:p>
      <w:pPr>
        <w:numPr>
          <w:ilvl w:val="0"/>
          <w:numId w:val="1043"/>
        </w:numPr>
        <w:pStyle w:val="Compact"/>
      </w:pPr>
      <w:r>
        <w:t xml:space="preserve">fundamentos de registro;</w:t>
      </w:r>
    </w:p>
    <w:p>
      <w:pPr>
        <w:numPr>
          <w:ilvl w:val="0"/>
          <w:numId w:val="1043"/>
        </w:numPr>
        <w:pStyle w:val="Compact"/>
      </w:pPr>
      <w:r>
        <w:t xml:space="preserve">roles del lugar y proveedores;</w:t>
      </w:r>
    </w:p>
    <w:p>
      <w:pPr>
        <w:numPr>
          <w:ilvl w:val="0"/>
          <w:numId w:val="1043"/>
        </w:numPr>
        <w:pStyle w:val="Compact"/>
      </w:pPr>
      <w:r>
        <w:t xml:space="preserve">límites de autoridad.</w:t>
      </w:r>
    </w:p>
    <w:p>
      <w:pPr>
        <w:pStyle w:val="FirstParagraph"/>
      </w:pPr>
      <w:r>
        <w:t xml:space="preserve">Crear un resumen ficticio de evento.</w:t>
      </w:r>
    </w:p>
    <w:bookmarkEnd w:id="94"/>
    <w:bookmarkStart w:id="95" w:name="X3c6f73857fb3175568cac794257d5b71e69d97c"/>
    <w:p>
      <w:pPr>
        <w:pStyle w:val="Heading3"/>
      </w:pPr>
      <w:r>
        <w:t xml:space="preserve">Semana 2 — Construir herramientas de coordinación</w:t>
      </w:r>
    </w:p>
    <w:p>
      <w:pPr>
        <w:pStyle w:val="FirstParagraph"/>
      </w:pPr>
      <w:r>
        <w:t xml:space="preserve">Practicar:</w:t>
      </w:r>
    </w:p>
    <w:p>
      <w:pPr>
        <w:numPr>
          <w:ilvl w:val="0"/>
          <w:numId w:val="1044"/>
        </w:numPr>
        <w:pStyle w:val="Compact"/>
      </w:pPr>
      <w:r>
        <w:t xml:space="preserve">presupuesto en hoja de cálculo;</w:t>
      </w:r>
    </w:p>
    <w:p>
      <w:pPr>
        <w:numPr>
          <w:ilvl w:val="0"/>
          <w:numId w:val="1044"/>
        </w:numPr>
        <w:pStyle w:val="Compact"/>
      </w:pPr>
      <w:r>
        <w:t xml:space="preserve">control de hitos;</w:t>
      </w:r>
    </w:p>
    <w:p>
      <w:pPr>
        <w:numPr>
          <w:ilvl w:val="0"/>
          <w:numId w:val="1044"/>
        </w:numPr>
        <w:pStyle w:val="Compact"/>
      </w:pPr>
      <w:r>
        <w:t xml:space="preserve">lista de contactos;</w:t>
      </w:r>
    </w:p>
    <w:p>
      <w:pPr>
        <w:numPr>
          <w:ilvl w:val="0"/>
          <w:numId w:val="1044"/>
        </w:numPr>
        <w:pStyle w:val="Compact"/>
      </w:pPr>
      <w:r>
        <w:t xml:space="preserve">registro de problemas;</w:t>
      </w:r>
    </w:p>
    <w:p>
      <w:pPr>
        <w:numPr>
          <w:ilvl w:val="0"/>
          <w:numId w:val="1044"/>
        </w:numPr>
        <w:pStyle w:val="Compact"/>
      </w:pPr>
      <w:r>
        <w:t xml:space="preserve">comparación de proveedores;</w:t>
      </w:r>
    </w:p>
    <w:p>
      <w:pPr>
        <w:numPr>
          <w:ilvl w:val="0"/>
          <w:numId w:val="1044"/>
        </w:numPr>
        <w:pStyle w:val="Compact"/>
      </w:pPr>
      <w:r>
        <w:t xml:space="preserve">control de registro con datos ficticios.</w:t>
      </w:r>
    </w:p>
    <w:bookmarkEnd w:id="95"/>
    <w:bookmarkStart w:id="96" w:name="semana-3--aprender-operaciones-seguras"/>
    <w:p>
      <w:pPr>
        <w:pStyle w:val="Heading3"/>
      </w:pPr>
      <w:r>
        <w:t xml:space="preserve">Semana 3 — Aprender operaciones seguras</w:t>
      </w:r>
    </w:p>
    <w:p>
      <w:pPr>
        <w:pStyle w:val="FirstParagraph"/>
      </w:pPr>
      <w:r>
        <w:t xml:space="preserve">Estudiar:</w:t>
      </w:r>
    </w:p>
    <w:p>
      <w:pPr>
        <w:numPr>
          <w:ilvl w:val="0"/>
          <w:numId w:val="1045"/>
        </w:numPr>
        <w:pStyle w:val="Compact"/>
      </w:pPr>
      <w:r>
        <w:t xml:space="preserve">fundamentos de accesibilidad;</w:t>
      </w:r>
    </w:p>
    <w:p>
      <w:pPr>
        <w:numPr>
          <w:ilvl w:val="0"/>
          <w:numId w:val="1045"/>
        </w:numPr>
        <w:pStyle w:val="Compact"/>
      </w:pPr>
      <w:r>
        <w:t xml:space="preserve">procedimientos de emergencia del lugar;</w:t>
      </w:r>
    </w:p>
    <w:p>
      <w:pPr>
        <w:numPr>
          <w:ilvl w:val="0"/>
          <w:numId w:val="1045"/>
        </w:numPr>
        <w:pStyle w:val="Compact"/>
      </w:pPr>
      <w:r>
        <w:rPr>
          <w:iCs/>
          <w:i/>
        </w:rPr>
        <w:t xml:space="preserve">phishing</w:t>
      </w:r>
      <w:r>
        <w:t xml:space="preserve"> </w:t>
      </w:r>
      <w:r>
        <w:t xml:space="preserve">y MFA;</w:t>
      </w:r>
    </w:p>
    <w:p>
      <w:pPr>
        <w:numPr>
          <w:ilvl w:val="0"/>
          <w:numId w:val="1045"/>
        </w:numPr>
        <w:pStyle w:val="Compact"/>
      </w:pPr>
      <w:r>
        <w:t xml:space="preserve">manejo de datos personales;</w:t>
      </w:r>
    </w:p>
    <w:p>
      <w:pPr>
        <w:numPr>
          <w:ilvl w:val="0"/>
          <w:numId w:val="1045"/>
        </w:numPr>
        <w:pStyle w:val="Compact"/>
      </w:pPr>
      <w:r>
        <w:t xml:space="preserve">uso aprobado de IA;</w:t>
      </w:r>
    </w:p>
    <w:p>
      <w:pPr>
        <w:numPr>
          <w:ilvl w:val="0"/>
          <w:numId w:val="1045"/>
        </w:numPr>
        <w:pStyle w:val="Compact"/>
      </w:pPr>
      <w:r>
        <w:t xml:space="preserve">verificación de facturas y cambios de pago.</w:t>
      </w:r>
    </w:p>
    <w:bookmarkEnd w:id="96"/>
    <w:bookmarkStart w:id="97" w:name="semana-4--construir-evidencia-laboral"/>
    <w:p>
      <w:pPr>
        <w:pStyle w:val="Heading3"/>
      </w:pPr>
      <w:r>
        <w:t xml:space="preserve">Semana 4 — Construir evidencia laboral</w:t>
      </w:r>
    </w:p>
    <w:p>
      <w:pPr>
        <w:pStyle w:val="FirstParagraph"/>
      </w:pPr>
      <w:r>
        <w:t xml:space="preserve">Crear:</w:t>
      </w:r>
    </w:p>
    <w:p>
      <w:pPr>
        <w:numPr>
          <w:ilvl w:val="0"/>
          <w:numId w:val="1046"/>
        </w:numPr>
        <w:pStyle w:val="Compact"/>
      </w:pPr>
      <w:r>
        <w:t xml:space="preserve">un cronograma listo para portafolio;</w:t>
      </w:r>
    </w:p>
    <w:p>
      <w:pPr>
        <w:numPr>
          <w:ilvl w:val="0"/>
          <w:numId w:val="1046"/>
        </w:numPr>
        <w:pStyle w:val="Compact"/>
      </w:pPr>
      <w:r>
        <w:t xml:space="preserve">un programa operativo;</w:t>
      </w:r>
    </w:p>
    <w:p>
      <w:pPr>
        <w:numPr>
          <w:ilvl w:val="0"/>
          <w:numId w:val="1046"/>
        </w:numPr>
        <w:pStyle w:val="Compact"/>
      </w:pPr>
      <w:r>
        <w:t xml:space="preserve">un informe posterior al evento;</w:t>
      </w:r>
    </w:p>
    <w:p>
      <w:pPr>
        <w:numPr>
          <w:ilvl w:val="0"/>
          <w:numId w:val="1046"/>
        </w:numPr>
        <w:pStyle w:val="Compact"/>
      </w:pPr>
      <w:r>
        <w:t xml:space="preserve">viñetas para el currículum;</w:t>
      </w:r>
    </w:p>
    <w:p>
      <w:pPr>
        <w:numPr>
          <w:ilvl w:val="0"/>
          <w:numId w:val="1046"/>
        </w:numPr>
        <w:pStyle w:val="Compact"/>
      </w:pPr>
      <w:r>
        <w:t xml:space="preserve">cinco historias de entrevista usando el método STAR;</w:t>
      </w:r>
    </w:p>
    <w:p>
      <w:pPr>
        <w:numPr>
          <w:ilvl w:val="0"/>
          <w:numId w:val="1046"/>
        </w:numPr>
        <w:pStyle w:val="Compact"/>
      </w:pPr>
      <w:r>
        <w:t xml:space="preserve">una lista de empleadores objetivo.</w:t>
      </w:r>
    </w:p>
    <w:bookmarkEnd w:id="97"/>
    <w:bookmarkEnd w:id="98"/>
    <w:bookmarkStart w:id="99" w:name="estrategia-de-búsqueda-de-empleo"/>
    <w:p>
      <w:pPr>
        <w:pStyle w:val="Heading2"/>
      </w:pPr>
      <w:r>
        <w:t xml:space="preserve">Estrategia de búsqueda de empleo</w:t>
      </w:r>
    </w:p>
    <w:p>
      <w:pPr>
        <w:pStyle w:val="FirstParagraph"/>
      </w:pPr>
      <w:r>
        <w:t xml:space="preserve">Buscar varios títulos porque los empleadores nombran el trabajo de formas diferentes:</w:t>
      </w:r>
    </w:p>
    <w:p>
      <w:pPr>
        <w:numPr>
          <w:ilvl w:val="0"/>
          <w:numId w:val="1047"/>
        </w:numPr>
        <w:pStyle w:val="Compact"/>
      </w:pPr>
      <w:r>
        <w:t xml:space="preserve">Event Assistant;</w:t>
      </w:r>
    </w:p>
    <w:p>
      <w:pPr>
        <w:numPr>
          <w:ilvl w:val="0"/>
          <w:numId w:val="1047"/>
        </w:numPr>
        <w:pStyle w:val="Compact"/>
      </w:pPr>
      <w:r>
        <w:t xml:space="preserve">Meeting Assistant;</w:t>
      </w:r>
    </w:p>
    <w:p>
      <w:pPr>
        <w:numPr>
          <w:ilvl w:val="0"/>
          <w:numId w:val="1047"/>
        </w:numPr>
        <w:pStyle w:val="Compact"/>
      </w:pPr>
      <w:r>
        <w:t xml:space="preserve">Event Coordinator;</w:t>
      </w:r>
    </w:p>
    <w:p>
      <w:pPr>
        <w:numPr>
          <w:ilvl w:val="0"/>
          <w:numId w:val="1047"/>
        </w:numPr>
        <w:pStyle w:val="Compact"/>
      </w:pPr>
      <w:r>
        <w:t xml:space="preserve">Events Coordinator;</w:t>
      </w:r>
    </w:p>
    <w:p>
      <w:pPr>
        <w:numPr>
          <w:ilvl w:val="0"/>
          <w:numId w:val="1047"/>
        </w:numPr>
        <w:pStyle w:val="Compact"/>
      </w:pPr>
      <w:r>
        <w:t xml:space="preserve">Conference Coordinator;</w:t>
      </w:r>
    </w:p>
    <w:p>
      <w:pPr>
        <w:numPr>
          <w:ilvl w:val="0"/>
          <w:numId w:val="1047"/>
        </w:numPr>
        <w:pStyle w:val="Compact"/>
      </w:pPr>
      <w:r>
        <w:t xml:space="preserve">Conference Services Coordinator;</w:t>
      </w:r>
    </w:p>
    <w:p>
      <w:pPr>
        <w:numPr>
          <w:ilvl w:val="0"/>
          <w:numId w:val="1047"/>
        </w:numPr>
        <w:pStyle w:val="Compact"/>
      </w:pPr>
      <w:r>
        <w:t xml:space="preserve">Convention Services Coordinator;</w:t>
      </w:r>
    </w:p>
    <w:p>
      <w:pPr>
        <w:numPr>
          <w:ilvl w:val="0"/>
          <w:numId w:val="1047"/>
        </w:numPr>
        <w:pStyle w:val="Compact"/>
      </w:pPr>
      <w:r>
        <w:t xml:space="preserve">Special Events Coordinator;</w:t>
      </w:r>
    </w:p>
    <w:p>
      <w:pPr>
        <w:numPr>
          <w:ilvl w:val="0"/>
          <w:numId w:val="1047"/>
        </w:numPr>
        <w:pStyle w:val="Compact"/>
      </w:pPr>
      <w:r>
        <w:t xml:space="preserve">Program Coordinator;</w:t>
      </w:r>
    </w:p>
    <w:p>
      <w:pPr>
        <w:numPr>
          <w:ilvl w:val="0"/>
          <w:numId w:val="1047"/>
        </w:numPr>
        <w:pStyle w:val="Compact"/>
      </w:pPr>
      <w:r>
        <w:t xml:space="preserve">Banquet Coordinator;</w:t>
      </w:r>
    </w:p>
    <w:p>
      <w:pPr>
        <w:numPr>
          <w:ilvl w:val="0"/>
          <w:numId w:val="1047"/>
        </w:numPr>
        <w:pStyle w:val="Compact"/>
      </w:pPr>
      <w:r>
        <w:t xml:space="preserve">Registration Coordinator;</w:t>
      </w:r>
    </w:p>
    <w:p>
      <w:pPr>
        <w:numPr>
          <w:ilvl w:val="0"/>
          <w:numId w:val="1047"/>
        </w:numPr>
        <w:pStyle w:val="Compact"/>
      </w:pPr>
      <w:r>
        <w:t xml:space="preserve">Events Specialist;</w:t>
      </w:r>
    </w:p>
    <w:p>
      <w:pPr>
        <w:numPr>
          <w:ilvl w:val="0"/>
          <w:numId w:val="1047"/>
        </w:numPr>
        <w:pStyle w:val="Compact"/>
      </w:pPr>
      <w:r>
        <w:t xml:space="preserve">Junior Event Planner;</w:t>
      </w:r>
    </w:p>
    <w:p>
      <w:pPr>
        <w:numPr>
          <w:ilvl w:val="0"/>
          <w:numId w:val="1047"/>
        </w:numPr>
        <w:pStyle w:val="Compact"/>
      </w:pPr>
      <w:r>
        <w:t xml:space="preserve">Venue Coordinator;</w:t>
      </w:r>
    </w:p>
    <w:p>
      <w:pPr>
        <w:numPr>
          <w:ilvl w:val="0"/>
          <w:numId w:val="1047"/>
        </w:numPr>
        <w:pStyle w:val="Compact"/>
      </w:pPr>
      <w:r>
        <w:t xml:space="preserve">Hospitality Coordinator.</w:t>
      </w:r>
    </w:p>
    <w:p>
      <w:pPr>
        <w:pStyle w:val="FirstParagraph"/>
      </w:pPr>
      <w:r>
        <w:t xml:space="preserve">Se deben leer las funciones y no depender solo del título.</w:t>
      </w:r>
    </w:p>
    <w:p>
      <w:pPr>
        <w:pStyle w:val="BodyText"/>
      </w:pPr>
      <w:r>
        <w:t xml:space="preserve">Comparar cada oferta según:</w:t>
      </w:r>
    </w:p>
    <w:p>
      <w:pPr>
        <w:numPr>
          <w:ilvl w:val="0"/>
          <w:numId w:val="1048"/>
        </w:numPr>
        <w:pStyle w:val="Compact"/>
      </w:pPr>
      <w:r>
        <w:t xml:space="preserve">ubicación y requisitos de viaje;</w:t>
      </w:r>
    </w:p>
    <w:p>
      <w:pPr>
        <w:numPr>
          <w:ilvl w:val="0"/>
          <w:numId w:val="1048"/>
        </w:numPr>
        <w:pStyle w:val="Compact"/>
      </w:pPr>
      <w:r>
        <w:t xml:space="preserve">horario, fines de semana, noches y expectativas del día del evento;</w:t>
      </w:r>
    </w:p>
    <w:p>
      <w:pPr>
        <w:numPr>
          <w:ilvl w:val="0"/>
          <w:numId w:val="1048"/>
        </w:numPr>
        <w:pStyle w:val="Compact"/>
      </w:pPr>
      <w:r>
        <w:t xml:space="preserve">requisitos educativos;</w:t>
      </w:r>
    </w:p>
    <w:p>
      <w:pPr>
        <w:numPr>
          <w:ilvl w:val="0"/>
          <w:numId w:val="1048"/>
        </w:numPr>
        <w:pStyle w:val="Compact"/>
      </w:pPr>
      <w:r>
        <w:t xml:space="preserve">años de experiencia;</w:t>
      </w:r>
    </w:p>
    <w:p>
      <w:pPr>
        <w:numPr>
          <w:ilvl w:val="0"/>
          <w:numId w:val="1048"/>
        </w:numPr>
        <w:pStyle w:val="Compact"/>
      </w:pPr>
      <w:r>
        <w:t xml:space="preserve">autoridad sobre presupuesto o contratos;</w:t>
      </w:r>
    </w:p>
    <w:p>
      <w:pPr>
        <w:numPr>
          <w:ilvl w:val="0"/>
          <w:numId w:val="1048"/>
        </w:numPr>
        <w:pStyle w:val="Compact"/>
      </w:pPr>
      <w:r>
        <w:t xml:space="preserve">software;</w:t>
      </w:r>
    </w:p>
    <w:p>
      <w:pPr>
        <w:numPr>
          <w:ilvl w:val="0"/>
          <w:numId w:val="1048"/>
        </w:numPr>
        <w:pStyle w:val="Compact"/>
      </w:pPr>
      <w:r>
        <w:t xml:space="preserve">requisitos físicos;</w:t>
      </w:r>
    </w:p>
    <w:p>
      <w:pPr>
        <w:numPr>
          <w:ilvl w:val="0"/>
          <w:numId w:val="1048"/>
        </w:numPr>
        <w:pStyle w:val="Compact"/>
      </w:pPr>
      <w:r>
        <w:t xml:space="preserve">requisitos de idioma;</w:t>
      </w:r>
    </w:p>
    <w:p>
      <w:pPr>
        <w:numPr>
          <w:ilvl w:val="0"/>
          <w:numId w:val="1048"/>
        </w:numPr>
        <w:pStyle w:val="Compact"/>
      </w:pPr>
      <w:r>
        <w:t xml:space="preserve">licencia de conducción o requisitos de viaje si existen;</w:t>
      </w:r>
    </w:p>
    <w:p>
      <w:pPr>
        <w:numPr>
          <w:ilvl w:val="0"/>
          <w:numId w:val="1048"/>
        </w:numPr>
        <w:pStyle w:val="Compact"/>
      </w:pPr>
      <w:r>
        <w:t xml:space="preserve">peso de las ventas en el puesto;</w:t>
      </w:r>
    </w:p>
    <w:p>
      <w:pPr>
        <w:numPr>
          <w:ilvl w:val="0"/>
          <w:numId w:val="1048"/>
        </w:numPr>
        <w:pStyle w:val="Compact"/>
      </w:pPr>
      <w:r>
        <w:t xml:space="preserve">si la compensación incluye comisión;</w:t>
      </w:r>
    </w:p>
    <w:p>
      <w:pPr>
        <w:numPr>
          <w:ilvl w:val="0"/>
          <w:numId w:val="1048"/>
        </w:numPr>
        <w:pStyle w:val="Compact"/>
      </w:pPr>
      <w:r>
        <w:t xml:space="preserve">si el puesto es realmente remoto, híbrido o presencial;</w:t>
      </w:r>
    </w:p>
    <w:p>
      <w:pPr>
        <w:numPr>
          <w:ilvl w:val="0"/>
          <w:numId w:val="1048"/>
        </w:numPr>
        <w:pStyle w:val="Compact"/>
      </w:pPr>
      <w:r>
        <w:t xml:space="preserve">si el empleador ofrece capacitación.</w:t>
      </w:r>
    </w:p>
    <w:p>
      <w:pPr>
        <w:pStyle w:val="FirstParagraph"/>
      </w:pPr>
      <w:r>
        <w:t xml:space="preserve">Cuando sea posible, se debe verificar que el empleo siga abierto en el sitio de carreras del propio empleador antes de invertir mucho tiempo en la postulación.</w:t>
      </w:r>
    </w:p>
    <w:bookmarkEnd w:id="99"/>
    <w:bookmarkStart w:id="100" w:name="Xd4f7fc1b4bf76f4b1c790af870002b9ee74d15e"/>
    <w:p>
      <w:pPr>
        <w:pStyle w:val="Heading2"/>
      </w:pPr>
      <w:r>
        <w:t xml:space="preserve">Trabajo independiente o</w:t>
      </w:r>
      <w:r>
        <w:t xml:space="preserve"> </w:t>
      </w:r>
      <w:r>
        <w:rPr>
          <w:iCs/>
          <w:i/>
        </w:rPr>
        <w:t xml:space="preserve">freelance</w:t>
      </w:r>
      <w:r>
        <w:t xml:space="preserve"> </w:t>
      </w:r>
      <w:r>
        <w:t xml:space="preserve">de eventos</w:t>
      </w:r>
    </w:p>
    <w:p>
      <w:pPr>
        <w:pStyle w:val="FirstParagraph"/>
      </w:pPr>
      <w:r>
        <w:t xml:space="preserve">El trabajo por cuenta propia puede agregar responsabilidades que un empleado normalmente no controla, entre ellas:</w:t>
      </w:r>
    </w:p>
    <w:p>
      <w:pPr>
        <w:numPr>
          <w:ilvl w:val="0"/>
          <w:numId w:val="1049"/>
        </w:numPr>
        <w:pStyle w:val="Compact"/>
      </w:pPr>
      <w:r>
        <w:t xml:space="preserve">registro del negocio;</w:t>
      </w:r>
    </w:p>
    <w:p>
      <w:pPr>
        <w:numPr>
          <w:ilvl w:val="0"/>
          <w:numId w:val="1049"/>
        </w:numPr>
        <w:pStyle w:val="Compact"/>
      </w:pPr>
      <w:r>
        <w:t xml:space="preserve">contratos;</w:t>
      </w:r>
    </w:p>
    <w:p>
      <w:pPr>
        <w:numPr>
          <w:ilvl w:val="0"/>
          <w:numId w:val="1049"/>
        </w:numPr>
        <w:pStyle w:val="Compact"/>
      </w:pPr>
      <w:r>
        <w:t xml:space="preserve">impuestos;</w:t>
      </w:r>
    </w:p>
    <w:p>
      <w:pPr>
        <w:numPr>
          <w:ilvl w:val="0"/>
          <w:numId w:val="1049"/>
        </w:numPr>
        <w:pStyle w:val="Compact"/>
      </w:pPr>
      <w:r>
        <w:t xml:space="preserve">seguros;</w:t>
      </w:r>
    </w:p>
    <w:p>
      <w:pPr>
        <w:numPr>
          <w:ilvl w:val="0"/>
          <w:numId w:val="1049"/>
        </w:numPr>
        <w:pStyle w:val="Compact"/>
      </w:pPr>
      <w:r>
        <w:t xml:space="preserve">facturación;</w:t>
      </w:r>
    </w:p>
    <w:p>
      <w:pPr>
        <w:numPr>
          <w:ilvl w:val="0"/>
          <w:numId w:val="1049"/>
        </w:numPr>
        <w:pStyle w:val="Compact"/>
      </w:pPr>
      <w:r>
        <w:t xml:space="preserve">cobro de pagos;</w:t>
      </w:r>
    </w:p>
    <w:p>
      <w:pPr>
        <w:numPr>
          <w:ilvl w:val="0"/>
          <w:numId w:val="1049"/>
        </w:numPr>
        <w:pStyle w:val="Compact"/>
      </w:pPr>
      <w:r>
        <w:t xml:space="preserve">acuerdos con proveedores;</w:t>
      </w:r>
    </w:p>
    <w:p>
      <w:pPr>
        <w:numPr>
          <w:ilvl w:val="0"/>
          <w:numId w:val="1049"/>
        </w:numPr>
        <w:pStyle w:val="Compact"/>
      </w:pPr>
      <w:r>
        <w:t xml:space="preserve">protección de datos;</w:t>
      </w:r>
    </w:p>
    <w:p>
      <w:pPr>
        <w:numPr>
          <w:ilvl w:val="0"/>
          <w:numId w:val="1049"/>
        </w:numPr>
        <w:pStyle w:val="Compact"/>
      </w:pPr>
      <w:r>
        <w:t xml:space="preserve">permisos;</w:t>
      </w:r>
    </w:p>
    <w:p>
      <w:pPr>
        <w:numPr>
          <w:ilvl w:val="0"/>
          <w:numId w:val="1049"/>
        </w:numPr>
        <w:pStyle w:val="Compact"/>
      </w:pPr>
      <w:r>
        <w:t xml:space="preserve">subcontratistas;</w:t>
      </w:r>
    </w:p>
    <w:p>
      <w:pPr>
        <w:numPr>
          <w:ilvl w:val="0"/>
          <w:numId w:val="1049"/>
        </w:numPr>
        <w:pStyle w:val="Compact"/>
      </w:pPr>
      <w:r>
        <w:t xml:space="preserve">términos de cancelación;</w:t>
      </w:r>
    </w:p>
    <w:p>
      <w:pPr>
        <w:numPr>
          <w:ilvl w:val="0"/>
          <w:numId w:val="1049"/>
        </w:numPr>
        <w:pStyle w:val="Compact"/>
      </w:pPr>
      <w:r>
        <w:t xml:space="preserve">disputas con clientes;</w:t>
      </w:r>
    </w:p>
    <w:p>
      <w:pPr>
        <w:numPr>
          <w:ilvl w:val="0"/>
          <w:numId w:val="1049"/>
        </w:numPr>
        <w:pStyle w:val="Compact"/>
      </w:pPr>
      <w:r>
        <w:t xml:space="preserve">mercadeo;</w:t>
      </w:r>
    </w:p>
    <w:p>
      <w:pPr>
        <w:numPr>
          <w:ilvl w:val="0"/>
          <w:numId w:val="1049"/>
        </w:numPr>
        <w:pStyle w:val="Compact"/>
      </w:pPr>
      <w:r>
        <w:t xml:space="preserve">conservación de registros.</w:t>
      </w:r>
    </w:p>
    <w:p>
      <w:pPr>
        <w:pStyle w:val="FirstParagraph"/>
      </w:pPr>
      <w:r>
        <w:t xml:space="preserve">No se debe asumir que la habilidad de planificación de eventos cubre por sí sola esas obligaciones. Se deben verificar los requisitos locales de negocio, impuestos, seguros, empleo, consumidor, privacidad, accesibilidad, alcohol, seguridad y permisos con la autoridad correspondiente o un asesor calificado.</w:t>
      </w:r>
    </w:p>
    <w:p>
      <w:pPr>
        <w:pStyle w:val="BodyText"/>
      </w:pPr>
      <w:r>
        <w:t xml:space="preserve">Una entrada más segura puede ser obtener primero experiencia laboral supervisada antes de asumir responsabilidad sobre dinero o contratos de clientes.</w:t>
      </w:r>
    </w:p>
    <w:bookmarkEnd w:id="100"/>
    <w:bookmarkStart w:id="101" w:name="errores-comunes-que-conviene-evitar"/>
    <w:p>
      <w:pPr>
        <w:pStyle w:val="Heading2"/>
      </w:pPr>
      <w:r>
        <w:t xml:space="preserve">Errores comunes que conviene evitar</w:t>
      </w:r>
    </w:p>
    <w:p>
      <w:pPr>
        <w:numPr>
          <w:ilvl w:val="0"/>
          <w:numId w:val="1050"/>
        </w:numPr>
        <w:pStyle w:val="Compact"/>
      </w:pPr>
      <w:r>
        <w:t xml:space="preserve">prometer un proveedor antes de obtener aprobación;</w:t>
      </w:r>
    </w:p>
    <w:p>
      <w:pPr>
        <w:numPr>
          <w:ilvl w:val="0"/>
          <w:numId w:val="1050"/>
        </w:numPr>
        <w:pStyle w:val="Compact"/>
      </w:pPr>
      <w:r>
        <w:t xml:space="preserve">depender de cambios verbales sin documentación;</w:t>
      </w:r>
    </w:p>
    <w:p>
      <w:pPr>
        <w:numPr>
          <w:ilvl w:val="0"/>
          <w:numId w:val="1050"/>
        </w:numPr>
        <w:pStyle w:val="Compact"/>
      </w:pPr>
      <w:r>
        <w:t xml:space="preserve">tratar una cotización como factura final;</w:t>
      </w:r>
    </w:p>
    <w:p>
      <w:pPr>
        <w:numPr>
          <w:ilvl w:val="0"/>
          <w:numId w:val="1050"/>
        </w:numPr>
        <w:pStyle w:val="Compact"/>
      </w:pPr>
      <w:r>
        <w:t xml:space="preserve">suponer que el título da autoridad contractual;</w:t>
      </w:r>
    </w:p>
    <w:p>
      <w:pPr>
        <w:numPr>
          <w:ilvl w:val="0"/>
          <w:numId w:val="1050"/>
        </w:numPr>
        <w:pStyle w:val="Compact"/>
      </w:pPr>
      <w:r>
        <w:t xml:space="preserve">no confirmar necesidades de accesibilidad con suficiente anticipación;</w:t>
      </w:r>
    </w:p>
    <w:p>
      <w:pPr>
        <w:numPr>
          <w:ilvl w:val="0"/>
          <w:numId w:val="1050"/>
        </w:numPr>
        <w:pStyle w:val="Compact"/>
      </w:pPr>
      <w:r>
        <w:t xml:space="preserve">recopilar datos innecesarios de asistentes;</w:t>
      </w:r>
    </w:p>
    <w:p>
      <w:pPr>
        <w:numPr>
          <w:ilvl w:val="0"/>
          <w:numId w:val="1050"/>
        </w:numPr>
        <w:pStyle w:val="Compact"/>
      </w:pPr>
      <w:r>
        <w:t xml:space="preserve">enviar listas privadas por cuentas personales;</w:t>
      </w:r>
    </w:p>
    <w:p>
      <w:pPr>
        <w:numPr>
          <w:ilvl w:val="0"/>
          <w:numId w:val="1050"/>
        </w:numPr>
        <w:pStyle w:val="Compact"/>
      </w:pPr>
      <w:r>
        <w:t xml:space="preserve">hacer clic en enlaces inesperados de pago de proveedores;</w:t>
      </w:r>
    </w:p>
    <w:p>
      <w:pPr>
        <w:numPr>
          <w:ilvl w:val="0"/>
          <w:numId w:val="1050"/>
        </w:numPr>
        <w:pStyle w:val="Compact"/>
      </w:pPr>
      <w:r>
        <w:t xml:space="preserve">usar el mismo enlace público de reunión virtual para sesiones sensibles;</w:t>
      </w:r>
    </w:p>
    <w:p>
      <w:pPr>
        <w:numPr>
          <w:ilvl w:val="0"/>
          <w:numId w:val="1050"/>
        </w:numPr>
        <w:pStyle w:val="Compact"/>
      </w:pPr>
      <w:r>
        <w:t xml:space="preserve">confiar en fechas, precios, leyes o instrucciones de emergencia generadas por IA sin verificación;</w:t>
      </w:r>
    </w:p>
    <w:p>
      <w:pPr>
        <w:numPr>
          <w:ilvl w:val="0"/>
          <w:numId w:val="1050"/>
        </w:numPr>
        <w:pStyle w:val="Compact"/>
      </w:pPr>
      <w:r>
        <w:t xml:space="preserve">no confirmar quién puede detener o modificar el evento;</w:t>
      </w:r>
    </w:p>
    <w:p>
      <w:pPr>
        <w:numPr>
          <w:ilvl w:val="0"/>
          <w:numId w:val="1050"/>
        </w:numPr>
        <w:pStyle w:val="Compact"/>
      </w:pPr>
      <w:r>
        <w:t xml:space="preserve">bloquear o ignorar salidas durante el montaje;</w:t>
      </w:r>
    </w:p>
    <w:p>
      <w:pPr>
        <w:numPr>
          <w:ilvl w:val="0"/>
          <w:numId w:val="1050"/>
        </w:numPr>
        <w:pStyle w:val="Compact"/>
      </w:pPr>
      <w:r>
        <w:t xml:space="preserve">publicar agendas privadas de ejecutivos o asistentes;</w:t>
      </w:r>
    </w:p>
    <w:p>
      <w:pPr>
        <w:numPr>
          <w:ilvl w:val="0"/>
          <w:numId w:val="1050"/>
        </w:numPr>
        <w:pStyle w:val="Compact"/>
      </w:pPr>
      <w:r>
        <w:t xml:space="preserve">pagar una credencial antes de comprobar la demanda de empleadores;</w:t>
      </w:r>
    </w:p>
    <w:p>
      <w:pPr>
        <w:numPr>
          <w:ilvl w:val="0"/>
          <w:numId w:val="1050"/>
        </w:numPr>
        <w:pStyle w:val="Compact"/>
      </w:pPr>
      <w:r>
        <w:t xml:space="preserve">confundir un certificado de curso con certificación profesional o licencia;</w:t>
      </w:r>
    </w:p>
    <w:p>
      <w:pPr>
        <w:numPr>
          <w:ilvl w:val="0"/>
          <w:numId w:val="1050"/>
        </w:numPr>
        <w:pStyle w:val="Compact"/>
      </w:pPr>
      <w:r>
        <w:t xml:space="preserve">describir experiencia voluntaria como experiencia gerencial remunerada;</w:t>
      </w:r>
    </w:p>
    <w:p>
      <w:pPr>
        <w:numPr>
          <w:ilvl w:val="0"/>
          <w:numId w:val="1050"/>
        </w:numPr>
        <w:pStyle w:val="Compact"/>
      </w:pPr>
      <w:r>
        <w:t xml:space="preserve">inflar asistentes, presupuestos o autoridad en el currículum.</w:t>
      </w:r>
    </w:p>
    <w:bookmarkEnd w:id="101"/>
    <w:bookmarkStart w:id="107" w:name="X7a935ae86be26b2e3a9760148a51680ca3a88b0"/>
    <w:p>
      <w:pPr>
        <w:pStyle w:val="Heading2"/>
      </w:pPr>
      <w:r>
        <w:t xml:space="preserve">Lista de verificación reutilizable de planificación</w:t>
      </w:r>
    </w:p>
    <w:bookmarkStart w:id="102" w:name="antes-de-comprometer-dinero"/>
    <w:p>
      <w:pPr>
        <w:pStyle w:val="Heading3"/>
      </w:pPr>
      <w:r>
        <w:t xml:space="preserve">Antes de comprometer dinero</w:t>
      </w:r>
    </w:p>
    <w:p>
      <w:pPr>
        <w:numPr>
          <w:ilvl w:val="0"/>
          <w:numId w:val="1051"/>
        </w:numPr>
        <w:pStyle w:val="Compact"/>
      </w:pPr>
      <w:r>
        <w:t xml:space="preserve">☐ Responsable del evento identificado</w:t>
      </w:r>
    </w:p>
    <w:p>
      <w:pPr>
        <w:numPr>
          <w:ilvl w:val="0"/>
          <w:numId w:val="1051"/>
        </w:numPr>
        <w:pStyle w:val="Compact"/>
      </w:pPr>
      <w:r>
        <w:t xml:space="preserve">☐ Objetivo documentado</w:t>
      </w:r>
    </w:p>
    <w:p>
      <w:pPr>
        <w:numPr>
          <w:ilvl w:val="0"/>
          <w:numId w:val="1051"/>
        </w:numPr>
        <w:pStyle w:val="Compact"/>
      </w:pPr>
      <w:r>
        <w:t xml:space="preserve">☐ Autoridad presupuestaria identificada</w:t>
      </w:r>
    </w:p>
    <w:p>
      <w:pPr>
        <w:numPr>
          <w:ilvl w:val="0"/>
          <w:numId w:val="1051"/>
        </w:numPr>
        <w:pStyle w:val="Compact"/>
      </w:pPr>
      <w:r>
        <w:t xml:space="preserve">☐ Proceso de aprobación comprendido</w:t>
      </w:r>
    </w:p>
    <w:p>
      <w:pPr>
        <w:numPr>
          <w:ilvl w:val="0"/>
          <w:numId w:val="1051"/>
        </w:numPr>
        <w:pStyle w:val="Compact"/>
      </w:pPr>
      <w:r>
        <w:t xml:space="preserve">☐ Proceso de compras de lugar/proveedores comprendido</w:t>
      </w:r>
    </w:p>
    <w:p>
      <w:pPr>
        <w:numPr>
          <w:ilvl w:val="0"/>
          <w:numId w:val="1051"/>
        </w:numPr>
        <w:pStyle w:val="Compact"/>
      </w:pPr>
      <w:r>
        <w:t xml:space="preserve">☐ Autoridad para firmar contratos identificada</w:t>
      </w:r>
    </w:p>
    <w:p>
      <w:pPr>
        <w:numPr>
          <w:ilvl w:val="0"/>
          <w:numId w:val="1051"/>
        </w:numPr>
        <w:pStyle w:val="Compact"/>
      </w:pPr>
      <w:r>
        <w:t xml:space="preserve">☐ Responsable de planificación de accesibilidad identificado</w:t>
      </w:r>
    </w:p>
    <w:p>
      <w:pPr>
        <w:numPr>
          <w:ilvl w:val="0"/>
          <w:numId w:val="1051"/>
        </w:numPr>
        <w:pStyle w:val="Compact"/>
      </w:pPr>
      <w:r>
        <w:t xml:space="preserve">☐ Responsable de seguridad/emergencias identificado</w:t>
      </w:r>
    </w:p>
    <w:p>
      <w:pPr>
        <w:numPr>
          <w:ilvl w:val="0"/>
          <w:numId w:val="1051"/>
        </w:numPr>
        <w:pStyle w:val="Compact"/>
      </w:pPr>
      <w:r>
        <w:t xml:space="preserve">☐ Requisitos de datos y privacidad comprendidos</w:t>
      </w:r>
    </w:p>
    <w:bookmarkEnd w:id="102"/>
    <w:bookmarkStart w:id="103" w:name="X20df527fb2e2c62a3a70faee2d43705a96d5e82"/>
    <w:p>
      <w:pPr>
        <w:pStyle w:val="Heading3"/>
      </w:pPr>
      <w:r>
        <w:t xml:space="preserve">De cuatro a ocho semanas antes — ajustar al tamaño del evento</w:t>
      </w:r>
    </w:p>
    <w:p>
      <w:pPr>
        <w:numPr>
          <w:ilvl w:val="0"/>
          <w:numId w:val="1052"/>
        </w:numPr>
        <w:pStyle w:val="Compact"/>
      </w:pPr>
      <w:r>
        <w:t xml:space="preserve">☐ Lugar o plataforma confirmado</w:t>
      </w:r>
    </w:p>
    <w:p>
      <w:pPr>
        <w:numPr>
          <w:ilvl w:val="0"/>
          <w:numId w:val="1052"/>
        </w:numPr>
        <w:pStyle w:val="Compact"/>
      </w:pPr>
      <w:r>
        <w:t xml:space="preserve">☐ Proceso de registro activo</w:t>
      </w:r>
    </w:p>
    <w:p>
      <w:pPr>
        <w:numPr>
          <w:ilvl w:val="0"/>
          <w:numId w:val="1052"/>
        </w:numPr>
        <w:pStyle w:val="Compact"/>
      </w:pPr>
      <w:r>
        <w:t xml:space="preserve">☐ Hitos de proveedores controlados</w:t>
      </w:r>
    </w:p>
    <w:p>
      <w:pPr>
        <w:numPr>
          <w:ilvl w:val="0"/>
          <w:numId w:val="1052"/>
        </w:numPr>
        <w:pStyle w:val="Compact"/>
      </w:pPr>
      <w:r>
        <w:t xml:space="preserve">☐ Requisitos de ponentes/presentadores controlados</w:t>
      </w:r>
    </w:p>
    <w:p>
      <w:pPr>
        <w:numPr>
          <w:ilvl w:val="0"/>
          <w:numId w:val="1052"/>
        </w:numPr>
        <w:pStyle w:val="Compact"/>
      </w:pPr>
      <w:r>
        <w:t xml:space="preserve">☐ Proceso de solicitudes de accesibilidad activo</w:t>
      </w:r>
    </w:p>
    <w:p>
      <w:pPr>
        <w:numPr>
          <w:ilvl w:val="0"/>
          <w:numId w:val="1052"/>
        </w:numPr>
        <w:pStyle w:val="Compact"/>
      </w:pPr>
      <w:r>
        <w:t xml:space="preserve">☐ Plan de alimentación controlado</w:t>
      </w:r>
    </w:p>
    <w:p>
      <w:pPr>
        <w:numPr>
          <w:ilvl w:val="0"/>
          <w:numId w:val="1052"/>
        </w:numPr>
        <w:pStyle w:val="Compact"/>
      </w:pPr>
      <w:r>
        <w:t xml:space="preserve">☐ Requisitos audiovisuales controlados</w:t>
      </w:r>
    </w:p>
    <w:p>
      <w:pPr>
        <w:numPr>
          <w:ilvl w:val="0"/>
          <w:numId w:val="1052"/>
        </w:numPr>
        <w:pStyle w:val="Compact"/>
      </w:pPr>
      <w:r>
        <w:t xml:space="preserve">☐ Necesidades de transporte/alojamiento controladas si aplican</w:t>
      </w:r>
    </w:p>
    <w:p>
      <w:pPr>
        <w:numPr>
          <w:ilvl w:val="0"/>
          <w:numId w:val="1052"/>
        </w:numPr>
        <w:pStyle w:val="Compact"/>
      </w:pPr>
      <w:r>
        <w:t xml:space="preserve">☐ Control de presupuesto actualizado</w:t>
      </w:r>
    </w:p>
    <w:p>
      <w:pPr>
        <w:numPr>
          <w:ilvl w:val="0"/>
          <w:numId w:val="1052"/>
        </w:numPr>
        <w:pStyle w:val="Compact"/>
      </w:pPr>
      <w:r>
        <w:t xml:space="preserve">☐ Calendario de comunicaciones actualizado</w:t>
      </w:r>
    </w:p>
    <w:bookmarkEnd w:id="103"/>
    <w:bookmarkStart w:id="104" w:name="confirmación-final"/>
    <w:p>
      <w:pPr>
        <w:pStyle w:val="Heading3"/>
      </w:pPr>
      <w:r>
        <w:t xml:space="preserve">Confirmación final</w:t>
      </w:r>
    </w:p>
    <w:p>
      <w:pPr>
        <w:numPr>
          <w:ilvl w:val="0"/>
          <w:numId w:val="1053"/>
        </w:numPr>
        <w:pStyle w:val="Compact"/>
      </w:pPr>
      <w:r>
        <w:t xml:space="preserve">☐ Conteo de asistentes revisado</w:t>
      </w:r>
    </w:p>
    <w:p>
      <w:pPr>
        <w:numPr>
          <w:ilvl w:val="0"/>
          <w:numId w:val="1053"/>
        </w:numPr>
        <w:pStyle w:val="Compact"/>
      </w:pPr>
      <w:r>
        <w:t xml:space="preserve">☐ Montaje de sala/plataforma confirmado</w:t>
      </w:r>
    </w:p>
    <w:p>
      <w:pPr>
        <w:numPr>
          <w:ilvl w:val="0"/>
          <w:numId w:val="1053"/>
        </w:numPr>
        <w:pStyle w:val="Compact"/>
      </w:pPr>
      <w:r>
        <w:t xml:space="preserve">☐ Cantidad de alimentación confirmada</w:t>
      </w:r>
    </w:p>
    <w:p>
      <w:pPr>
        <w:numPr>
          <w:ilvl w:val="0"/>
          <w:numId w:val="1053"/>
        </w:numPr>
        <w:pStyle w:val="Compact"/>
      </w:pPr>
      <w:r>
        <w:t xml:space="preserve">☐ Audiovisuales confirmados</w:t>
      </w:r>
    </w:p>
    <w:p>
      <w:pPr>
        <w:numPr>
          <w:ilvl w:val="0"/>
          <w:numId w:val="1053"/>
        </w:numPr>
        <w:pStyle w:val="Compact"/>
      </w:pPr>
      <w:r>
        <w:t xml:space="preserve">☐ Archivos y llegada de ponentes confirmados</w:t>
      </w:r>
    </w:p>
    <w:p>
      <w:pPr>
        <w:numPr>
          <w:ilvl w:val="0"/>
          <w:numId w:val="1053"/>
        </w:numPr>
        <w:pStyle w:val="Compact"/>
      </w:pPr>
      <w:r>
        <w:t xml:space="preserve">☐ Adaptaciones de accesibilidad confirmadas por el proceso autorizado</w:t>
      </w:r>
    </w:p>
    <w:p>
      <w:pPr>
        <w:numPr>
          <w:ilvl w:val="0"/>
          <w:numId w:val="1053"/>
        </w:numPr>
        <w:pStyle w:val="Compact"/>
      </w:pPr>
      <w:r>
        <w:t xml:space="preserve">☐ Asignaciones de personal/voluntarios confirmadas</w:t>
      </w:r>
    </w:p>
    <w:p>
      <w:pPr>
        <w:numPr>
          <w:ilvl w:val="0"/>
          <w:numId w:val="1053"/>
        </w:numPr>
        <w:pStyle w:val="Compact"/>
      </w:pPr>
      <w:r>
        <w:t xml:space="preserve">☐ Señalización y orientación preparadas</w:t>
      </w:r>
    </w:p>
    <w:p>
      <w:pPr>
        <w:numPr>
          <w:ilvl w:val="0"/>
          <w:numId w:val="1053"/>
        </w:numPr>
        <w:pStyle w:val="Compact"/>
      </w:pPr>
      <w:r>
        <w:t xml:space="preserve">☐ Contactos de emergencia y procedimientos del lugar revisados</w:t>
      </w:r>
    </w:p>
    <w:p>
      <w:pPr>
        <w:numPr>
          <w:ilvl w:val="0"/>
          <w:numId w:val="1053"/>
        </w:numPr>
        <w:pStyle w:val="Compact"/>
      </w:pPr>
      <w:r>
        <w:t xml:space="preserve">☐ Contactos de proveedores verificados</w:t>
      </w:r>
    </w:p>
    <w:p>
      <w:pPr>
        <w:numPr>
          <w:ilvl w:val="0"/>
          <w:numId w:val="1053"/>
        </w:numPr>
        <w:pStyle w:val="Compact"/>
      </w:pPr>
      <w:r>
        <w:t xml:space="preserve">☐ Solicitudes de cambio de pago verificadas de forma independiente</w:t>
      </w:r>
    </w:p>
    <w:p>
      <w:pPr>
        <w:numPr>
          <w:ilvl w:val="0"/>
          <w:numId w:val="1053"/>
        </w:numPr>
        <w:pStyle w:val="Compact"/>
      </w:pPr>
      <w:r>
        <w:t xml:space="preserve">☐ Programa operativo distribuido al equipo autorizado</w:t>
      </w:r>
    </w:p>
    <w:bookmarkEnd w:id="104"/>
    <w:bookmarkStart w:id="105" w:name="día-del-evento"/>
    <w:p>
      <w:pPr>
        <w:pStyle w:val="Heading3"/>
      </w:pPr>
      <w:r>
        <w:t xml:space="preserve">Día del evento</w:t>
      </w:r>
    </w:p>
    <w:p>
      <w:pPr>
        <w:numPr>
          <w:ilvl w:val="0"/>
          <w:numId w:val="1054"/>
        </w:numPr>
        <w:pStyle w:val="Compact"/>
      </w:pPr>
      <w:r>
        <w:t xml:space="preserve">☐ Responsable autorizado identificado y disponible</w:t>
      </w:r>
    </w:p>
    <w:p>
      <w:pPr>
        <w:numPr>
          <w:ilvl w:val="0"/>
          <w:numId w:val="1054"/>
        </w:numPr>
        <w:pStyle w:val="Compact"/>
      </w:pPr>
      <w:r>
        <w:t xml:space="preserve">☐ Registro/punto de información preparado</w:t>
      </w:r>
    </w:p>
    <w:p>
      <w:pPr>
        <w:numPr>
          <w:ilvl w:val="0"/>
          <w:numId w:val="1054"/>
        </w:numPr>
        <w:pStyle w:val="Compact"/>
      </w:pPr>
      <w:r>
        <w:t xml:space="preserve">☐ Estado del lugar/plataforma revisado</w:t>
      </w:r>
    </w:p>
    <w:p>
      <w:pPr>
        <w:numPr>
          <w:ilvl w:val="0"/>
          <w:numId w:val="1054"/>
        </w:numPr>
        <w:pStyle w:val="Compact"/>
      </w:pPr>
      <w:r>
        <w:t xml:space="preserve">☐ Arreglos de accesibilidad revisados</w:t>
      </w:r>
    </w:p>
    <w:p>
      <w:pPr>
        <w:numPr>
          <w:ilvl w:val="0"/>
          <w:numId w:val="1054"/>
        </w:numPr>
        <w:pStyle w:val="Compact"/>
      </w:pPr>
      <w:r>
        <w:t xml:space="preserve">☐ Proveedores registrados mediante el proceso aprobado</w:t>
      </w:r>
    </w:p>
    <w:p>
      <w:pPr>
        <w:numPr>
          <w:ilvl w:val="0"/>
          <w:numId w:val="1054"/>
        </w:numPr>
        <w:pStyle w:val="Compact"/>
      </w:pPr>
      <w:r>
        <w:t xml:space="preserve">☐ Cambios importantes registrados</w:t>
      </w:r>
    </w:p>
    <w:p>
      <w:pPr>
        <w:numPr>
          <w:ilvl w:val="0"/>
          <w:numId w:val="1054"/>
        </w:numPr>
        <w:pStyle w:val="Compact"/>
      </w:pPr>
      <w:r>
        <w:t xml:space="preserve">☐ Información privada protegida</w:t>
      </w:r>
    </w:p>
    <w:p>
      <w:pPr>
        <w:numPr>
          <w:ilvl w:val="0"/>
          <w:numId w:val="1054"/>
        </w:numPr>
        <w:pStyle w:val="Compact"/>
      </w:pPr>
      <w:r>
        <w:t xml:space="preserve">☐ Incidentes escalados por la cadena correcta</w:t>
      </w:r>
    </w:p>
    <w:p>
      <w:pPr>
        <w:numPr>
          <w:ilvl w:val="0"/>
          <w:numId w:val="1054"/>
        </w:numPr>
        <w:pStyle w:val="Compact"/>
      </w:pPr>
      <w:r>
        <w:t xml:space="preserve">☐ Ningún gasto o compromiso no autorizado</w:t>
      </w:r>
    </w:p>
    <w:bookmarkEnd w:id="105"/>
    <w:bookmarkStart w:id="106" w:name="cierre"/>
    <w:p>
      <w:pPr>
        <w:pStyle w:val="Heading3"/>
      </w:pPr>
      <w:r>
        <w:t xml:space="preserve">Cierre</w:t>
      </w:r>
    </w:p>
    <w:p>
      <w:pPr>
        <w:numPr>
          <w:ilvl w:val="0"/>
          <w:numId w:val="1055"/>
        </w:numPr>
        <w:pStyle w:val="Compact"/>
      </w:pPr>
      <w:r>
        <w:t xml:space="preserve">☐ Asistencia conciliada</w:t>
      </w:r>
    </w:p>
    <w:p>
      <w:pPr>
        <w:numPr>
          <w:ilvl w:val="0"/>
          <w:numId w:val="1055"/>
        </w:numPr>
        <w:pStyle w:val="Compact"/>
      </w:pPr>
      <w:r>
        <w:t xml:space="preserve">☐ Retroalimentación recopilada si está autorizada</w:t>
      </w:r>
    </w:p>
    <w:p>
      <w:pPr>
        <w:numPr>
          <w:ilvl w:val="0"/>
          <w:numId w:val="1055"/>
        </w:numPr>
        <w:pStyle w:val="Compact"/>
      </w:pPr>
      <w:r>
        <w:t xml:space="preserve">☐ Finalización de proveedores revisada</w:t>
      </w:r>
    </w:p>
    <w:p>
      <w:pPr>
        <w:numPr>
          <w:ilvl w:val="0"/>
          <w:numId w:val="1055"/>
        </w:numPr>
        <w:pStyle w:val="Compact"/>
      </w:pPr>
      <w:r>
        <w:t xml:space="preserve">☐ Facturas enviadas para revisión</w:t>
      </w:r>
    </w:p>
    <w:p>
      <w:pPr>
        <w:numPr>
          <w:ilvl w:val="0"/>
          <w:numId w:val="1055"/>
        </w:numPr>
        <w:pStyle w:val="Compact"/>
      </w:pPr>
      <w:r>
        <w:t xml:space="preserve">☐ Asuntos abiertos asignados</w:t>
      </w:r>
    </w:p>
    <w:p>
      <w:pPr>
        <w:numPr>
          <w:ilvl w:val="0"/>
          <w:numId w:val="1055"/>
        </w:numPr>
        <w:pStyle w:val="Compact"/>
      </w:pPr>
      <w:r>
        <w:t xml:space="preserve">☐ Equipos/materiales devueltos o inventariados</w:t>
      </w:r>
    </w:p>
    <w:p>
      <w:pPr>
        <w:numPr>
          <w:ilvl w:val="0"/>
          <w:numId w:val="1055"/>
        </w:numPr>
        <w:pStyle w:val="Compact"/>
      </w:pPr>
      <w:r>
        <w:t xml:space="preserve">☐ Permisos de acceso cerrados cuando corresponda</w:t>
      </w:r>
    </w:p>
    <w:p>
      <w:pPr>
        <w:numPr>
          <w:ilvl w:val="0"/>
          <w:numId w:val="1055"/>
        </w:numPr>
        <w:pStyle w:val="Compact"/>
      </w:pPr>
      <w:r>
        <w:t xml:space="preserve">☐ Registros archivados o eliminados según la política</w:t>
      </w:r>
    </w:p>
    <w:p>
      <w:pPr>
        <w:numPr>
          <w:ilvl w:val="0"/>
          <w:numId w:val="1055"/>
        </w:numPr>
        <w:pStyle w:val="Compact"/>
      </w:pPr>
      <w:r>
        <w:t xml:space="preserve">☐ Lecciones aprendidas documentadas</w:t>
      </w:r>
    </w:p>
    <w:bookmarkEnd w:id="106"/>
    <w:bookmarkEnd w:id="107"/>
    <w:bookmarkStart w:id="108" w:name="hábitos-de-verificación-de-fuentes"/>
    <w:p>
      <w:pPr>
        <w:pStyle w:val="Heading2"/>
      </w:pPr>
      <w:r>
        <w:t xml:space="preserve">Hábitos de verificación de fuentes</w:t>
      </w:r>
    </w:p>
    <w:p>
      <w:pPr>
        <w:pStyle w:val="FirstParagraph"/>
      </w:pPr>
      <w:r>
        <w:t xml:space="preserve">La información de eventos cambia rápidamente. Conviene registrar:</w:t>
      </w:r>
    </w:p>
    <w:p>
      <w:pPr>
        <w:numPr>
          <w:ilvl w:val="0"/>
          <w:numId w:val="1056"/>
        </w:numPr>
        <w:pStyle w:val="Compact"/>
      </w:pPr>
      <w:r>
        <w:t xml:space="preserve">organización fuente;</w:t>
      </w:r>
    </w:p>
    <w:p>
      <w:pPr>
        <w:numPr>
          <w:ilvl w:val="0"/>
          <w:numId w:val="1056"/>
        </w:numPr>
        <w:pStyle w:val="Compact"/>
      </w:pPr>
      <w:r>
        <w:t xml:space="preserve">URL o sistema fuente;</w:t>
      </w:r>
    </w:p>
    <w:p>
      <w:pPr>
        <w:numPr>
          <w:ilvl w:val="0"/>
          <w:numId w:val="1056"/>
        </w:numPr>
        <w:pStyle w:val="Compact"/>
      </w:pPr>
      <w:r>
        <w:t xml:space="preserve">fecha de consulta;</w:t>
      </w:r>
    </w:p>
    <w:p>
      <w:pPr>
        <w:numPr>
          <w:ilvl w:val="0"/>
          <w:numId w:val="1056"/>
        </w:numPr>
        <w:pStyle w:val="Compact"/>
      </w:pPr>
      <w:r>
        <w:t xml:space="preserve">hecho verificado;</w:t>
      </w:r>
    </w:p>
    <w:p>
      <w:pPr>
        <w:numPr>
          <w:ilvl w:val="0"/>
          <w:numId w:val="1056"/>
        </w:numPr>
        <w:pStyle w:val="Compact"/>
      </w:pPr>
      <w:r>
        <w:t xml:space="preserve">persona que aprobó la decisión cuando se requería aprobación.</w:t>
      </w:r>
    </w:p>
    <w:p>
      <w:pPr>
        <w:pStyle w:val="FirstParagraph"/>
      </w:pPr>
      <w:r>
        <w:t xml:space="preserve">Para asuntos legales, de seguridad, accesibilidad, permisos, impuestos, seguros, inmigración, salud pública o emergencias, se debe usar la autoridad oficial correspondiente o un profesional calificado. Para precios y disponibilidad de proveedores, se debe usar la cotización, contrato o sistema de proveedor actual y aprobado. Para reglas internas, se debe usar la política vigente del empleador y el responsable designado.</w:t>
      </w:r>
    </w:p>
    <w:bookmarkEnd w:id="108"/>
    <w:bookmarkStart w:id="118" w:name="fuentes-controladas-clave"/>
    <w:p>
      <w:pPr>
        <w:pStyle w:val="Heading2"/>
      </w:pPr>
      <w:r>
        <w:t xml:space="preserve">Fuentes controladas clave</w:t>
      </w:r>
    </w:p>
    <w:bookmarkStart w:id="114" w:name="estados-unidos"/>
    <w:p>
      <w:pPr>
        <w:pStyle w:val="Heading3"/>
      </w:pPr>
      <w:r>
        <w:t xml:space="preserve">Estados Unidos</w:t>
      </w:r>
    </w:p>
    <w:p>
      <w:pPr>
        <w:pStyle w:val="FirstParagraph"/>
      </w:pPr>
      <w:r>
        <w:t xml:space="preserve">O*NET — Meeting, Convention, and Event Planners</w:t>
      </w:r>
      <w:r>
        <w:br/>
      </w:r>
      <w:hyperlink r:id="rId50">
        <w:hyperlink r:id="rId50">
          <w:r>
            <w:rPr>
              <w:rStyle w:val="Hyperlink"/>
            </w:rPr>
            <w:t xml:space="preserve">Source link</w:t>
          </w:r>
        </w:hyperlink>
      </w:hyperlink>
    </w:p>
    <w:p>
      <w:pPr>
        <w:pStyle w:val="BodyText"/>
      </w:pPr>
      <w:r>
        <w:t xml:space="preserve">O*NET — salarios nacionales</w:t>
      </w:r>
      <w:r>
        <w:br/>
      </w:r>
      <w:hyperlink r:id="rId51">
        <w:hyperlink r:id="rId51">
          <w:r>
            <w:rPr>
              <w:rStyle w:val="Hyperlink"/>
            </w:rPr>
            <w:t xml:space="preserve">Source link</w:t>
          </w:r>
        </w:hyperlink>
      </w:hyperlink>
    </w:p>
    <w:p>
      <w:pPr>
        <w:pStyle w:val="BodyText"/>
      </w:pPr>
      <w:r>
        <w:t xml:space="preserve">U.S. Bureau of Labor Statistics — Occupational Outlook Handbook</w:t>
      </w:r>
      <w:r>
        <w:br/>
      </w:r>
      <w:hyperlink r:id="rId52">
        <w:hyperlink r:id="rId52">
          <w:r>
            <w:rPr>
              <w:rStyle w:val="Hyperlink"/>
            </w:rPr>
            <w:t xml:space="preserve">Source link</w:t>
          </w:r>
        </w:hyperlink>
      </w:hyperlink>
    </w:p>
    <w:p>
      <w:pPr>
        <w:pStyle w:val="BodyText"/>
      </w:pPr>
      <w:r>
        <w:t xml:space="preserve">CareerOneStop — WIOA-Eligible Training Program Finder</w:t>
      </w:r>
      <w:r>
        <w:br/>
      </w:r>
      <w:hyperlink r:id="rId46">
        <w:hyperlink r:id="rId46">
          <w:r>
            <w:rPr>
              <w:rStyle w:val="Hyperlink"/>
            </w:rPr>
            <w:t xml:space="preserve">Source link</w:t>
          </w:r>
        </w:hyperlink>
      </w:hyperlink>
    </w:p>
    <w:p>
      <w:pPr>
        <w:pStyle w:val="BodyText"/>
      </w:pPr>
      <w:r>
        <w:t xml:space="preserve">ADA.gov — ley ADA y orientación de accesibilidad web</w:t>
      </w:r>
      <w:r>
        <w:br/>
      </w:r>
      <w:hyperlink r:id="rId109">
        <w:r>
          <w:rPr>
            <w:rStyle w:val="Hyperlink"/>
          </w:rPr>
          <w:t xml:space="preserve">https://www.ada.gov/law-and-regs/ada/</w:t>
        </w:r>
      </w:hyperlink>
      <w:r>
        <w:br/>
      </w:r>
      <w:hyperlink r:id="rId110">
        <w:r>
          <w:rPr>
            <w:rStyle w:val="Hyperlink"/>
          </w:rPr>
          <w:t xml:space="preserve">https://www.ada.gov/resources/web-guidance/</w:t>
        </w:r>
      </w:hyperlink>
    </w:p>
    <w:p>
      <w:pPr>
        <w:pStyle w:val="BodyText"/>
      </w:pPr>
      <w:r>
        <w:t xml:space="preserve">CISA — Secure Our World</w:t>
      </w:r>
      <w:r>
        <w:br/>
      </w:r>
      <w:hyperlink r:id="rId111">
        <w:r>
          <w:rPr>
            <w:rStyle w:val="Hyperlink"/>
          </w:rPr>
          <w:t xml:space="preserve">https://www.cisa.gov/secure-our-world</w:t>
        </w:r>
      </w:hyperlink>
    </w:p>
    <w:p>
      <w:pPr>
        <w:pStyle w:val="BodyText"/>
      </w:pPr>
      <w:r>
        <w:t xml:space="preserve">OSHA — Emergency Action Plans</w:t>
      </w:r>
      <w:r>
        <w:br/>
      </w:r>
      <w:hyperlink r:id="rId112">
        <w:hyperlink r:id="rId112">
          <w:r>
            <w:rPr>
              <w:rStyle w:val="Hyperlink"/>
            </w:rPr>
            <w:t xml:space="preserve">Source link</w:t>
          </w:r>
        </w:hyperlink>
      </w:hyperlink>
    </w:p>
    <w:p>
      <w:pPr>
        <w:pStyle w:val="BodyText"/>
      </w:pPr>
      <w:r>
        <w:t xml:space="preserve">NIST — AI Risk Management Framework</w:t>
      </w:r>
      <w:r>
        <w:br/>
      </w:r>
      <w:hyperlink r:id="rId113">
        <w:hyperlink r:id="rId113">
          <w:r>
            <w:rPr>
              <w:rStyle w:val="Hyperlink"/>
            </w:rPr>
            <w:t xml:space="preserve">Source link</w:t>
          </w:r>
        </w:hyperlink>
      </w:hyperlink>
    </w:p>
    <w:bookmarkEnd w:id="114"/>
    <w:bookmarkStart w:id="115" w:name="canadá"/>
    <w:p>
      <w:pPr>
        <w:pStyle w:val="Heading3"/>
      </w:pPr>
      <w:r>
        <w:t xml:space="preserve">Canadá</w:t>
      </w:r>
    </w:p>
    <w:p>
      <w:pPr>
        <w:pStyle w:val="FirstParagraph"/>
      </w:pPr>
      <w:r>
        <w:t xml:space="preserve">Job Bank — resumen, salarios y requisitos de Event Planner</w:t>
      </w:r>
      <w:r>
        <w:br/>
      </w:r>
      <w:hyperlink r:id="rId58">
        <w:hyperlink r:id="rId58">
          <w:r>
            <w:rPr>
              <w:rStyle w:val="Hyperlink"/>
            </w:rPr>
            <w:t xml:space="preserve">Source link</w:t>
          </w:r>
        </w:hyperlink>
      </w:hyperlink>
      <w:r>
        <w:br/>
      </w:r>
      <w:hyperlink r:id="rId59">
        <w:hyperlink r:id="rId59">
          <w:r>
            <w:rPr>
              <w:rStyle w:val="Hyperlink"/>
            </w:rPr>
            <w:t xml:space="preserve">Source link</w:t>
          </w:r>
        </w:hyperlink>
      </w:hyperlink>
      <w:r>
        <w:br/>
      </w:r>
      <w:hyperlink r:id="rId60">
        <w:hyperlink r:id="rId60">
          <w:r>
            <w:rPr>
              <w:rStyle w:val="Hyperlink"/>
            </w:rPr>
            <w:t xml:space="preserve">Source link</w:t>
          </w:r>
        </w:hyperlink>
      </w:hyperlink>
    </w:p>
    <w:p>
      <w:pPr>
        <w:pStyle w:val="BodyText"/>
      </w:pPr>
      <w:r>
        <w:t xml:space="preserve">Gobierno de Canadá — Training</w:t>
      </w:r>
      <w:r>
        <w:br/>
      </w:r>
      <w:hyperlink r:id="rId62">
        <w:hyperlink r:id="rId62">
          <w:r>
            <w:rPr>
              <w:rStyle w:val="Hyperlink"/>
            </w:rPr>
            <w:t xml:space="preserve">Source link</w:t>
          </w:r>
        </w:hyperlink>
      </w:hyperlink>
    </w:p>
    <w:p>
      <w:pPr>
        <w:pStyle w:val="BodyText"/>
      </w:pPr>
      <w:r>
        <w:t xml:space="preserve">Gobierno de Canadá — Labour Market Agreements</w:t>
      </w:r>
      <w:r>
        <w:br/>
      </w:r>
      <w:hyperlink r:id="rId63">
        <w:hyperlink r:id="rId63">
          <w:r>
            <w:rPr>
              <w:rStyle w:val="Hyperlink"/>
            </w:rPr>
            <w:t xml:space="preserve">Source link</w:t>
          </w:r>
        </w:hyperlink>
      </w:hyperlink>
    </w:p>
    <w:bookmarkEnd w:id="115"/>
    <w:bookmarkStart w:id="116" w:name="colombia"/>
    <w:p>
      <w:pPr>
        <w:pStyle w:val="Heading3"/>
      </w:pPr>
      <w:r>
        <w:t xml:space="preserve">Colombia</w:t>
      </w:r>
    </w:p>
    <w:p>
      <w:pPr>
        <w:pStyle w:val="FirstParagraph"/>
      </w:pPr>
      <w:r>
        <w:t xml:space="preserve">OCUPACOL — CUOC 33320</w:t>
      </w:r>
      <w:r>
        <w:br/>
      </w:r>
      <w:hyperlink r:id="rId67">
        <w:hyperlink r:id="rId67">
          <w:r>
            <w:rPr>
              <w:rStyle w:val="Hyperlink"/>
            </w:rPr>
            <w:t xml:space="preserve">Source link</w:t>
          </w:r>
        </w:hyperlink>
      </w:hyperlink>
    </w:p>
    <w:p>
      <w:pPr>
        <w:pStyle w:val="BodyText"/>
      </w:pPr>
      <w:r>
        <w:t xml:space="preserve">SENA Betowa — Estrategias aplicadas a la organización de eventos</w:t>
      </w:r>
      <w:r>
        <w:br/>
      </w:r>
      <w:hyperlink r:id="rId68">
        <w:hyperlink r:id="rId68">
          <w:r>
            <w:rPr>
              <w:rStyle w:val="Hyperlink"/>
            </w:rPr>
            <w:t xml:space="preserve">Source link</w:t>
          </w:r>
        </w:hyperlink>
      </w:hyperlink>
    </w:p>
    <w:p>
      <w:pPr>
        <w:pStyle w:val="BodyText"/>
      </w:pPr>
      <w:r>
        <w:t xml:space="preserve">SENA Betowa — Gestión Administrativa</w:t>
      </w:r>
      <w:r>
        <w:br/>
      </w:r>
      <w:hyperlink r:id="rId69">
        <w:hyperlink r:id="rId69">
          <w:r>
            <w:rPr>
              <w:rStyle w:val="Hyperlink"/>
            </w:rPr>
            <w:t xml:space="preserve">Source link</w:t>
          </w:r>
        </w:hyperlink>
      </w:hyperlink>
    </w:p>
    <w:bookmarkEnd w:id="116"/>
    <w:bookmarkStart w:id="117" w:name="américa-latina-y-el-caribe"/>
    <w:p>
      <w:pPr>
        <w:pStyle w:val="Heading3"/>
      </w:pPr>
      <w:r>
        <w:t xml:space="preserve">América Latina y el Caribe</w:t>
      </w:r>
    </w:p>
    <w:p>
      <w:pPr>
        <w:pStyle w:val="FirstParagraph"/>
      </w:pPr>
      <w:r>
        <w:t xml:space="preserve">OIT/Cinterfor</w:t>
      </w:r>
      <w:r>
        <w:br/>
      </w:r>
      <w:hyperlink r:id="rId75">
        <w:r>
          <w:rPr>
            <w:rStyle w:val="Hyperlink"/>
          </w:rPr>
          <w:t xml:space="preserve">https://www.oitcinterfor.org/</w:t>
        </w:r>
      </w:hyperlink>
      <w:r>
        <w:br/>
      </w:r>
      <w:hyperlink r:id="rId76">
        <w:r>
          <w:rPr>
            <w:rStyle w:val="Hyperlink"/>
          </w:rPr>
          <w:t xml:space="preserve">https://www.oitcinterfor.org/statsfp/paises</w:t>
        </w:r>
      </w:hyperlink>
    </w:p>
    <w:bookmarkEnd w:id="117"/>
    <w:bookmarkEnd w:id="118"/>
    <w:bookmarkStart w:id="119" w:name="aviso-importante"/>
    <w:p>
      <w:pPr>
        <w:pStyle w:val="Heading2"/>
      </w:pPr>
      <w:r>
        <w:t xml:space="preserve">Aviso importante</w:t>
      </w:r>
    </w:p>
    <w:p>
      <w:pPr>
        <w:pStyle w:val="FirstParagraph"/>
      </w:pPr>
      <w:r>
        <w:t xml:space="preserve">Esta guía ofrece información general educativa y de planificación profesional. No garantiza empleo, ingresos, admisión, financiamiento de capacitación, colocación en aprendizaje, certificación, licencia, promoción, cumplimiento de accesibilidad, cumplimiento legal, seguridad del evento, desempeño de proveedores ni ningún otro resultado.</w:t>
      </w:r>
    </w:p>
    <w:p>
      <w:pPr>
        <w:pStyle w:val="BodyText"/>
      </w:pPr>
      <w:r>
        <w:t xml:space="preserve">Los requisitos, remuneración, credenciales, permisos, impuestos, seguros, reglas de seguridad, obligaciones de accesibilidad, normas laborales y regulaciones de eventos varían según jurisdicción, empleador, lugar, tipo de evento y momento. Los requisitos de consecuencias importantes deben verificarse con fuentes autorizadas actuales y con la organización responsable o profesional calificado.</w:t>
      </w:r>
    </w:p>
    <w:bookmarkEnd w:id="119"/>
    <w:bookmarkStart w:id="120" w:name="autor-y-asistencia-de-ia"/>
    <w:p>
      <w:pPr>
        <w:pStyle w:val="Heading2"/>
      </w:pPr>
      <w:r>
        <w:t xml:space="preserve">Autor y asistencia de IA</w:t>
      </w:r>
    </w:p>
    <w:p>
      <w:pPr>
        <w:pStyle w:val="FirstParagraph"/>
      </w:pPr>
      <w:r>
        <w:t xml:space="preserve">Creada y dirigida por</w:t>
      </w:r>
      <w:r>
        <w:t xml:space="preserve"> </w:t>
      </w:r>
      <w:r>
        <w:rPr>
          <w:bCs/>
          <w:b/>
        </w:rPr>
        <w:t xml:space="preserve">Alberto “Al” Leiva</w:t>
      </w:r>
      <w:r>
        <w:t xml:space="preserve">. ChatGPT apoyó la investigación de fuentes actuales, organización, edición, apoyo de localización y preparación documental bajo la dirección del autor. El autor conserva la responsabilidad por las decisiones editoriales y de publicación.</w:t>
      </w:r>
    </w:p>
    <w:bookmarkEnd w:id="120"/>
    <w:bookmarkStart w:id="121" w:name="licencia"/>
    <w:p>
      <w:pPr>
        <w:pStyle w:val="Heading2"/>
      </w:pPr>
      <w:r>
        <w:t xml:space="preserve">Licencia</w:t>
      </w:r>
    </w:p>
    <w:p>
      <w:pPr>
        <w:pStyle w:val="FirstParagraph"/>
      </w:pPr>
      <w:r>
        <w:t xml:space="preserve">Salvo que un archivo indique lo contrario, estos materiales se distribuyen bajo</w:t>
      </w:r>
      <w:r>
        <w:t xml:space="preserve"> </w:t>
      </w:r>
      <w:r>
        <w:rPr>
          <w:bCs/>
          <w:b/>
        </w:rPr>
        <w:t xml:space="preserve">Creative Commons Attribution-NonCommercial-ShareAlike 4.0 International (CC BY-NC-SA 4.0)</w:t>
      </w:r>
      <w:r>
        <w:t xml:space="preserve">.</w:t>
      </w:r>
    </w:p>
    <w:bookmarkEnd w:id="121"/>
    <w:bookmarkEnd w:id="1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8" Target="https://betowa.sena.edu.co/oferta/estrategias-aplicadas-a-la-organizacion-de-eventos?modality=P&amp;offertype=company&amp;programId=89086" TargetMode="External" /><Relationship Type="http://schemas.openxmlformats.org/officeDocument/2006/relationships/hyperlink" Id="rId69" Target="https://betowa.sena.edu.co/oferta/gestion-administrativa?programId=159" TargetMode="External" /><Relationship Type="http://schemas.openxmlformats.org/officeDocument/2006/relationships/hyperlink" Id="rId72" Target="https://co.indeed.com/career/coordinador-de-eventos/salaries" TargetMode="External" /><Relationship Type="http://schemas.openxmlformats.org/officeDocument/2006/relationships/hyperlink" Id="rId73" Target="https://co.indeed.com/career/coordinador-de-eventos/salaries/Bogot%C3%A1--Cundinamarca" TargetMode="External" /><Relationship Type="http://schemas.openxmlformats.org/officeDocument/2006/relationships/hyperlink" Id="rId67" Target="https://ocupacol.mintrabajo.gov.co/Profile/OccupationalProfile/33320" TargetMode="External" /><Relationship Type="http://schemas.openxmlformats.org/officeDocument/2006/relationships/hyperlink" Id="rId109" Target="https://www.ada.gov/law-and-regs/ada/" TargetMode="External" /><Relationship Type="http://schemas.openxmlformats.org/officeDocument/2006/relationships/hyperlink" Id="rId110" Target="https://www.ada.gov/resources/web-guidance/" TargetMode="External" /><Relationship Type="http://schemas.openxmlformats.org/officeDocument/2006/relationships/hyperlink" Id="rId52" Target="https://www.bls.gov/ooh/business-and-financial/meeting-convention-and-event-planners.htm" TargetMode="External" /><Relationship Type="http://schemas.openxmlformats.org/officeDocument/2006/relationships/hyperlink" Id="rId63" Target="https://www.canada.ca/en/employment-social-development/programs/training-agreements.html" TargetMode="External" /><Relationship Type="http://schemas.openxmlformats.org/officeDocument/2006/relationships/hyperlink" Id="rId64" Target="https://www.canada.ca/en/employment-social-development/programs/training-agreements/lmda.html" TargetMode="External" /><Relationship Type="http://schemas.openxmlformats.org/officeDocument/2006/relationships/hyperlink" Id="rId62" Target="https://www.canada.ca/en/services/jobs/training.html" TargetMode="External" /><Relationship Type="http://schemas.openxmlformats.org/officeDocument/2006/relationships/hyperlink" Id="rId46" Target="https://www.careeronestop.org/LocalHelp/EmploymentAndTraining/find-WIOA-training-programs.aspx" TargetMode="External" /><Relationship Type="http://schemas.openxmlformats.org/officeDocument/2006/relationships/hyperlink" Id="rId111" Target="https://www.cisa.gov/secure-our-world" TargetMode="External" /><Relationship Type="http://schemas.openxmlformats.org/officeDocument/2006/relationships/hyperlink" Id="rId54" Target="https://www.indeed.com/career/event-coordinator/salaries" TargetMode="External" /><Relationship Type="http://schemas.openxmlformats.org/officeDocument/2006/relationships/hyperlink" Id="rId60" Target="https://www.jobbank.gc.ca/marketreport/requirements/12546/ca" TargetMode="External" /><Relationship Type="http://schemas.openxmlformats.org/officeDocument/2006/relationships/hyperlink" Id="rId58" Target="https://www.jobbank.gc.ca/marketreport/summary-occupation/12546/ca" TargetMode="External" /><Relationship Type="http://schemas.openxmlformats.org/officeDocument/2006/relationships/hyperlink" Id="rId59" Target="https://www.jobbank.gc.ca/marketreport/wages-occupation/12546/ca" TargetMode="External" /><Relationship Type="http://schemas.openxmlformats.org/officeDocument/2006/relationships/hyperlink" Id="rId113" Target="https://www.nist.gov/itl/ai-risk-management-framework" TargetMode="External" /><Relationship Type="http://schemas.openxmlformats.org/officeDocument/2006/relationships/hyperlink" Id="rId75" Target="https://www.oitcinterfor.org/" TargetMode="External" /><Relationship Type="http://schemas.openxmlformats.org/officeDocument/2006/relationships/hyperlink" Id="rId76" Target="https://www.oitcinterfor.org/statsfp/paises" TargetMode="External" /><Relationship Type="http://schemas.openxmlformats.org/officeDocument/2006/relationships/hyperlink" Id="rId50" Target="https://www.onetonline.org/link/details/13-1121.00" TargetMode="External" /><Relationship Type="http://schemas.openxmlformats.org/officeDocument/2006/relationships/hyperlink" Id="rId51" Target="https://www.onetonline.org/link/localwages/13-1121.00" TargetMode="External" /><Relationship Type="http://schemas.openxmlformats.org/officeDocument/2006/relationships/hyperlink" Id="rId112" Target="https://www.osha.gov/etools/evacuation-plans-procedures/eap/" TargetMode="External" /></Relationships>
</file>

<file path=word/_rels/footnotes.xml.rels><?xml version="1.0" encoding="UTF-8"?><Relationships xmlns="http://schemas.openxmlformats.org/package/2006/relationships"><Relationship Type="http://schemas.openxmlformats.org/officeDocument/2006/relationships/hyperlink" Id="rId68" Target="https://betowa.sena.edu.co/oferta/estrategias-aplicadas-a-la-organizacion-de-eventos?modality=P&amp;offertype=company&amp;programId=89086" TargetMode="External" /><Relationship Type="http://schemas.openxmlformats.org/officeDocument/2006/relationships/hyperlink" Id="rId69" Target="https://betowa.sena.edu.co/oferta/gestion-administrativa?programId=159" TargetMode="External" /><Relationship Type="http://schemas.openxmlformats.org/officeDocument/2006/relationships/hyperlink" Id="rId72" Target="https://co.indeed.com/career/coordinador-de-eventos/salaries" TargetMode="External" /><Relationship Type="http://schemas.openxmlformats.org/officeDocument/2006/relationships/hyperlink" Id="rId73" Target="https://co.indeed.com/career/coordinador-de-eventos/salaries/Bogot%C3%A1--Cundinamarca" TargetMode="External" /><Relationship Type="http://schemas.openxmlformats.org/officeDocument/2006/relationships/hyperlink" Id="rId67" Target="https://ocupacol.mintrabajo.gov.co/Profile/OccupationalProfile/33320" TargetMode="External" /><Relationship Type="http://schemas.openxmlformats.org/officeDocument/2006/relationships/hyperlink" Id="rId109" Target="https://www.ada.gov/law-and-regs/ada/" TargetMode="External" /><Relationship Type="http://schemas.openxmlformats.org/officeDocument/2006/relationships/hyperlink" Id="rId110" Target="https://www.ada.gov/resources/web-guidance/" TargetMode="External" /><Relationship Type="http://schemas.openxmlformats.org/officeDocument/2006/relationships/hyperlink" Id="rId52" Target="https://www.bls.gov/ooh/business-and-financial/meeting-convention-and-event-planners.htm" TargetMode="External" /><Relationship Type="http://schemas.openxmlformats.org/officeDocument/2006/relationships/hyperlink" Id="rId63" Target="https://www.canada.ca/en/employment-social-development/programs/training-agreements.html" TargetMode="External" /><Relationship Type="http://schemas.openxmlformats.org/officeDocument/2006/relationships/hyperlink" Id="rId64" Target="https://www.canada.ca/en/employment-social-development/programs/training-agreements/lmda.html" TargetMode="External" /><Relationship Type="http://schemas.openxmlformats.org/officeDocument/2006/relationships/hyperlink" Id="rId62" Target="https://www.canada.ca/en/services/jobs/training.html" TargetMode="External" /><Relationship Type="http://schemas.openxmlformats.org/officeDocument/2006/relationships/hyperlink" Id="rId46" Target="https://www.careeronestop.org/LocalHelp/EmploymentAndTraining/find-WIOA-training-programs.aspx" TargetMode="External" /><Relationship Type="http://schemas.openxmlformats.org/officeDocument/2006/relationships/hyperlink" Id="rId111" Target="https://www.cisa.gov/secure-our-world" TargetMode="External" /><Relationship Type="http://schemas.openxmlformats.org/officeDocument/2006/relationships/hyperlink" Id="rId54" Target="https://www.indeed.com/career/event-coordinator/salaries" TargetMode="External" /><Relationship Type="http://schemas.openxmlformats.org/officeDocument/2006/relationships/hyperlink" Id="rId60" Target="https://www.jobbank.gc.ca/marketreport/requirements/12546/ca" TargetMode="External" /><Relationship Type="http://schemas.openxmlformats.org/officeDocument/2006/relationships/hyperlink" Id="rId58" Target="https://www.jobbank.gc.ca/marketreport/summary-occupation/12546/ca" TargetMode="External" /><Relationship Type="http://schemas.openxmlformats.org/officeDocument/2006/relationships/hyperlink" Id="rId59" Target="https://www.jobbank.gc.ca/marketreport/wages-occupation/12546/ca" TargetMode="External" /><Relationship Type="http://schemas.openxmlformats.org/officeDocument/2006/relationships/hyperlink" Id="rId113" Target="https://www.nist.gov/itl/ai-risk-management-framework" TargetMode="External" /><Relationship Type="http://schemas.openxmlformats.org/officeDocument/2006/relationships/hyperlink" Id="rId75" Target="https://www.oitcinterfor.org/" TargetMode="External" /><Relationship Type="http://schemas.openxmlformats.org/officeDocument/2006/relationships/hyperlink" Id="rId76" Target="https://www.oitcinterfor.org/statsfp/paises" TargetMode="External" /><Relationship Type="http://schemas.openxmlformats.org/officeDocument/2006/relationships/hyperlink" Id="rId50" Target="https://www.onetonline.org/link/details/13-1121.00" TargetMode="External" /><Relationship Type="http://schemas.openxmlformats.org/officeDocument/2006/relationships/hyperlink" Id="rId51" Target="https://www.onetonline.org/link/localwages/13-1121.00" TargetMode="External" /><Relationship Type="http://schemas.openxmlformats.org/officeDocument/2006/relationships/hyperlink" Id="rId112" Target="https://www.osha.gov/etools/evacuation-plans-procedures/ea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2026-08-21T12:43:02Z</dcterms:created>
  <dcterms:modified xsi:type="dcterms:W3CDTF">2026-08-21T12:43:02Z</dcterms:modified>
</cp:coreProperties>
</file>

<file path=docProps/custom.xml><?xml version="1.0" encoding="utf-8"?>
<Properties xmlns="http://schemas.openxmlformats.org/officeDocument/2006/custom-properties" xmlns:vt="http://schemas.openxmlformats.org/officeDocument/2006/docPropsVTypes"/>
</file>