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fc4f39fed1ce2c8b7d395cfca02b73f9e5e6a1a"/>
    <w:p>
      <w:pPr>
        <w:pStyle w:val="Heading1"/>
      </w:pPr>
      <w:r>
        <w:t xml:space="preserve">Guía de Oportunidades para Toda la Vida 73 — Apoyo de ventas y coordinación de cuentas</w:t>
      </w:r>
    </w:p>
    <w:p>
      <w:pPr>
        <w:pStyle w:val="FirstParagraph"/>
      </w:pPr>
      <w:r>
        <w:rPr>
          <w:bCs/>
          <w:b/>
        </w:rPr>
        <w:t xml:space="preserve">Versión:</w:t>
      </w:r>
      <w:r>
        <w:t xml:space="preserve"> </w:t>
      </w:r>
      <w:r>
        <w:t xml:space="preserve">2.1, maestro controlado en español</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Fecha de revisión:</w:t>
      </w:r>
      <w:r>
        <w:t xml:space="preserve"> </w:t>
      </w:r>
      <w:r>
        <w:t xml:space="preserve">2026-08-21</w:t>
      </w:r>
      <w:r>
        <w:br/>
      </w:r>
      <w:r>
        <w:rPr>
          <w:bCs/>
          <w:b/>
        </w:rPr>
        <w:t xml:space="preserve">Estado:</w:t>
      </w:r>
      <w:r>
        <w:t xml:space="preserve"> </w:t>
      </w:r>
      <w:r>
        <w:t xml:space="preserve">maestro de revisión controlada; no constituye certificación humana independiente</w:t>
      </w:r>
    </w:p>
    <w:bookmarkStart w:id="20" w:name="en-qué-consiste-esta-carrera"/>
    <w:p>
      <w:pPr>
        <w:pStyle w:val="Heading2"/>
      </w:pPr>
      <w:r>
        <w:t xml:space="preserve">En qué consiste esta carrera</w:t>
      </w:r>
    </w:p>
    <w:p>
      <w:pPr>
        <w:pStyle w:val="FirstParagraph"/>
      </w:pPr>
      <w:r>
        <w:t xml:space="preserve">Los puestos de apoyo de ventas y coordinación de cuentas ayudan a que el trabajo comercial con clientes se mantenga exacto, organizado y en movimiento. Suelen trabajar entre representantes de ventas, gerentes de cuenta, clientes, operaciones, finanzas, logística, marketing y equipos de servicio. Los títulos varían según el empleador e incluyen coordinador/a de ventas, especialista de apoyo de ventas, coordinador/a de cuentas, coordinador/a de cuentas de clientes, coordinador/a comercial, asistente de operaciones de ventas, apoyo de ventas internas o coordinador/a de servicios al cliente.</w:t>
      </w:r>
    </w:p>
    <w:p>
      <w:pPr>
        <w:pStyle w:val="BodyText"/>
      </w:pPr>
      <w:r>
        <w:t xml:space="preserve">Esta guía trata el puesto principalmente como una función de coordinación y administración comercial. Algunos empleadores añaden prospección, apoyo de renovaciones o venta directa. Otros separan por completo la venta del trabajo de apoyo. Lee la descripción real del puesto en lugar de asumir que el título define cuota, comisión, precios, contratos o autoridad sobre la cuenta.</w:t>
      </w:r>
    </w:p>
    <w:bookmarkEnd w:id="20"/>
    <w:bookmarkStart w:id="21" w:name="X332341cf816c5fcad0c45e2f3e3ac5ba7f5855e"/>
    <w:p>
      <w:pPr>
        <w:pStyle w:val="Heading2"/>
      </w:pPr>
      <w:r>
        <w:t xml:space="preserve">Por qué este puesto puede ser una oportunidad</w:t>
      </w:r>
    </w:p>
    <w:p>
      <w:pPr>
        <w:pStyle w:val="FirstParagraph"/>
      </w:pPr>
      <w:r>
        <w:t xml:space="preserve">Este trabajo puede servir como puente práctico hacia operaciones de ventas, gestión de cuentas, éxito del cliente, operaciones de marketing, administración empresarial, compras, logística o coordinación de proyectos. La experiencia transferible puede provenir de servicio al cliente, comercio minorista, hotelería, administración de oficina, centros de llamadas, ingreso de pedidos, facturación, banca, seguros, soporte técnico o logística.</w:t>
      </w:r>
    </w:p>
    <w:p>
      <w:pPr>
        <w:pStyle w:val="BodyText"/>
      </w:pPr>
      <w:r>
        <w:t xml:space="preserve">A las personas que disfrutan este trabajo suele gustarles:</w:t>
      </w:r>
    </w:p>
    <w:p>
      <w:pPr>
        <w:numPr>
          <w:ilvl w:val="0"/>
          <w:numId w:val="1001"/>
        </w:numPr>
        <w:pStyle w:val="Compact"/>
      </w:pPr>
      <w:r>
        <w:t xml:space="preserve">organizar detalles y fechas límite;</w:t>
      </w:r>
    </w:p>
    <w:p>
      <w:pPr>
        <w:numPr>
          <w:ilvl w:val="0"/>
          <w:numId w:val="1001"/>
        </w:numPr>
        <w:pStyle w:val="Compact"/>
      </w:pPr>
      <w:r>
        <w:t xml:space="preserve">ayudar a clientes y equipos internos;</w:t>
      </w:r>
    </w:p>
    <w:p>
      <w:pPr>
        <w:numPr>
          <w:ilvl w:val="0"/>
          <w:numId w:val="1001"/>
        </w:numPr>
        <w:pStyle w:val="Compact"/>
      </w:pPr>
      <w:r>
        <w:t xml:space="preserve">preparar registros y documentos exactos;</w:t>
      </w:r>
    </w:p>
    <w:p>
      <w:pPr>
        <w:numPr>
          <w:ilvl w:val="0"/>
          <w:numId w:val="1001"/>
        </w:numPr>
        <w:pStyle w:val="Compact"/>
      </w:pPr>
      <w:r>
        <w:t xml:space="preserve">hacer seguimiento de manera constante;</w:t>
      </w:r>
    </w:p>
    <w:p>
      <w:pPr>
        <w:numPr>
          <w:ilvl w:val="0"/>
          <w:numId w:val="1001"/>
        </w:numPr>
        <w:pStyle w:val="Compact"/>
      </w:pPr>
      <w:r>
        <w:t xml:space="preserve">trabajar con hojas de cálculo, CRM, correo electrónico y calendarios;</w:t>
      </w:r>
    </w:p>
    <w:p>
      <w:pPr>
        <w:numPr>
          <w:ilvl w:val="0"/>
          <w:numId w:val="1001"/>
        </w:numPr>
        <w:pStyle w:val="Compact"/>
      </w:pPr>
      <w:r>
        <w:t xml:space="preserve">coordinar entre departamentos;</w:t>
      </w:r>
    </w:p>
    <w:p>
      <w:pPr>
        <w:numPr>
          <w:ilvl w:val="0"/>
          <w:numId w:val="1001"/>
        </w:numPr>
        <w:pStyle w:val="Compact"/>
      </w:pPr>
      <w:r>
        <w:t xml:space="preserve">detectar información faltante antes de que cause un problema;</w:t>
      </w:r>
    </w:p>
    <w:p>
      <w:pPr>
        <w:numPr>
          <w:ilvl w:val="0"/>
          <w:numId w:val="1001"/>
        </w:numPr>
        <w:pStyle w:val="Compact"/>
      </w:pPr>
      <w:r>
        <w:t xml:space="preserve">aprender cómo una empresa pasa del interés del cliente al pedido, entrega, pago y renovación.</w:t>
      </w:r>
    </w:p>
    <w:p>
      <w:pPr>
        <w:pStyle w:val="FirstParagraph"/>
      </w:pPr>
      <w:r>
        <w:t xml:space="preserve">El trabajo puede ser exigente cuando varios clientes o representantes de ventas necesitan apoyo al mismo tiempo. Algunos puestos incluyen presión de fin de mes, preparación rápida de cotizaciones, alto volumen de correo, escalaciones de clientes, cambios de fechas de entrega o requisitos detallados de cumplimiento.</w:t>
      </w:r>
    </w:p>
    <w:bookmarkEnd w:id="21"/>
    <w:bookmarkStart w:id="22" w:name="responsabilidades-comunes"/>
    <w:p>
      <w:pPr>
        <w:pStyle w:val="Heading2"/>
      </w:pPr>
      <w:r>
        <w:t xml:space="preserve">Responsabilidades comunes</w:t>
      </w:r>
    </w:p>
    <w:p>
      <w:pPr>
        <w:pStyle w:val="FirstParagraph"/>
      </w:pPr>
      <w:r>
        <w:t xml:space="preserve">Según el empleador, una persona coordinadora puede:</w:t>
      </w:r>
    </w:p>
    <w:p>
      <w:pPr>
        <w:numPr>
          <w:ilvl w:val="0"/>
          <w:numId w:val="1002"/>
        </w:numPr>
        <w:pStyle w:val="Compact"/>
      </w:pPr>
      <w:r>
        <w:t xml:space="preserve">mantener registros de cuentas, contactos, oportunidades y actividades en un CRM;</w:t>
      </w:r>
    </w:p>
    <w:p>
      <w:pPr>
        <w:numPr>
          <w:ilvl w:val="0"/>
          <w:numId w:val="1002"/>
        </w:numPr>
        <w:pStyle w:val="Compact"/>
      </w:pPr>
      <w:r>
        <w:t xml:space="preserve">preparar o actualizar cotizaciones con precios y plantillas aprobados;</w:t>
      </w:r>
    </w:p>
    <w:p>
      <w:pPr>
        <w:numPr>
          <w:ilvl w:val="0"/>
          <w:numId w:val="1002"/>
        </w:numPr>
        <w:pStyle w:val="Compact"/>
      </w:pPr>
      <w:r>
        <w:t xml:space="preserve">recopilar información para propuestas, pedidos, contratos, renovaciones o incorporación de clientes;</w:t>
      </w:r>
    </w:p>
    <w:p>
      <w:pPr>
        <w:numPr>
          <w:ilvl w:val="0"/>
          <w:numId w:val="1002"/>
        </w:numPr>
        <w:pStyle w:val="Compact"/>
      </w:pPr>
      <w:r>
        <w:t xml:space="preserve">coordinar firmas y aprobaciones sin firmar fuera de la autoridad delegada;</w:t>
      </w:r>
    </w:p>
    <w:p>
      <w:pPr>
        <w:numPr>
          <w:ilvl w:val="0"/>
          <w:numId w:val="1002"/>
        </w:numPr>
        <w:pStyle w:val="Compact"/>
      </w:pPr>
      <w:r>
        <w:t xml:space="preserve">programar llamadas, demostraciones, revisiones y reuniones de traspaso;</w:t>
      </w:r>
    </w:p>
    <w:p>
      <w:pPr>
        <w:numPr>
          <w:ilvl w:val="0"/>
          <w:numId w:val="1002"/>
        </w:numPr>
        <w:pStyle w:val="Compact"/>
      </w:pPr>
      <w:r>
        <w:t xml:space="preserve">preparar agendas, presentaciones, resúmenes de estado y notas de reuniones;</w:t>
      </w:r>
    </w:p>
    <w:p>
      <w:pPr>
        <w:numPr>
          <w:ilvl w:val="0"/>
          <w:numId w:val="1002"/>
        </w:numPr>
        <w:pStyle w:val="Compact"/>
      </w:pPr>
      <w:r>
        <w:t xml:space="preserve">dar seguimiento a acciones pendientes y responsables;</w:t>
      </w:r>
    </w:p>
    <w:p>
      <w:pPr>
        <w:numPr>
          <w:ilvl w:val="0"/>
          <w:numId w:val="1002"/>
        </w:numPr>
        <w:pStyle w:val="Compact"/>
      </w:pPr>
      <w:r>
        <w:t xml:space="preserve">apoyar a gerentes de cuenta antes de reuniones con clientes;</w:t>
      </w:r>
    </w:p>
    <w:p>
      <w:pPr>
        <w:numPr>
          <w:ilvl w:val="0"/>
          <w:numId w:val="1002"/>
        </w:numPr>
        <w:pStyle w:val="Compact"/>
      </w:pPr>
      <w:r>
        <w:t xml:space="preserve">coordinar información de producto, muestras o materiales de marketing aprobados;</w:t>
      </w:r>
    </w:p>
    <w:p>
      <w:pPr>
        <w:numPr>
          <w:ilvl w:val="0"/>
          <w:numId w:val="1002"/>
        </w:numPr>
        <w:pStyle w:val="Compact"/>
      </w:pPr>
      <w:r>
        <w:t xml:space="preserve">apoyar el ingreso de pedidos y monitorear su estado cuando corresponda;</w:t>
      </w:r>
    </w:p>
    <w:p>
      <w:pPr>
        <w:numPr>
          <w:ilvl w:val="0"/>
          <w:numId w:val="1002"/>
        </w:numPr>
        <w:pStyle w:val="Compact"/>
      </w:pPr>
      <w:r>
        <w:t xml:space="preserve">coordinar con finanzas sobre facturas, bloqueos de crédito, documentación fiscal o estado de pagos;</w:t>
      </w:r>
    </w:p>
    <w:p>
      <w:pPr>
        <w:numPr>
          <w:ilvl w:val="0"/>
          <w:numId w:val="1002"/>
        </w:numPr>
        <w:pStyle w:val="Compact"/>
      </w:pPr>
      <w:r>
        <w:t xml:space="preserve">coordinar con logística u operaciones sobre tiempos de entrega;</w:t>
      </w:r>
    </w:p>
    <w:p>
      <w:pPr>
        <w:numPr>
          <w:ilvl w:val="0"/>
          <w:numId w:val="1002"/>
        </w:numPr>
        <w:pStyle w:val="Compact"/>
      </w:pPr>
      <w:r>
        <w:t xml:space="preserve">dirigir problemas técnicos, de servicio, facturación o quejas al equipo correcto;</w:t>
      </w:r>
    </w:p>
    <w:p>
      <w:pPr>
        <w:numPr>
          <w:ilvl w:val="0"/>
          <w:numId w:val="1002"/>
        </w:numPr>
        <w:pStyle w:val="Compact"/>
      </w:pPr>
      <w:r>
        <w:t xml:space="preserve">apoyar listas de verificación de incorporación y renovación;</w:t>
      </w:r>
    </w:p>
    <w:p>
      <w:pPr>
        <w:numPr>
          <w:ilvl w:val="0"/>
          <w:numId w:val="1002"/>
        </w:numPr>
        <w:pStyle w:val="Compact"/>
      </w:pPr>
      <w:r>
        <w:t xml:space="preserve">mantener carpetas compartidas, plantillas, planes de cuenta y registros aprobados;</w:t>
      </w:r>
    </w:p>
    <w:p>
      <w:pPr>
        <w:numPr>
          <w:ilvl w:val="0"/>
          <w:numId w:val="1002"/>
        </w:numPr>
        <w:pStyle w:val="Compact"/>
      </w:pPr>
      <w:r>
        <w:t xml:space="preserve">ayudar a conciliar datos del CRM con ERP, cotización o sistemas de servicio al cliente;</w:t>
      </w:r>
    </w:p>
    <w:p>
      <w:pPr>
        <w:numPr>
          <w:ilvl w:val="0"/>
          <w:numId w:val="1002"/>
        </w:numPr>
        <w:pStyle w:val="Compact"/>
      </w:pPr>
      <w:r>
        <w:t xml:space="preserve">preparar informes y paneles recurrentes a partir de datos fuente aprobados;</w:t>
      </w:r>
    </w:p>
    <w:p>
      <w:pPr>
        <w:numPr>
          <w:ilvl w:val="0"/>
          <w:numId w:val="1002"/>
        </w:numPr>
        <w:pStyle w:val="Compact"/>
      </w:pPr>
      <w:r>
        <w:t xml:space="preserve">monitorear cotizaciones abiertas, acciones vencidas, oportunidades inactivas y campos faltantes;</w:t>
      </w:r>
    </w:p>
    <w:p>
      <w:pPr>
        <w:numPr>
          <w:ilvl w:val="0"/>
          <w:numId w:val="1002"/>
        </w:numPr>
        <w:pStyle w:val="Compact"/>
      </w:pPr>
      <w:r>
        <w:t xml:space="preserve">apoyar visitas de clientes, seminarios web, conferencias o eventos de ventas;</w:t>
      </w:r>
    </w:p>
    <w:p>
      <w:pPr>
        <w:numPr>
          <w:ilvl w:val="0"/>
          <w:numId w:val="1002"/>
        </w:numPr>
        <w:pStyle w:val="Compact"/>
      </w:pPr>
      <w:r>
        <w:t xml:space="preserve">proteger información de clientes y de la empresa conforme a las políticas.</w:t>
      </w:r>
    </w:p>
    <w:bookmarkEnd w:id="22"/>
    <w:bookmarkStart w:id="23" w:name="límites-de-autoridad-y-profesionales"/>
    <w:p>
      <w:pPr>
        <w:pStyle w:val="Heading2"/>
      </w:pPr>
      <w:r>
        <w:t xml:space="preserve">Límites de autoridad y profesionales</w:t>
      </w:r>
    </w:p>
    <w:p>
      <w:pPr>
        <w:pStyle w:val="FirstParagraph"/>
      </w:pPr>
      <w:r>
        <w:t xml:space="preserve">Un título de coordinación no autoriza automáticamente a una persona a:</w:t>
      </w:r>
    </w:p>
    <w:p>
      <w:pPr>
        <w:numPr>
          <w:ilvl w:val="0"/>
          <w:numId w:val="1003"/>
        </w:numPr>
        <w:pStyle w:val="Compact"/>
      </w:pPr>
      <w:r>
        <w:t xml:space="preserve">cambiar precios, descuentos, comisiones, condiciones de crédito o lenguaje contractual;</w:t>
      </w:r>
    </w:p>
    <w:p>
      <w:pPr>
        <w:numPr>
          <w:ilvl w:val="0"/>
          <w:numId w:val="1003"/>
        </w:numPr>
        <w:pStyle w:val="Compact"/>
      </w:pPr>
      <w:r>
        <w:t xml:space="preserve">firmar contratos o comprometer jurídicamente a la organización;</w:t>
      </w:r>
    </w:p>
    <w:p>
      <w:pPr>
        <w:numPr>
          <w:ilvl w:val="0"/>
          <w:numId w:val="1003"/>
        </w:numPr>
        <w:pStyle w:val="Compact"/>
      </w:pPr>
      <w:r>
        <w:t xml:space="preserve">prometer fechas de entrega o implementación que un equipo autorizado no haya confirmado;</w:t>
      </w:r>
    </w:p>
    <w:p>
      <w:pPr>
        <w:numPr>
          <w:ilvl w:val="0"/>
          <w:numId w:val="1003"/>
        </w:numPr>
        <w:pStyle w:val="Compact"/>
      </w:pPr>
      <w:r>
        <w:t xml:space="preserve">aprobar reembolsos, castigos contables o excepciones financieras;</w:t>
      </w:r>
    </w:p>
    <w:p>
      <w:pPr>
        <w:numPr>
          <w:ilvl w:val="0"/>
          <w:numId w:val="1003"/>
        </w:numPr>
        <w:pStyle w:val="Compact"/>
      </w:pPr>
      <w:r>
        <w:t xml:space="preserve">divulgar precios confidenciales, listas de clientes, datos de cuentas o estrategia interna;</w:t>
      </w:r>
    </w:p>
    <w:p>
      <w:pPr>
        <w:numPr>
          <w:ilvl w:val="0"/>
          <w:numId w:val="1003"/>
        </w:numPr>
        <w:pStyle w:val="Compact"/>
      </w:pPr>
      <w:r>
        <w:t xml:space="preserve">cambiar datos bancarios de clientes o proveedores sin verificación aprobada;</w:t>
      </w:r>
    </w:p>
    <w:p>
      <w:pPr>
        <w:numPr>
          <w:ilvl w:val="0"/>
          <w:numId w:val="1003"/>
        </w:numPr>
        <w:pStyle w:val="Compact"/>
      </w:pPr>
      <w:r>
        <w:t xml:space="preserve">brindar asesoría legal, tributaria, contable, de ciberseguridad o regulatoria fuera de sus funciones;</w:t>
      </w:r>
    </w:p>
    <w:p>
      <w:pPr>
        <w:numPr>
          <w:ilvl w:val="0"/>
          <w:numId w:val="1003"/>
        </w:numPr>
        <w:pStyle w:val="Compact"/>
      </w:pPr>
      <w:r>
        <w:t xml:space="preserve">presentar una cotización preliminar como aprobación final;</w:t>
      </w:r>
    </w:p>
    <w:p>
      <w:pPr>
        <w:numPr>
          <w:ilvl w:val="0"/>
          <w:numId w:val="1003"/>
        </w:numPr>
        <w:pStyle w:val="Compact"/>
      </w:pPr>
      <w:r>
        <w:t xml:space="preserve">inventar órdenes de compra, firmas, facturas, consentimiento del cliente, actividad de pipeline o resultados de ventas;</w:t>
      </w:r>
    </w:p>
    <w:p>
      <w:pPr>
        <w:numPr>
          <w:ilvl w:val="0"/>
          <w:numId w:val="1003"/>
        </w:numPr>
        <w:pStyle w:val="Compact"/>
      </w:pPr>
      <w:r>
        <w:t xml:space="preserve">introducir información sensible de clientes o de la empresa en herramientas de IA no aprobadas;</w:t>
      </w:r>
    </w:p>
    <w:p>
      <w:pPr>
        <w:numPr>
          <w:ilvl w:val="0"/>
          <w:numId w:val="1003"/>
        </w:numPr>
        <w:pStyle w:val="Compact"/>
      </w:pPr>
      <w:r>
        <w:t xml:space="preserve">usar hechos, precios, términos o compromisos generados por IA sin verificación.</w:t>
      </w:r>
    </w:p>
    <w:p>
      <w:pPr>
        <w:pStyle w:val="FirstParagraph"/>
      </w:pPr>
      <w:r>
        <w:t xml:space="preserve">Cuando la autoridad no esté clara, documenta el asunto y escálalo al responsable de la cuenta, gerente de ventas, finanzas, legal, cumplimiento, operaciones, seguridad u otra función autorizada.</w:t>
      </w:r>
    </w:p>
    <w:bookmarkEnd w:id="23"/>
    <w:bookmarkStart w:id="28" w:name="habilidades-que-valoran-los-empleadores"/>
    <w:p>
      <w:pPr>
        <w:pStyle w:val="Heading2"/>
      </w:pPr>
      <w:r>
        <w:t xml:space="preserve">Habilidades que valoran los empleadores</w:t>
      </w:r>
    </w:p>
    <w:bookmarkStart w:id="24" w:name="comunicación"/>
    <w:p>
      <w:pPr>
        <w:pStyle w:val="Heading3"/>
      </w:pPr>
      <w:r>
        <w:t xml:space="preserve">Comunicación</w:t>
      </w:r>
    </w:p>
    <w:p>
      <w:pPr>
        <w:numPr>
          <w:ilvl w:val="0"/>
          <w:numId w:val="1004"/>
        </w:numPr>
        <w:pStyle w:val="Compact"/>
      </w:pPr>
      <w:r>
        <w:t xml:space="preserve">redacción clara y profesional de correo electrónico;</w:t>
      </w:r>
    </w:p>
    <w:p>
      <w:pPr>
        <w:numPr>
          <w:ilvl w:val="0"/>
          <w:numId w:val="1004"/>
        </w:numPr>
        <w:pStyle w:val="Compact"/>
      </w:pPr>
      <w:r>
        <w:t xml:space="preserve">escucha activa;</w:t>
      </w:r>
    </w:p>
    <w:p>
      <w:pPr>
        <w:numPr>
          <w:ilvl w:val="0"/>
          <w:numId w:val="1004"/>
        </w:numPr>
        <w:pStyle w:val="Compact"/>
      </w:pPr>
      <w:r>
        <w:t xml:space="preserve">notas de reunión concisas;</w:t>
      </w:r>
    </w:p>
    <w:p>
      <w:pPr>
        <w:numPr>
          <w:ilvl w:val="0"/>
          <w:numId w:val="1004"/>
        </w:numPr>
        <w:pStyle w:val="Compact"/>
      </w:pPr>
      <w:r>
        <w:t xml:space="preserve">comunicación de servicio al cliente;</w:t>
      </w:r>
    </w:p>
    <w:p>
      <w:pPr>
        <w:numPr>
          <w:ilvl w:val="0"/>
          <w:numId w:val="1004"/>
        </w:numPr>
        <w:pStyle w:val="Compact"/>
      </w:pPr>
      <w:r>
        <w:t xml:space="preserve">seguimiento cortés;</w:t>
      </w:r>
    </w:p>
    <w:p>
      <w:pPr>
        <w:numPr>
          <w:ilvl w:val="0"/>
          <w:numId w:val="1004"/>
        </w:numPr>
        <w:pStyle w:val="Compact"/>
      </w:pPr>
      <w:r>
        <w:t xml:space="preserve">manejo de expectativas;</w:t>
      </w:r>
    </w:p>
    <w:p>
      <w:pPr>
        <w:numPr>
          <w:ilvl w:val="0"/>
          <w:numId w:val="1004"/>
        </w:numPr>
        <w:pStyle w:val="Compact"/>
      </w:pPr>
      <w:r>
        <w:t xml:space="preserve">escalación sin culpabilizar;</w:t>
      </w:r>
    </w:p>
    <w:p>
      <w:pPr>
        <w:numPr>
          <w:ilvl w:val="0"/>
          <w:numId w:val="1004"/>
        </w:numPr>
        <w:pStyle w:val="Compact"/>
      </w:pPr>
      <w:r>
        <w:t xml:space="preserve">comunicación interfuncional;</w:t>
      </w:r>
    </w:p>
    <w:p>
      <w:pPr>
        <w:numPr>
          <w:ilvl w:val="0"/>
          <w:numId w:val="1004"/>
        </w:numPr>
        <w:pStyle w:val="Compact"/>
      </w:pPr>
      <w:r>
        <w:t xml:space="preserve">comunicación bilingüe o multilingüe cuando sea relevante.</w:t>
      </w:r>
    </w:p>
    <w:bookmarkEnd w:id="24"/>
    <w:bookmarkStart w:id="25" w:name="organización"/>
    <w:p>
      <w:pPr>
        <w:pStyle w:val="Heading3"/>
      </w:pPr>
      <w:r>
        <w:t xml:space="preserve">Organización</w:t>
      </w:r>
    </w:p>
    <w:p>
      <w:pPr>
        <w:numPr>
          <w:ilvl w:val="0"/>
          <w:numId w:val="1005"/>
        </w:numPr>
        <w:pStyle w:val="Compact"/>
      </w:pPr>
      <w:r>
        <w:t xml:space="preserve">gestión de calendarios;</w:t>
      </w:r>
    </w:p>
    <w:p>
      <w:pPr>
        <w:numPr>
          <w:ilvl w:val="0"/>
          <w:numId w:val="1005"/>
        </w:numPr>
        <w:pStyle w:val="Compact"/>
      </w:pPr>
      <w:r>
        <w:t xml:space="preserve">seguimiento de tareas;</w:t>
      </w:r>
    </w:p>
    <w:p>
      <w:pPr>
        <w:numPr>
          <w:ilvl w:val="0"/>
          <w:numId w:val="1005"/>
        </w:numPr>
        <w:pStyle w:val="Compact"/>
      </w:pPr>
      <w:r>
        <w:t xml:space="preserve">seguimiento de fechas límite;</w:t>
      </w:r>
    </w:p>
    <w:p>
      <w:pPr>
        <w:numPr>
          <w:ilvl w:val="0"/>
          <w:numId w:val="1005"/>
        </w:numPr>
        <w:pStyle w:val="Compact"/>
      </w:pPr>
      <w:r>
        <w:t xml:space="preserve">organización de archivos;</w:t>
      </w:r>
    </w:p>
    <w:p>
      <w:pPr>
        <w:numPr>
          <w:ilvl w:val="0"/>
          <w:numId w:val="1005"/>
        </w:numPr>
        <w:pStyle w:val="Compact"/>
      </w:pPr>
      <w:r>
        <w:t xml:space="preserve">control de versiones;</w:t>
      </w:r>
    </w:p>
    <w:p>
      <w:pPr>
        <w:numPr>
          <w:ilvl w:val="0"/>
          <w:numId w:val="1005"/>
        </w:numPr>
        <w:pStyle w:val="Compact"/>
      </w:pPr>
      <w:r>
        <w:t xml:space="preserve">disciplina con listas de verificación;</w:t>
      </w:r>
    </w:p>
    <w:p>
      <w:pPr>
        <w:numPr>
          <w:ilvl w:val="0"/>
          <w:numId w:val="1005"/>
        </w:numPr>
        <w:pStyle w:val="Compact"/>
      </w:pPr>
      <w:r>
        <w:t xml:space="preserve">atención al detalle;</w:t>
      </w:r>
    </w:p>
    <w:p>
      <w:pPr>
        <w:numPr>
          <w:ilvl w:val="0"/>
          <w:numId w:val="1005"/>
        </w:numPr>
        <w:pStyle w:val="Compact"/>
      </w:pPr>
      <w:r>
        <w:t xml:space="preserve">priorización;</w:t>
      </w:r>
    </w:p>
    <w:p>
      <w:pPr>
        <w:numPr>
          <w:ilvl w:val="0"/>
          <w:numId w:val="1005"/>
        </w:numPr>
        <w:pStyle w:val="Compact"/>
      </w:pPr>
      <w:r>
        <w:t xml:space="preserve">traspasos claros.</w:t>
      </w:r>
    </w:p>
    <w:bookmarkEnd w:id="25"/>
    <w:bookmarkStart w:id="26" w:name="administración-comercial"/>
    <w:p>
      <w:pPr>
        <w:pStyle w:val="Heading3"/>
      </w:pPr>
      <w:r>
        <w:t xml:space="preserve">Administración comercial</w:t>
      </w:r>
    </w:p>
    <w:p>
      <w:pPr>
        <w:numPr>
          <w:ilvl w:val="0"/>
          <w:numId w:val="1006"/>
        </w:numPr>
        <w:pStyle w:val="Compact"/>
      </w:pPr>
      <w:r>
        <w:t xml:space="preserve">preparación de cotizaciones;</w:t>
      </w:r>
    </w:p>
    <w:p>
      <w:pPr>
        <w:numPr>
          <w:ilvl w:val="0"/>
          <w:numId w:val="1006"/>
        </w:numPr>
        <w:pStyle w:val="Compact"/>
      </w:pPr>
      <w:r>
        <w:t xml:space="preserve">conocimiento del flujo de pedidos y contratos;</w:t>
      </w:r>
    </w:p>
    <w:p>
      <w:pPr>
        <w:numPr>
          <w:ilvl w:val="0"/>
          <w:numId w:val="1006"/>
        </w:numPr>
        <w:pStyle w:val="Compact"/>
      </w:pPr>
      <w:r>
        <w:t xml:space="preserve">ingreso y mantenimiento de datos en CRM;</w:t>
      </w:r>
    </w:p>
    <w:p>
      <w:pPr>
        <w:numPr>
          <w:ilvl w:val="0"/>
          <w:numId w:val="1006"/>
        </w:numPr>
        <w:pStyle w:val="Compact"/>
      </w:pPr>
      <w:r>
        <w:t xml:space="preserve">documentación de cuentas;</w:t>
      </w:r>
    </w:p>
    <w:p>
      <w:pPr>
        <w:numPr>
          <w:ilvl w:val="0"/>
          <w:numId w:val="1006"/>
        </w:numPr>
        <w:pStyle w:val="Compact"/>
      </w:pPr>
      <w:r>
        <w:t xml:space="preserve">higiene del pipeline;</w:t>
      </w:r>
    </w:p>
    <w:p>
      <w:pPr>
        <w:numPr>
          <w:ilvl w:val="0"/>
          <w:numId w:val="1006"/>
        </w:numPr>
        <w:pStyle w:val="Compact"/>
      </w:pPr>
      <w:r>
        <w:t xml:space="preserve">reportes básicos;</w:t>
      </w:r>
    </w:p>
    <w:p>
      <w:pPr>
        <w:numPr>
          <w:ilvl w:val="0"/>
          <w:numId w:val="1006"/>
        </w:numPr>
        <w:pStyle w:val="Compact"/>
      </w:pPr>
      <w:r>
        <w:t xml:space="preserve">seguimiento de renovaciones;</w:t>
      </w:r>
    </w:p>
    <w:p>
      <w:pPr>
        <w:numPr>
          <w:ilvl w:val="0"/>
          <w:numId w:val="1006"/>
        </w:numPr>
        <w:pStyle w:val="Compact"/>
      </w:pPr>
      <w:r>
        <w:t xml:space="preserve">coordinación del estado de facturas y pagos;</w:t>
      </w:r>
    </w:p>
    <w:p>
      <w:pPr>
        <w:numPr>
          <w:ilvl w:val="0"/>
          <w:numId w:val="1006"/>
        </w:numPr>
        <w:pStyle w:val="Compact"/>
      </w:pPr>
      <w:r>
        <w:t xml:space="preserve">comprensión de la diferencia entre lead, cuenta, contacto, oportunidad, cotización, pedido, contrato, factura, pago y renovación.</w:t>
      </w:r>
    </w:p>
    <w:bookmarkEnd w:id="26"/>
    <w:bookmarkStart w:id="27" w:name="herramientas-digitales"/>
    <w:p>
      <w:pPr>
        <w:pStyle w:val="Heading3"/>
      </w:pPr>
      <w:r>
        <w:t xml:space="preserve">Herramientas digitales</w:t>
      </w:r>
    </w:p>
    <w:p>
      <w:pPr>
        <w:pStyle w:val="FirstParagraph"/>
      </w:pPr>
      <w:r>
        <w:t xml:space="preserve">Los empleadores pueden usar Microsoft 365, Google Workspace, Salesforce, HubSpot, Microsoft Dynamics, Zoho, otro CRM, sistemas ERP o de gestión de pedidos, herramientas CPQ o de cotización, plataformas de firma electrónica, sistemas de gestión de tareas, herramientas de soporte al cliente, paneles y asistentes de IA aprobados.</w:t>
      </w:r>
    </w:p>
    <w:p>
      <w:pPr>
        <w:pStyle w:val="BodyText"/>
      </w:pPr>
      <w:r>
        <w:t xml:space="preserve">El nombre de un producto en una vacante normalmente refleja una preferencia del empleador, no una credencial legal universal. Aprende conceptos transferibles como registros, etapas, permisos, aprobaciones, fórmulas, filtros, exportaciones, trazabilidad y protección de datos.</w:t>
      </w:r>
    </w:p>
    <w:bookmarkEnd w:id="27"/>
    <w:bookmarkEnd w:id="28"/>
    <w:bookmarkStart w:id="34" w:name="flujo-sencillo-de-apoyo-a-cuentas"/>
    <w:p>
      <w:pPr>
        <w:pStyle w:val="Heading2"/>
      </w:pPr>
      <w:r>
        <w:t xml:space="preserve">Flujo sencillo de apoyo a cuentas</w:t>
      </w:r>
    </w:p>
    <w:bookmarkStart w:id="29" w:name="X77bf41a43d2fa33211de8736da2184cc1dda6db"/>
    <w:p>
      <w:pPr>
        <w:pStyle w:val="Heading3"/>
      </w:pPr>
      <w:r>
        <w:t xml:space="preserve">1. Recepción</w:t>
      </w:r>
    </w:p>
    <w:p>
      <w:pPr>
        <w:pStyle w:val="FirstParagraph"/>
      </w:pPr>
      <w:r>
        <w:t xml:space="preserve">Confirma cliente o cuenta, responsable de la solicitud, producto o servicio, cantidad o alcance, fecha límite, fuente de precios, aprobaciones requeridas, supuestos de entrega, información de facturación o impuestos cuando corresponda y restricciones conocidas de privacidad, cumplimiento o seguridad.</w:t>
      </w:r>
    </w:p>
    <w:p>
      <w:pPr>
        <w:pStyle w:val="BodyText"/>
      </w:pPr>
      <w:r>
        <w:t xml:space="preserve">No adivines cuando la información faltante pueda afectar precio, términos legales, entrega o compromisos con el cliente.</w:t>
      </w:r>
    </w:p>
    <w:bookmarkEnd w:id="29"/>
    <w:bookmarkStart w:id="30" w:name="Xd468cd4eae6daef557f551059c45931b9296925"/>
    <w:p>
      <w:pPr>
        <w:pStyle w:val="Heading3"/>
      </w:pPr>
      <w:r>
        <w:t xml:space="preserve">2. Preparación</w:t>
      </w:r>
    </w:p>
    <w:p>
      <w:pPr>
        <w:pStyle w:val="FirstParagraph"/>
      </w:pPr>
      <w:r>
        <w:t xml:space="preserve">Usa sistemas y plantillas aprobados para actualizar registros de CRM, preparar borradores de cotización o documentos, recopilar archivos requeridos, programar revisiones, registrar preguntas sin resolver e identificar a quienes toman decisiones.</w:t>
      </w:r>
    </w:p>
    <w:bookmarkEnd w:id="30"/>
    <w:bookmarkStart w:id="31" w:name="Xd3250fae85fdf010cd140d73d4d4c0ef3a9c415"/>
    <w:p>
      <w:pPr>
        <w:pStyle w:val="Heading3"/>
      </w:pPr>
      <w:r>
        <w:t xml:space="preserve">3. Verificación</w:t>
      </w:r>
    </w:p>
    <w:p>
      <w:pPr>
        <w:pStyle w:val="FirstParagraph"/>
      </w:pPr>
      <w:r>
        <w:t xml:space="preserve">Antes de enviar un documento comercial o comunicación al cliente, verifica identidad del cliente, datos de contacto, descripción del producto o servicio, cantidad, fechas, fuente de precio aprobada, aprobaciones de descuento, información fiscal o de facturación, supuestos de entrega, adjuntos, versión del documento, destinatarios y requisitos de revisión contractual o de seguridad.</w:t>
      </w:r>
    </w:p>
    <w:bookmarkEnd w:id="31"/>
    <w:bookmarkStart w:id="32" w:name="Xdbcd1de103d1888ae548b84b374afc3401ae472"/>
    <w:p>
      <w:pPr>
        <w:pStyle w:val="Heading3"/>
      </w:pPr>
      <w:r>
        <w:t xml:space="preserve">4. Traspaso</w:t>
      </w:r>
    </w:p>
    <w:p>
      <w:pPr>
        <w:pStyle w:val="FirstParagraph"/>
      </w:pPr>
      <w:r>
        <w:t xml:space="preserve">Después de la aprobación, registra qué se envió, cuándo, quién lo aprobó, la siguiente acción, la siguiente fecha límite y cualquier dependencia no resuelta.</w:t>
      </w:r>
    </w:p>
    <w:bookmarkEnd w:id="32"/>
    <w:bookmarkStart w:id="33" w:name="X63554896db520c6b3376a6f7feffad581404826"/>
    <w:p>
      <w:pPr>
        <w:pStyle w:val="Heading3"/>
      </w:pPr>
      <w:r>
        <w:t xml:space="preserve">5. Seguimiento y cierre</w:t>
      </w:r>
    </w:p>
    <w:p>
      <w:pPr>
        <w:pStyle w:val="FirstParagraph"/>
      </w:pPr>
      <w:r>
        <w:t xml:space="preserve">Da seguimiento hasta que exista un resultado documentado. Cierra registros obsoletos conforme a las reglas del empleador, en lugar de mantener datos engañosos de pipeline o cuenta activos indefinidamente.</w:t>
      </w:r>
    </w:p>
    <w:bookmarkEnd w:id="33"/>
    <w:bookmarkEnd w:id="34"/>
    <w:bookmarkStart w:id="35" w:name="crm-y-calidad-de-datos"/>
    <w:p>
      <w:pPr>
        <w:pStyle w:val="Heading2"/>
      </w:pPr>
      <w:r>
        <w:t xml:space="preserve">CRM y calidad de datos</w:t>
      </w:r>
    </w:p>
    <w:p>
      <w:pPr>
        <w:pStyle w:val="FirstParagraph"/>
      </w:pPr>
      <w:r>
        <w:t xml:space="preserve">El apoyo confiable a cuentas depende de registros confiables. Controles prácticos incluyen:</w:t>
      </w:r>
    </w:p>
    <w:p>
      <w:pPr>
        <w:numPr>
          <w:ilvl w:val="0"/>
          <w:numId w:val="1007"/>
        </w:numPr>
        <w:pStyle w:val="Compact"/>
      </w:pPr>
      <w:r>
        <w:t xml:space="preserve">usar el sistema fuente aprobado para registros de clientes y oportunidades;</w:t>
      </w:r>
    </w:p>
    <w:p>
      <w:pPr>
        <w:numPr>
          <w:ilvl w:val="0"/>
          <w:numId w:val="1007"/>
        </w:numPr>
        <w:pStyle w:val="Compact"/>
      </w:pPr>
      <w:r>
        <w:t xml:space="preserve">evitar cuentas y contactos duplicados;</w:t>
      </w:r>
    </w:p>
    <w:p>
      <w:pPr>
        <w:numPr>
          <w:ilvl w:val="0"/>
          <w:numId w:val="1007"/>
        </w:numPr>
        <w:pStyle w:val="Compact"/>
      </w:pPr>
      <w:r>
        <w:t xml:space="preserve">usar campos estructurados cuando existan en vez de esconder información clave en texto libre;</w:t>
      </w:r>
    </w:p>
    <w:p>
      <w:pPr>
        <w:numPr>
          <w:ilvl w:val="0"/>
          <w:numId w:val="1007"/>
        </w:numPr>
        <w:pStyle w:val="Compact"/>
      </w:pPr>
      <w:r>
        <w:t xml:space="preserve">registrar hechos objetivos en lugar de comentarios ofensivos o especulativos;</w:t>
      </w:r>
    </w:p>
    <w:p>
      <w:pPr>
        <w:numPr>
          <w:ilvl w:val="0"/>
          <w:numId w:val="1007"/>
        </w:numPr>
        <w:pStyle w:val="Compact"/>
      </w:pPr>
      <w:r>
        <w:t xml:space="preserve">seguir convenciones de nombres aprobadas;</w:t>
      </w:r>
    </w:p>
    <w:p>
      <w:pPr>
        <w:numPr>
          <w:ilvl w:val="0"/>
          <w:numId w:val="1007"/>
        </w:numPr>
        <w:pStyle w:val="Compact"/>
      </w:pPr>
      <w:r>
        <w:t xml:space="preserve">mantener actualizados etapa, responsable, siguiente paso y fecha esperada;</w:t>
      </w:r>
    </w:p>
    <w:p>
      <w:pPr>
        <w:numPr>
          <w:ilvl w:val="0"/>
          <w:numId w:val="1007"/>
        </w:numPr>
        <w:pStyle w:val="Compact"/>
      </w:pPr>
      <w:r>
        <w:t xml:space="preserve">no marcar un elemento como ganado, perdido, pedido, pagado o renovado sin evidencia;</w:t>
      </w:r>
    </w:p>
    <w:p>
      <w:pPr>
        <w:numPr>
          <w:ilvl w:val="0"/>
          <w:numId w:val="1007"/>
        </w:numPr>
        <w:pStyle w:val="Compact"/>
      </w:pPr>
      <w:r>
        <w:t xml:space="preserve">evitar almacenar datos sensibles de pago o identidad en notas generales;</w:t>
      </w:r>
    </w:p>
    <w:p>
      <w:pPr>
        <w:numPr>
          <w:ilvl w:val="0"/>
          <w:numId w:val="1007"/>
        </w:numPr>
        <w:pStyle w:val="Compact"/>
      </w:pPr>
      <w:r>
        <w:t xml:space="preserve">corregir errores con rapidez preservando la trazabilidad cuando el sistema lo permita.</w:t>
      </w:r>
    </w:p>
    <w:p>
      <w:pPr>
        <w:pStyle w:val="FirstParagraph"/>
      </w:pPr>
      <w:r>
        <w:t xml:space="preserve">Una mala higiene del CRM puede distorsionar pronósticos, servicio al cliente, compensación, reportes de cumplimiento y decisiones de gestión.</w:t>
      </w:r>
    </w:p>
    <w:bookmarkEnd w:id="35"/>
    <w:bookmarkStart w:id="36" w:name="X176ff8bb26be7a4863534d274407f1c99c03e4d"/>
    <w:p>
      <w:pPr>
        <w:pStyle w:val="Heading2"/>
      </w:pPr>
      <w:r>
        <w:t xml:space="preserve">Privacidad, ciberseguridad y prevención de fraude</w:t>
      </w:r>
    </w:p>
    <w:p>
      <w:pPr>
        <w:pStyle w:val="FirstParagraph"/>
      </w:pPr>
      <w:r>
        <w:t xml:space="preserve">Los equipos de apoyo de ventas pueden manejar nombres, correos, teléfonos, contratos, planes de cuenta, precios, órdenes de compra, facturas, información fiscal, direcciones de entrega, estado de pagos y, en ocasiones, documentos de identificación o seguridad.</w:t>
      </w:r>
    </w:p>
    <w:p>
      <w:pPr>
        <w:pStyle w:val="BodyText"/>
      </w:pPr>
      <w:r>
        <w:t xml:space="preserve">Prácticas útiles incluyen:</w:t>
      </w:r>
    </w:p>
    <w:p>
      <w:pPr>
        <w:numPr>
          <w:ilvl w:val="0"/>
          <w:numId w:val="1008"/>
        </w:numPr>
        <w:pStyle w:val="Compact"/>
      </w:pPr>
      <w:r>
        <w:t xml:space="preserve">usar sistemas y ubicaciones de almacenamiento aprobados por el empleador;</w:t>
      </w:r>
    </w:p>
    <w:p>
      <w:pPr>
        <w:numPr>
          <w:ilvl w:val="0"/>
          <w:numId w:val="1008"/>
        </w:numPr>
        <w:pStyle w:val="Compact"/>
      </w:pPr>
      <w:r>
        <w:t xml:space="preserve">habilitar autenticación multifactor cuando esté disponible;</w:t>
      </w:r>
    </w:p>
    <w:p>
      <w:pPr>
        <w:numPr>
          <w:ilvl w:val="0"/>
          <w:numId w:val="1008"/>
        </w:numPr>
        <w:pStyle w:val="Compact"/>
      </w:pPr>
      <w:r>
        <w:t xml:space="preserve">usar contraseñas únicas y un gestor aprobado;</w:t>
      </w:r>
    </w:p>
    <w:p>
      <w:pPr>
        <w:numPr>
          <w:ilvl w:val="0"/>
          <w:numId w:val="1008"/>
        </w:numPr>
        <w:pStyle w:val="Compact"/>
      </w:pPr>
      <w:r>
        <w:t xml:space="preserve">verificar solicitudes inesperadas de cambio bancario o de pago mediante un método independiente aprobado;</w:t>
      </w:r>
    </w:p>
    <w:p>
      <w:pPr>
        <w:numPr>
          <w:ilvl w:val="0"/>
          <w:numId w:val="1008"/>
        </w:numPr>
        <w:pStyle w:val="Compact"/>
      </w:pPr>
      <w:r>
        <w:t xml:space="preserve">reportar correos, enlaces, adjuntos o actividad de cuenta sospechosos;</w:t>
      </w:r>
    </w:p>
    <w:p>
      <w:pPr>
        <w:numPr>
          <w:ilvl w:val="0"/>
          <w:numId w:val="1008"/>
        </w:numPr>
        <w:pStyle w:val="Compact"/>
      </w:pPr>
      <w:r>
        <w:t xml:space="preserve">no enviar hojas de cálculo sensibles al correo personal;</w:t>
      </w:r>
    </w:p>
    <w:p>
      <w:pPr>
        <w:numPr>
          <w:ilvl w:val="0"/>
          <w:numId w:val="1008"/>
        </w:numPr>
        <w:pStyle w:val="Compact"/>
      </w:pPr>
      <w:r>
        <w:t xml:space="preserve">verificar destinatarios antes de compartir archivos confidenciales;</w:t>
      </w:r>
    </w:p>
    <w:p>
      <w:pPr>
        <w:numPr>
          <w:ilvl w:val="0"/>
          <w:numId w:val="1008"/>
        </w:numPr>
        <w:pStyle w:val="Compact"/>
      </w:pPr>
      <w:r>
        <w:t xml:space="preserve">usar solo el acceso necesario;</w:t>
      </w:r>
    </w:p>
    <w:p>
      <w:pPr>
        <w:numPr>
          <w:ilvl w:val="0"/>
          <w:numId w:val="1008"/>
        </w:numPr>
        <w:pStyle w:val="Compact"/>
      </w:pPr>
      <w:r>
        <w:t xml:space="preserve">seguir reglas de retención y eliminación;</w:t>
      </w:r>
    </w:p>
    <w:p>
      <w:pPr>
        <w:numPr>
          <w:ilvl w:val="0"/>
          <w:numId w:val="1008"/>
        </w:numPr>
        <w:pStyle w:val="Compact"/>
      </w:pPr>
      <w:r>
        <w:t xml:space="preserve">evitar copiar datos de clientes en notas personales o servicios de nube no aprobados;</w:t>
      </w:r>
    </w:p>
    <w:p>
      <w:pPr>
        <w:numPr>
          <w:ilvl w:val="0"/>
          <w:numId w:val="1008"/>
        </w:numPr>
        <w:pStyle w:val="Compact"/>
      </w:pPr>
      <w:r>
        <w:t xml:space="preserve">bloquear la pantalla al alejarse;</w:t>
      </w:r>
    </w:p>
    <w:p>
      <w:pPr>
        <w:numPr>
          <w:ilvl w:val="0"/>
          <w:numId w:val="1008"/>
        </w:numPr>
        <w:pStyle w:val="Compact"/>
      </w:pPr>
      <w:r>
        <w:t xml:space="preserve">seguir el proceso de reporte de incidentes de la organización.</w:t>
      </w:r>
    </w:p>
    <w:p>
      <w:pPr>
        <w:pStyle w:val="FirstParagraph"/>
      </w:pPr>
      <w:r>
        <w:t xml:space="preserve">La guía Secure Our World de CISA enfatiza conocimiento sobre phishing, contraseñas sólidas, autenticación multifactor y actualizaciones de software. Una persona coordinadora debe aplicar estas prácticas mediante las políticas del empleador, no inventar controles de seguridad separados.</w:t>
      </w:r>
    </w:p>
    <w:bookmarkEnd w:id="36"/>
    <w:bookmarkStart w:id="37" w:name="X3dd72bb7881a00900f9df75aad689aca86d0dfe"/>
    <w:p>
      <w:pPr>
        <w:pStyle w:val="Heading2"/>
      </w:pPr>
      <w:r>
        <w:t xml:space="preserve">Uso responsable de inteligencia artificial en apoyo de ventas</w:t>
      </w:r>
    </w:p>
    <w:p>
      <w:pPr>
        <w:pStyle w:val="FirstParagraph"/>
      </w:pPr>
      <w:r>
        <w:t xml:space="preserve">Cuando el empleador aprueba la herramienta y el caso de uso, la IA puede ayudar en actividades de bajo riesgo como redactar un primer borrador de correo de seguimiento, resumir notas de reunión no sensibles, convertir una lista en tareas, sugerir estructura de presentación, corregir redacción, generar escenarios ficticios de práctica u organizar investigación pública para posterior verificación.</w:t>
      </w:r>
    </w:p>
    <w:p>
      <w:pPr>
        <w:pStyle w:val="BodyText"/>
      </w:pPr>
      <w:r>
        <w:t xml:space="preserve">El contenido con consecuencias requiere verificación humana. No dependas únicamente de IA para precios, descuentos, términos contractuales, impuestos, requisitos legales, compromisos de entrega, especificaciones de producto, afirmaciones de seguridad, elegibilidad del cliente, instrucciones de pago, estados financieros o datos finales de pipeline y pronóstico.</w:t>
      </w:r>
    </w:p>
    <w:p>
      <w:pPr>
        <w:pStyle w:val="BodyText"/>
      </w:pPr>
      <w:r>
        <w:t xml:space="preserve">No introduzcas contratos confidenciales, credenciales, datos de pago, registros privados de clientes, estrategia de cuenta, precios no públicos u otra información protegida en un sistema de IA salvo que la organización haya aprobado explícitamente la herramienta y el uso. El AI Risk Management Framework de NIST es una referencia de gestión de riesgos; no es una certificación de un flujo o producto específico.</w:t>
      </w:r>
    </w:p>
    <w:bookmarkEnd w:id="37"/>
    <w:bookmarkStart w:id="38" w:name="Xb4972cc4f5477c5c173c4f9b150ed42f568bb2c"/>
    <w:p>
      <w:pPr>
        <w:pStyle w:val="Heading2"/>
      </w:pPr>
      <w:r>
        <w:t xml:space="preserve">Educación y vías de entrada — Estados Unidos</w:t>
      </w:r>
    </w:p>
    <w:p>
      <w:pPr>
        <w:pStyle w:val="FirstParagraph"/>
      </w:pPr>
      <w:r>
        <w:t xml:space="preserve">Las expectativas educativas varían porque los títulos de apoyo de ventas abarcan trabajo administrativo, servicio al cliente, operaciones de ventas y funciones comerciales. Muchos puestos de entrada aceptan diploma de escuela secundaria o equivalente más experiencia de oficina, servicio al cliente, comercio minorista o ventas. Algunos empleadores prefieren título técnico, universitario o de licenciatura en negocios, marketing, comunicaciones o campo relacionado.</w:t>
      </w:r>
    </w:p>
    <w:p>
      <w:pPr>
        <w:pStyle w:val="BodyText"/>
      </w:pPr>
      <w:r>
        <w:t xml:space="preserve">Para la referencia estadounidense más amplia usada en esta revisión, O*NET clasifica</w:t>
      </w:r>
      <w:r>
        <w:t xml:space="preserve"> </w:t>
      </w:r>
      <w:r>
        <w:rPr>
          <w:bCs/>
          <w:b/>
        </w:rPr>
        <w:t xml:space="preserve">Sales Representatives of Services, Except Advertising, Insurance, Financial Services, and Travel (41-3091.00)</w:t>
      </w:r>
      <w:r>
        <w:t xml:space="preserve"> </w:t>
      </w:r>
      <w:r>
        <w:t xml:space="preserve">en Job Zone 1-2, normalmente asociada con diploma de secundaria o GED y capacitación en el trabajo. Esta referencia es más amplia y más orientada a ventas que muchos puestos de apoyo, por lo que los requisitos reales deben verificarse con el empleador.</w:t>
      </w:r>
    </w:p>
    <w:p>
      <w:pPr>
        <w:pStyle w:val="BodyText"/>
      </w:pPr>
      <w:r>
        <w:t xml:space="preserve">Una secuencia de entrada de bajo costo puede ser:</w:t>
      </w:r>
    </w:p>
    <w:p>
      <w:pPr>
        <w:numPr>
          <w:ilvl w:val="0"/>
          <w:numId w:val="1009"/>
        </w:numPr>
        <w:pStyle w:val="Compact"/>
      </w:pPr>
      <w:r>
        <w:t xml:space="preserve">fortalecer correo, hojas de cálculo, documentos, calendario y servicio al cliente;</w:t>
      </w:r>
    </w:p>
    <w:p>
      <w:pPr>
        <w:numPr>
          <w:ilvl w:val="0"/>
          <w:numId w:val="1009"/>
        </w:numPr>
        <w:pStyle w:val="Compact"/>
      </w:pPr>
      <w:r>
        <w:t xml:space="preserve">aprender conceptos de CRM y pipeline de ventas;</w:t>
      </w:r>
    </w:p>
    <w:p>
      <w:pPr>
        <w:numPr>
          <w:ilvl w:val="0"/>
          <w:numId w:val="1009"/>
        </w:numPr>
        <w:pStyle w:val="Compact"/>
      </w:pPr>
      <w:r>
        <w:t xml:space="preserve">practicar flujos de cotización, pedidos y apoyo de cuentas con datos ficticios;</w:t>
      </w:r>
    </w:p>
    <w:p>
      <w:pPr>
        <w:numPr>
          <w:ilvl w:val="0"/>
          <w:numId w:val="1009"/>
        </w:numPr>
        <w:pStyle w:val="Compact"/>
      </w:pPr>
      <w:r>
        <w:t xml:space="preserve">crear un pequeño portafolio con rastreador de cuentas, agenda de reunión, lista de revisión de cotización, lista de calidad de datos de CRM y plantilla de seguimiento;</w:t>
      </w:r>
    </w:p>
    <w:p>
      <w:pPr>
        <w:numPr>
          <w:ilvl w:val="0"/>
          <w:numId w:val="1009"/>
        </w:numPr>
        <w:pStyle w:val="Compact"/>
      </w:pPr>
      <w:r>
        <w:t xml:space="preserve">postularse a puestos de asistente de ventas, coordinador/a de ventas, coordinador/a de cuentas, servicio al cliente, apoyo de ventas internas, gestión de pedidos o administración;</w:t>
      </w:r>
    </w:p>
    <w:p>
      <w:pPr>
        <w:numPr>
          <w:ilvl w:val="0"/>
          <w:numId w:val="1009"/>
        </w:numPr>
        <w:pStyle w:val="Compact"/>
      </w:pPr>
      <w:r>
        <w:t xml:space="preserve">aprender procesos del empleador para precios, aprobaciones, CRM, privacidad y seguridad;</w:t>
      </w:r>
    </w:p>
    <w:p>
      <w:pPr>
        <w:numPr>
          <w:ilvl w:val="0"/>
          <w:numId w:val="1009"/>
        </w:numPr>
        <w:pStyle w:val="Compact"/>
      </w:pPr>
      <w:r>
        <w:t xml:space="preserve">avanzar hacia gestión de cuentas, éxito del cliente, operaciones de ventas o análisis comercial a medida que aumente la responsabilidad.</w:t>
      </w:r>
    </w:p>
    <w:bookmarkEnd w:id="38"/>
    <w:bookmarkStart w:id="40" w:name="Xdf192a6e1c5daa8d5bc574515858aebdd8560f6"/>
    <w:p>
      <w:pPr>
        <w:pStyle w:val="Heading2"/>
      </w:pPr>
      <w:r>
        <w:t xml:space="preserve">Financiamiento, capacitación gratuita o de bajo costo, becas y aprendizaje en el trabajo — Estados Unidos</w:t>
      </w:r>
    </w:p>
    <w:p>
      <w:pPr>
        <w:pStyle w:val="FirstParagraph"/>
      </w:pPr>
      <w:r>
        <w:t xml:space="preserve">CareerOneStop ofrece localizadores de capacitación y servicios de empleo, incluidos directorios de capacitación elegible para WIOA:</w:t>
      </w:r>
    </w:p>
    <w:p>
      <w:pPr>
        <w:pStyle w:val="BodyText"/>
      </w:pPr>
      <w:hyperlink r:id="rId39">
        <w:hyperlink r:id="rId39">
          <w:r>
            <w:rPr>
              <w:rStyle w:val="Hyperlink"/>
            </w:rPr>
            <w:t xml:space="preserve">Source link</w:t>
          </w:r>
        </w:hyperlink>
      </w:hyperlink>
    </w:p>
    <w:p>
      <w:pPr>
        <w:pStyle w:val="BodyText"/>
      </w:pPr>
      <w:r>
        <w:t xml:space="preserve">CareerOneStop también ofrece herramientas para descubrir capacitación, becas, ayuda financiera, aprendizajes, pasantías y formación de corto plazo. El financiamiento no es automático. Elegibilidad, proveedores aprobados, servicios de apoyo y programas disponibles varían por estado y área local. Un American Job Center puede explicar opciones locales.</w:t>
      </w:r>
    </w:p>
    <w:p>
      <w:pPr>
        <w:pStyle w:val="BodyText"/>
      </w:pPr>
      <w:r>
        <w:t xml:space="preserve">Categorías útiles pueden incluir administración empresarial, servicio al cliente, administración de oficina, ventas, marketing, productividad digital, hojas de cálculo, CRM/software empresarial y comunicación empresarial.</w:t>
      </w:r>
    </w:p>
    <w:p>
      <w:pPr>
        <w:pStyle w:val="BodyText"/>
      </w:pPr>
      <w:r>
        <w:t xml:space="preserve">El aprendizaje basado en el trabajo puede incluir puestos pagados de asistente de ventas, servicio al cliente, ventas internas en formación, pasantías, tareas de calidad de datos CRM, gestión de pedidos, capacitación de producto del empleador y apoyo supervisado de cuentas. La disponibilidad de Registered Apprenticeship debe verificarse en Apprenticeship.gov y no asumirse.</w:t>
      </w:r>
    </w:p>
    <w:bookmarkEnd w:id="40"/>
    <w:bookmarkStart w:id="43" w:name="vías-en-canadá"/>
    <w:p>
      <w:pPr>
        <w:pStyle w:val="Heading2"/>
      </w:pPr>
      <w:r>
        <w:t xml:space="preserve">Vías en Canadá</w:t>
      </w:r>
    </w:p>
    <w:p>
      <w:pPr>
        <w:pStyle w:val="FirstParagraph"/>
      </w:pPr>
      <w:r>
        <w:t xml:space="preserve">La referencia canadiense controlada es</w:t>
      </w:r>
      <w:r>
        <w:t xml:space="preserve"> </w:t>
      </w:r>
      <w:r>
        <w:rPr>
          <w:bCs/>
          <w:b/>
        </w:rPr>
        <w:t xml:space="preserve">NOC 64101 — Sales and account representatives - wholesale trade (non-technical)</w:t>
      </w:r>
      <w:r>
        <w:t xml:space="preserve">. Es más amplia y normalmente más orientada a ventas que un puesto coordinador de apoyo, pero ofrece una comparación transparente para trabajo con clientes, cuentas, cotizaciones y procesos de ventas.</w:t>
      </w:r>
    </w:p>
    <w:p>
      <w:pPr>
        <w:pStyle w:val="BodyText"/>
      </w:pPr>
      <w:r>
        <w:t xml:space="preserve">Job Bank informa salarios nacionales, actualizados el</w:t>
      </w:r>
      <w:r>
        <w:t xml:space="preserve"> </w:t>
      </w:r>
      <w:r>
        <w:rPr>
          <w:bCs/>
          <w:b/>
        </w:rPr>
        <w:t xml:space="preserve">19 de noviembre de 2025</w:t>
      </w:r>
      <w:r>
        <w:t xml:space="preserve">, de</w:t>
      </w:r>
      <w:r>
        <w:t xml:space="preserve"> </w:t>
      </w:r>
      <w:r>
        <w:rPr>
          <w:bCs/>
          <w:b/>
        </w:rPr>
        <w:t xml:space="preserve">C$19.23/hora bajo, C$31.50/hora mediano y C$56.23/hora alto</w:t>
      </w:r>
      <w:r>
        <w:t xml:space="preserve">. El periodo de referencia es 2023-2024 de la Labour Force Survey de Statistics Canada. Son salarios oficiales de referencia, no una remuneración garantizada para el título de esta guía.</w:t>
      </w:r>
    </w:p>
    <w:p>
      <w:pPr>
        <w:pStyle w:val="BodyText"/>
      </w:pPr>
      <w:r>
        <w:t xml:space="preserve">Job Bank señala que un diploma de secundaria o varias semanas de capacitación en el trabajo suelen estar asociados con la ocupación, mientras algunos puestos requieren experiencia en ventas o producto/servicio. Puede existir certificación profesional voluntaria en ventas, pero no es un requisito legal universal.</w:t>
      </w:r>
    </w:p>
    <w:p>
      <w:pPr>
        <w:pStyle w:val="BodyText"/>
      </w:pPr>
      <w:r>
        <w:t xml:space="preserve">Portal oficial de capacitación:</w:t>
      </w:r>
    </w:p>
    <w:p>
      <w:pPr>
        <w:pStyle w:val="BodyText"/>
      </w:pPr>
      <w:hyperlink r:id="rId41">
        <w:hyperlink r:id="rId41">
          <w:r>
            <w:rPr>
              <w:rStyle w:val="Hyperlink"/>
            </w:rPr>
            <w:t xml:space="preserve">Source link</w:t>
          </w:r>
        </w:hyperlink>
      </w:hyperlink>
    </w:p>
    <w:p>
      <w:pPr>
        <w:pStyle w:val="BodyText"/>
      </w:pPr>
      <w:r>
        <w:t xml:space="preserve">Job Bank:</w:t>
      </w:r>
    </w:p>
    <w:p>
      <w:pPr>
        <w:pStyle w:val="BodyText"/>
      </w:pPr>
      <w:hyperlink r:id="rId42">
        <w:r>
          <w:rPr>
            <w:rStyle w:val="Hyperlink"/>
          </w:rPr>
          <w:t xml:space="preserve">https://www.jobbank.gc.ca/</w:t>
        </w:r>
      </w:hyperlink>
    </w:p>
    <w:p>
      <w:pPr>
        <w:pStyle w:val="BodyText"/>
      </w:pPr>
      <w:r>
        <w:t xml:space="preserve">Programas federales, provinciales y territoriales pueden apoyar servicios de empleo, ayuda estudiantil, desarrollo de habilidades, experiencia laboral y capacitación del empleador. Elegibilidad y financiamiento varían según jurisdicción y circunstancias individuales.</w:t>
      </w:r>
    </w:p>
    <w:bookmarkEnd w:id="43"/>
    <w:bookmarkStart w:id="46" w:name="vías-en-colombia"/>
    <w:p>
      <w:pPr>
        <w:pStyle w:val="Heading2"/>
      </w:pPr>
      <w:r>
        <w:t xml:space="preserve">Vías en Colombia</w:t>
      </w:r>
    </w:p>
    <w:p>
      <w:pPr>
        <w:pStyle w:val="FirstParagraph"/>
      </w:pPr>
      <w:r>
        <w:t xml:space="preserve">La referencia colombiana controlada es</w:t>
      </w:r>
      <w:r>
        <w:t xml:space="preserve"> </w:t>
      </w:r>
      <w:r>
        <w:rPr>
          <w:bCs/>
          <w:b/>
        </w:rPr>
        <w:t xml:space="preserve">CUOC 33220 — Representantes comerciales</w:t>
      </w:r>
      <w:r>
        <w:t xml:space="preserve">. OCUPACOL incluye títulos como Ejecutivo de cuenta de ventas no técnicas, Representante comercial, Asesor comercial, Vendedor interno de ventas no técnicas y funciones relacionadas de posventa. Esta referencia es más amplia y orientada a ventas que muchos puestos de coordinación, por lo que se usa para alcance ocupacional y no como equivalencia exacta de título.</w:t>
      </w:r>
    </w:p>
    <w:p>
      <w:pPr>
        <w:pStyle w:val="BodyText"/>
      </w:pPr>
      <w:r>
        <w:t xml:space="preserve">Otros títulos del empleador pueden incluir coordinador comercial, auxiliar comercial, asistente comercial, coordinador de cuentas, servicio al cliente, ventas internas o apoyo de ventas.</w:t>
      </w:r>
    </w:p>
    <w:p>
      <w:pPr>
        <w:pStyle w:val="BodyText"/>
      </w:pPr>
      <w:r>
        <w:t xml:space="preserve">SENA es una ruta importante de capacitación pública. Busca en el catálogo actual de Betowa programas de ventas, servicio al cliente, marketing, gestión administrativa, gestión comercial, habilidades CRM/datos de clientes, productividad de oficina y áreas relacionadas. Nombres, modalidad, duración, ciudad, cupos y fechas de inscripción cambian.</w:t>
      </w:r>
    </w:p>
    <w:p>
      <w:pPr>
        <w:pStyle w:val="BodyText"/>
      </w:pPr>
      <w:r>
        <w:t xml:space="preserve">SENA Betowa:</w:t>
      </w:r>
    </w:p>
    <w:p>
      <w:pPr>
        <w:pStyle w:val="BodyText"/>
      </w:pPr>
      <w:hyperlink r:id="rId44">
        <w:r>
          <w:rPr>
            <w:rStyle w:val="Hyperlink"/>
          </w:rPr>
          <w:t xml:space="preserve">https://betowa.sena.edu.co/</w:t>
        </w:r>
      </w:hyperlink>
    </w:p>
    <w:p>
      <w:pPr>
        <w:pStyle w:val="BodyText"/>
      </w:pPr>
      <w:r>
        <w:t xml:space="preserve">Servicio Público de Empleo de Colombia:</w:t>
      </w:r>
    </w:p>
    <w:p>
      <w:pPr>
        <w:pStyle w:val="BodyText"/>
      </w:pPr>
      <w:hyperlink r:id="rId45">
        <w:r>
          <w:rPr>
            <w:rStyle w:val="Hyperlink"/>
          </w:rPr>
          <w:t xml:space="preserve">https://www.serviciodeempleo.gov.co/</w:t>
        </w:r>
      </w:hyperlink>
    </w:p>
    <w:p>
      <w:pPr>
        <w:pStyle w:val="BodyText"/>
      </w:pPr>
      <w:r>
        <w:t xml:space="preserve">El aprendizaje apoyado por el empleador puede incluir capacitación de producto, incorporación a CRM, capacitación de centro de contacto, proceso de ventas, gestión de pedidos, operaciones comerciales o asignaciones supervisadas de cuentas. No se garantiza ningún beneficio de capacitación del empleador ni cupo de SENA.</w:t>
      </w:r>
    </w:p>
    <w:bookmarkEnd w:id="46"/>
    <w:bookmarkStart w:id="49" w:name="américa-latina-y-el-caribe"/>
    <w:p>
      <w:pPr>
        <w:pStyle w:val="Heading2"/>
      </w:pPr>
      <w:r>
        <w:t xml:space="preserve">América Latina y el Caribe</w:t>
      </w:r>
    </w:p>
    <w:p>
      <w:pPr>
        <w:pStyle w:val="FirstParagraph"/>
      </w:pPr>
      <w:r>
        <w:t xml:space="preserve">OIT/Cinterfor ofrece información por país e institución sobre sistemas de formación profesional en América Latina y el Caribe:</w:t>
      </w:r>
    </w:p>
    <w:p>
      <w:pPr>
        <w:pStyle w:val="BodyText"/>
      </w:pPr>
      <w:hyperlink r:id="rId47">
        <w:r>
          <w:rPr>
            <w:rStyle w:val="Hyperlink"/>
          </w:rPr>
          <w:t xml:space="preserve">https://www.oitcinterfor.org/</w:t>
        </w:r>
      </w:hyperlink>
    </w:p>
    <w:p>
      <w:pPr>
        <w:pStyle w:val="BodyText"/>
      </w:pPr>
      <w:hyperlink r:id="rId48">
        <w:r>
          <w:rPr>
            <w:rStyle w:val="Hyperlink"/>
          </w:rPr>
          <w:t xml:space="preserve">https://www.oitcinterfor.org/statsfp/paises</w:t>
        </w:r>
      </w:hyperlink>
    </w:p>
    <w:p>
      <w:pPr>
        <w:pStyle w:val="BodyText"/>
      </w:pPr>
      <w:r>
        <w:t xml:space="preserve">Usa estos recursos como localizadores. Verifica el catálogo actual de la institución nacional correspondiente, elegibilidad, modalidad, costo, reglas de beca y condiciones de financiamiento.</w:t>
      </w:r>
    </w:p>
    <w:bookmarkEnd w:id="49"/>
    <w:bookmarkStart w:id="57" w:name="Xfe232ee30eca0de6b535d217cbd9eeab0748d30"/>
    <w:p>
      <w:pPr>
        <w:pStyle w:val="Heading2"/>
      </w:pPr>
      <w:r>
        <w:t xml:space="preserve">Investigación de ingresos — referencias oficiales y estimaciones actuales de mercado</w:t>
      </w:r>
    </w:p>
    <w:p>
      <w:pPr>
        <w:pStyle w:val="FirstParagraph"/>
      </w:pPr>
      <w:r>
        <w:t xml:space="preserve">La compensación varía de manera importante por país, ciudad, sector, seniority, idiomas, estructura de incentivos, complejidad técnica y si el puesto tiene cuota o comisión. El título de la guía no coincide perfectamente con un solo código ocupacional, por lo que cada referencia se etiqueta según lo que realmente mide.</w:t>
      </w:r>
    </w:p>
    <w:bookmarkStart w:id="51" w:name="Xae9616c9d18b2ca3b095897b42caac0e3f816d1"/>
    <w:p>
      <w:pPr>
        <w:pStyle w:val="Heading3"/>
      </w:pPr>
      <w:r>
        <w:t xml:space="preserve">Estados Unidos — referencia oficial más amplia</w:t>
      </w:r>
    </w:p>
    <w:p>
      <w:pPr>
        <w:pStyle w:val="FirstParagraph"/>
      </w:pPr>
      <w:r>
        <w:t xml:space="preserve">O</w:t>
      </w:r>
      <w:r>
        <w:rPr>
          <w:iCs/>
          <w:i/>
        </w:rPr>
        <w:t xml:space="preserve">NET</w:t>
      </w:r>
      <w:r>
        <w:rPr>
          <w:iCs/>
          <w:i/>
        </w:rPr>
        <w:t xml:space="preserve"> </w:t>
      </w:r>
      <w:r>
        <w:rPr>
          <w:bCs/>
          <w:b/>
          <w:iCs/>
          <w:i/>
        </w:rPr>
        <w:t xml:space="preserve">41-3091.00 — Sales Representatives of Services, Except Advertising, Insurance, Financial Services, and Travel</w:t>
      </w:r>
      <w:r>
        <w:rPr>
          <w:iCs/>
          <w:i/>
        </w:rPr>
        <w:t xml:space="preserve"> </w:t>
      </w:r>
      <w:r>
        <w:rPr>
          <w:iCs/>
          <w:i/>
        </w:rPr>
        <w:t xml:space="preserve">informa salarios medianos de</w:t>
      </w:r>
      <w:r>
        <w:rPr>
          <w:iCs/>
          <w:i/>
        </w:rPr>
        <w:t xml:space="preserve"> </w:t>
      </w:r>
      <w:r>
        <w:rPr>
          <w:bCs/>
          <w:b/>
          <w:iCs/>
          <w:i/>
        </w:rPr>
        <w:t xml:space="preserve">2025 de $33.65/hora y $69,990/año</w:t>
      </w:r>
      <w:r>
        <w:rPr>
          <w:iCs/>
          <w:i/>
        </w:rPr>
        <w:t xml:space="preserve">. O</w:t>
      </w:r>
      <w:r>
        <w:t xml:space="preserve">NET reporta aproximadamente</w:t>
      </w:r>
      <w:r>
        <w:t xml:space="preserve"> </w:t>
      </w:r>
      <w:r>
        <w:rPr>
          <w:bCs/>
          <w:b/>
        </w:rPr>
        <w:t xml:space="preserve">1,226,700 trabajadores en 2024</w:t>
      </w:r>
      <w:r>
        <w:t xml:space="preserve">, crecimiento proyectado de</w:t>
      </w:r>
      <w:r>
        <w:t xml:space="preserve"> </w:t>
      </w:r>
      <w:r>
        <w:rPr>
          <w:bCs/>
          <w:b/>
        </w:rPr>
        <w:t xml:space="preserve">3% a 4% entre 2024 y 2034</w:t>
      </w:r>
      <w:r>
        <w:t xml:space="preserve">, y aproximadamente</w:t>
      </w:r>
      <w:r>
        <w:t xml:space="preserve"> </w:t>
      </w:r>
      <w:r>
        <w:rPr>
          <w:bCs/>
          <w:b/>
        </w:rPr>
        <w:t xml:space="preserve">123,000 aperturas proyectadas</w:t>
      </w:r>
      <w:r>
        <w:t xml:space="preserve"> </w:t>
      </w:r>
      <w:r>
        <w:t xml:space="preserve">durante el periodo de proyección mostrado en el perfil actual.</w:t>
      </w:r>
    </w:p>
    <w:p>
      <w:pPr>
        <w:pStyle w:val="BodyText"/>
      </w:pPr>
      <w:r>
        <w:t xml:space="preserve">Es una referencia amplia de representantes de ventas, no una garantía salarial directa para una persona coordinadora de cuentas o especialista de apoyo de ventas.</w:t>
      </w:r>
    </w:p>
    <w:p>
      <w:pPr>
        <w:pStyle w:val="BodyText"/>
      </w:pPr>
      <w:r>
        <w:t xml:space="preserve">Fuente O*NET:</w:t>
      </w:r>
    </w:p>
    <w:p>
      <w:pPr>
        <w:pStyle w:val="BodyText"/>
      </w:pPr>
      <w:hyperlink r:id="rId50">
        <w:hyperlink r:id="rId50">
          <w:r>
            <w:rPr>
              <w:rStyle w:val="Hyperlink"/>
            </w:rPr>
            <w:t xml:space="preserve">Source link</w:t>
          </w:r>
        </w:hyperlink>
      </w:hyperlink>
    </w:p>
    <w:bookmarkEnd w:id="51"/>
    <w:bookmarkStart w:id="54" w:name="Xc2e285c77ecd1f170f0c50578aa4ae4a412e267"/>
    <w:p>
      <w:pPr>
        <w:pStyle w:val="Heading3"/>
      </w:pPr>
      <w:r>
        <w:t xml:space="preserve">Estados Unidos — estimaciones actuales no gubernamentales</w:t>
      </w:r>
    </w:p>
    <w:p>
      <w:pPr>
        <w:pStyle w:val="FirstParagraph"/>
      </w:pPr>
      <w:r>
        <w:t xml:space="preserve">Indeed informó un salario base promedio aproximado de</w:t>
      </w:r>
      <w:r>
        <w:t xml:space="preserve"> </w:t>
      </w:r>
      <w:r>
        <w:rPr>
          <w:bCs/>
          <w:b/>
        </w:rPr>
        <w:t xml:space="preserve">$53,849/año</w:t>
      </w:r>
      <w:r>
        <w:t xml:space="preserve"> </w:t>
      </w:r>
      <w:r>
        <w:t xml:space="preserve">para</w:t>
      </w:r>
      <w:r>
        <w:t xml:space="preserve"> </w:t>
      </w:r>
      <w:r>
        <w:rPr>
          <w:bCs/>
          <w:b/>
        </w:rPr>
        <w:t xml:space="preserve">Account Coordinators</w:t>
      </w:r>
      <w:r>
        <w:t xml:space="preserve"> </w:t>
      </w:r>
      <w:r>
        <w:t xml:space="preserve">en Estados Unidos, basado en unas</w:t>
      </w:r>
      <w:r>
        <w:t xml:space="preserve"> </w:t>
      </w:r>
      <w:r>
        <w:rPr>
          <w:bCs/>
          <w:b/>
        </w:rPr>
        <w:t xml:space="preserve">1.6k remuneraciones de ofertas durante los 36 meses anteriores</w:t>
      </w:r>
      <w:r>
        <w:t xml:space="preserve">, actualizado el</w:t>
      </w:r>
      <w:r>
        <w:t xml:space="preserve"> </w:t>
      </w:r>
      <w:r>
        <w:rPr>
          <w:bCs/>
          <w:b/>
        </w:rPr>
        <w:t xml:space="preserve">2 de agosto de 2026</w:t>
      </w:r>
      <w:r>
        <w:t xml:space="preserve">. El rango mostrado fue aproximadamente</w:t>
      </w:r>
      <w:r>
        <w:t xml:space="preserve"> </w:t>
      </w:r>
      <w:r>
        <w:rPr>
          <w:bCs/>
          <w:b/>
        </w:rPr>
        <w:t xml:space="preserve">$38,645 a $75,035/año</w:t>
      </w:r>
      <w:r>
        <w:t xml:space="preserve">.</w:t>
      </w:r>
    </w:p>
    <w:p>
      <w:pPr>
        <w:pStyle w:val="BodyText"/>
      </w:pPr>
      <w:hyperlink r:id="rId52">
        <w:hyperlink r:id="rId52">
          <w:r>
            <w:rPr>
              <w:rStyle w:val="Hyperlink"/>
            </w:rPr>
            <w:t xml:space="preserve">Source link</w:t>
          </w:r>
        </w:hyperlink>
      </w:hyperlink>
    </w:p>
    <w:p>
      <w:pPr>
        <w:pStyle w:val="BodyText"/>
      </w:pPr>
      <w:r>
        <w:t xml:space="preserve">Indeed también informó aproximadamente</w:t>
      </w:r>
      <w:r>
        <w:t xml:space="preserve"> </w:t>
      </w:r>
      <w:r>
        <w:rPr>
          <w:bCs/>
          <w:b/>
        </w:rPr>
        <w:t xml:space="preserve">$21.10/hora</w:t>
      </w:r>
      <w:r>
        <w:t xml:space="preserve"> </w:t>
      </w:r>
      <w:r>
        <w:t xml:space="preserve">para</w:t>
      </w:r>
      <w:r>
        <w:t xml:space="preserve"> </w:t>
      </w:r>
      <w:r>
        <w:rPr>
          <w:bCs/>
          <w:b/>
        </w:rPr>
        <w:t xml:space="preserve">Sales Support Representatives</w:t>
      </w:r>
      <w:r>
        <w:t xml:space="preserve">, basado en unas</w:t>
      </w:r>
      <w:r>
        <w:t xml:space="preserve"> </w:t>
      </w:r>
      <w:r>
        <w:rPr>
          <w:bCs/>
          <w:b/>
        </w:rPr>
        <w:t xml:space="preserve">4.2k remuneraciones de ofertas durante los 36 meses anteriores</w:t>
      </w:r>
      <w:r>
        <w:t xml:space="preserve">, actualizado el</w:t>
      </w:r>
      <w:r>
        <w:t xml:space="preserve"> </w:t>
      </w:r>
      <w:r>
        <w:rPr>
          <w:bCs/>
          <w:b/>
        </w:rPr>
        <w:t xml:space="preserve">3 de agosto de 2026</w:t>
      </w:r>
      <w:r>
        <w:t xml:space="preserve">, con rango mostrado de aproximadamente</w:t>
      </w:r>
      <w:r>
        <w:t xml:space="preserve"> </w:t>
      </w:r>
      <w:r>
        <w:rPr>
          <w:bCs/>
          <w:b/>
        </w:rPr>
        <w:t xml:space="preserve">$14.98 a $29.71/hora</w:t>
      </w:r>
      <w:r>
        <w:t xml:space="preserve">.</w:t>
      </w:r>
    </w:p>
    <w:p>
      <w:pPr>
        <w:pStyle w:val="BodyText"/>
      </w:pPr>
      <w:hyperlink r:id="rId53">
        <w:hyperlink r:id="rId53">
          <w:r>
            <w:rPr>
              <w:rStyle w:val="Hyperlink"/>
            </w:rPr>
            <w:t xml:space="preserve">Source link</w:t>
          </w:r>
        </w:hyperlink>
      </w:hyperlink>
    </w:p>
    <w:p>
      <w:pPr>
        <w:pStyle w:val="BodyText"/>
      </w:pPr>
      <w:r>
        <w:t xml:space="preserve">Estas cifras de Indeed son estimaciones actuales no gubernamentales, no estadísticas salariales oficiales. La diferencia ilustra cuánto afectan el título, funciones, industria, elegibilidad para comisión, ubicación y complejidad de cuenta.</w:t>
      </w:r>
    </w:p>
    <w:bookmarkEnd w:id="54"/>
    <w:bookmarkStart w:id="55" w:name="canadá--referencia-oficial-más-amplia"/>
    <w:p>
      <w:pPr>
        <w:pStyle w:val="Heading3"/>
      </w:pPr>
      <w:r>
        <w:t xml:space="preserve">Canadá — referencia oficial más amplia</w:t>
      </w:r>
    </w:p>
    <w:p>
      <w:pPr>
        <w:pStyle w:val="FirstParagraph"/>
      </w:pPr>
      <w:r>
        <w:t xml:space="preserve">Para NOC 64101, Job Bank informa</w:t>
      </w:r>
      <w:r>
        <w:t xml:space="preserve"> </w:t>
      </w:r>
      <w:r>
        <w:rPr>
          <w:bCs/>
          <w:b/>
        </w:rPr>
        <w:t xml:space="preserve">C$19.23/hora bajo, C$31.50/hora mediano y C$56.23/hora alto</w:t>
      </w:r>
      <w:r>
        <w:t xml:space="preserve">, actualizado el 19 de noviembre de 2025. Son valores oficiales de una ocupación más amplia de ventas/cuentas mayoristas y no deben tratarse como salario garantizado para el título de esta guía.</w:t>
      </w:r>
    </w:p>
    <w:bookmarkEnd w:id="55"/>
    <w:bookmarkStart w:id="56" w:name="colombia--interpretación"/>
    <w:p>
      <w:pPr>
        <w:pStyle w:val="Heading3"/>
      </w:pPr>
      <w:r>
        <w:t xml:space="preserve">Colombia — interpretación</w:t>
      </w:r>
    </w:p>
    <w:p>
      <w:pPr>
        <w:pStyle w:val="FirstParagraph"/>
      </w:pPr>
      <w:r>
        <w:t xml:space="preserve">OCUPACOL CUOC 33220 se utiliza aquí principalmente para alcance ocupacional y mapeo de títulos. Sus indicadores salariales mostrados a nivel de ocupación no deben presentarse como referencia salarial actual definitiva sin calificación metodológica. Los lectores deben comparar vacantes actuales y estimaciones de mercado claramente etiquetadas para título, ciudad e industria específicos.</w:t>
      </w:r>
    </w:p>
    <w:bookmarkEnd w:id="56"/>
    <w:bookmarkEnd w:id="57"/>
    <w:bookmarkStart w:id="58" w:name="Xae9124a43ab04dac6b183512c312e22a933f5f2"/>
    <w:p>
      <w:pPr>
        <w:pStyle w:val="Heading2"/>
      </w:pPr>
      <w:r>
        <w:t xml:space="preserve">Crear un portafolio sin exponer datos reales</w:t>
      </w:r>
    </w:p>
    <w:p>
      <w:pPr>
        <w:pStyle w:val="FirstParagraph"/>
      </w:pPr>
      <w:r>
        <w:t xml:space="preserve">Ejemplos ficticios útiles incluyen:</w:t>
      </w:r>
    </w:p>
    <w:p>
      <w:pPr>
        <w:numPr>
          <w:ilvl w:val="0"/>
          <w:numId w:val="1010"/>
        </w:numPr>
        <w:pStyle w:val="Compact"/>
      </w:pPr>
      <w:r>
        <w:t xml:space="preserve">lista de incorporación de cuentas;</w:t>
      </w:r>
    </w:p>
    <w:p>
      <w:pPr>
        <w:numPr>
          <w:ilvl w:val="0"/>
          <w:numId w:val="1010"/>
        </w:numPr>
        <w:pStyle w:val="Compact"/>
      </w:pPr>
      <w:r>
        <w:t xml:space="preserve">lista de revisión de cotización;</w:t>
      </w:r>
    </w:p>
    <w:p>
      <w:pPr>
        <w:numPr>
          <w:ilvl w:val="0"/>
          <w:numId w:val="1010"/>
        </w:numPr>
        <w:pStyle w:val="Compact"/>
      </w:pPr>
      <w:r>
        <w:t xml:space="preserve">lista de calidad de datos CRM;</w:t>
      </w:r>
    </w:p>
    <w:p>
      <w:pPr>
        <w:numPr>
          <w:ilvl w:val="0"/>
          <w:numId w:val="1010"/>
        </w:numPr>
        <w:pStyle w:val="Compact"/>
      </w:pPr>
      <w:r>
        <w:t xml:space="preserve">rastreador de oportunidades de muestra;</w:t>
      </w:r>
    </w:p>
    <w:p>
      <w:pPr>
        <w:numPr>
          <w:ilvl w:val="0"/>
          <w:numId w:val="1010"/>
        </w:numPr>
        <w:pStyle w:val="Compact"/>
      </w:pPr>
      <w:r>
        <w:t xml:space="preserve">agenda de reunión y registro de acciones;</w:t>
      </w:r>
    </w:p>
    <w:p>
      <w:pPr>
        <w:numPr>
          <w:ilvl w:val="0"/>
          <w:numId w:val="1010"/>
        </w:numPr>
        <w:pStyle w:val="Compact"/>
      </w:pPr>
      <w:r>
        <w:t xml:space="preserve">plantilla de traspaso de cliente;</w:t>
      </w:r>
    </w:p>
    <w:p>
      <w:pPr>
        <w:numPr>
          <w:ilvl w:val="0"/>
          <w:numId w:val="1010"/>
        </w:numPr>
        <w:pStyle w:val="Compact"/>
      </w:pPr>
      <w:r>
        <w:t xml:space="preserve">calendario de renovaciones;</w:t>
      </w:r>
    </w:p>
    <w:p>
      <w:pPr>
        <w:numPr>
          <w:ilvl w:val="0"/>
          <w:numId w:val="1010"/>
        </w:numPr>
        <w:pStyle w:val="Compact"/>
      </w:pPr>
      <w:r>
        <w:t xml:space="preserve">hoja de cálculo con fórmulas, filtros y categorías de estado;</w:t>
      </w:r>
    </w:p>
    <w:p>
      <w:pPr>
        <w:numPr>
          <w:ilvl w:val="0"/>
          <w:numId w:val="1010"/>
        </w:numPr>
        <w:pStyle w:val="Compact"/>
      </w:pPr>
      <w:r>
        <w:t xml:space="preserve">mapa sencillo del proceso desde lead hasta pedido.</w:t>
      </w:r>
    </w:p>
    <w:p>
      <w:pPr>
        <w:pStyle w:val="FirstParagraph"/>
      </w:pPr>
      <w:r>
        <w:t xml:space="preserve">Etiqueta todos los datos de muestra como ficticios. Nunca incluyas nombres reales de clientes, precios confidenciales, contratos, credenciales o capturas propietarias sin autorización.</w:t>
      </w:r>
    </w:p>
    <w:bookmarkEnd w:id="58"/>
    <w:bookmarkStart w:id="59" w:name="preparación-de-hoja-de-vida-y-entrevista"/>
    <w:p>
      <w:pPr>
        <w:pStyle w:val="Heading2"/>
      </w:pPr>
      <w:r>
        <w:t xml:space="preserve">Preparación de hoja de vida y entrevista</w:t>
      </w:r>
    </w:p>
    <w:p>
      <w:pPr>
        <w:pStyle w:val="FirstParagraph"/>
      </w:pPr>
      <w:r>
        <w:t xml:space="preserve">La evidencia más sólida en una hoja de vida es específica y veraz. Las medidas útiles pueden incluir volumen de cuentas o solicitudes, mejora en tiempo de respuesta, reducción de información faltante en pedidos, volumen de limpieza de CRM, tiempo de respuesta de cotizaciones, volumen de renovaciones, exactitud de reportes, medidas de servicio al cliente o mejoras documentadas de procesos.</w:t>
      </w:r>
    </w:p>
    <w:p>
      <w:pPr>
        <w:pStyle w:val="BodyText"/>
      </w:pPr>
      <w:r>
        <w:t xml:space="preserve">No inventes cifras. Si no existen métricas, describe con precisión el alcance y la responsabilidad.</w:t>
      </w:r>
    </w:p>
    <w:p>
      <w:pPr>
        <w:pStyle w:val="BodyText"/>
      </w:pPr>
      <w:r>
        <w:t xml:space="preserve">En entrevistas pueden preguntar cómo priorizas solicitudes, verificas una cotización, manejas una petición fuera de tu autoridad, mantienes precisión del CRM, respondes a un cambio sospechoso de pago, coordinas ventas/finanzas/operaciones, gestionas una fecha incumplida y usas IA con seguridad.</w:t>
      </w:r>
    </w:p>
    <w:bookmarkEnd w:id="59"/>
    <w:bookmarkStart w:id="64" w:name="plan-de-aprendizaje-de-30-días"/>
    <w:p>
      <w:pPr>
        <w:pStyle w:val="Heading2"/>
      </w:pPr>
      <w:r>
        <w:t xml:space="preserve">Plan de aprendizaje de 30 días</w:t>
      </w:r>
    </w:p>
    <w:bookmarkStart w:id="60" w:name="X34a6c8dc18981e1605422d6b5638e46fcf3330b"/>
    <w:p>
      <w:pPr>
        <w:pStyle w:val="Heading3"/>
      </w:pPr>
      <w:r>
        <w:t xml:space="preserve">Semana 1 — Fundamentos de oficina y comunicación</w:t>
      </w:r>
    </w:p>
    <w:p>
      <w:pPr>
        <w:pStyle w:val="FirstParagraph"/>
      </w:pPr>
      <w:r>
        <w:t xml:space="preserve">Practica correo profesional, manejo de calendario, hojas de cálculo básicas, nombres de archivos y notas concisas de reunión.</w:t>
      </w:r>
    </w:p>
    <w:bookmarkEnd w:id="60"/>
    <w:bookmarkStart w:id="61" w:name="Xa3f57087ef8fe1fda14eb088efca657d3562a42"/>
    <w:p>
      <w:pPr>
        <w:pStyle w:val="Heading3"/>
      </w:pPr>
      <w:r>
        <w:t xml:space="preserve">Semana 2 — Fundamentos del proceso de ventas</w:t>
      </w:r>
    </w:p>
    <w:p>
      <w:pPr>
        <w:pStyle w:val="FirstParagraph"/>
      </w:pPr>
      <w:r>
        <w:t xml:space="preserve">Aprende la diferencia entre lead, cuenta, contacto, oportunidad, cotización, pedido, contrato, factura, pago, renovación y resultado cerrado.</w:t>
      </w:r>
    </w:p>
    <w:bookmarkEnd w:id="61"/>
    <w:bookmarkStart w:id="62" w:name="semana-3--práctica-de-crm-y-coordinación"/>
    <w:p>
      <w:pPr>
        <w:pStyle w:val="Heading3"/>
      </w:pPr>
      <w:r>
        <w:t xml:space="preserve">Semana 3 — Práctica de CRM y coordinación</w:t>
      </w:r>
    </w:p>
    <w:p>
      <w:pPr>
        <w:pStyle w:val="FirstParagraph"/>
      </w:pPr>
      <w:r>
        <w:t xml:space="preserve">Usa datos ficticios para construir un rastreador de cuentas, actualizar etapas de oportunidad, registrar próximas acciones y crear una lista de revisión de cotización.</w:t>
      </w:r>
    </w:p>
    <w:bookmarkEnd w:id="62"/>
    <w:bookmarkStart w:id="63" w:name="X4c7cc822115cd5ceade0e01281de93375471405"/>
    <w:p>
      <w:pPr>
        <w:pStyle w:val="Heading3"/>
      </w:pPr>
      <w:r>
        <w:t xml:space="preserve">Semana 4 — Portafolio y búsqueda de empleo</w:t>
      </w:r>
    </w:p>
    <w:p>
      <w:pPr>
        <w:pStyle w:val="FirstParagraph"/>
      </w:pPr>
      <w:r>
        <w:t xml:space="preserve">Crea dos o tres muestras limpias de portafolio, revisa tu hoja de vida, practica ejemplos de entrevista y postúlate a puestos cuyas funciones coincidan con tu experiencia.</w:t>
      </w:r>
    </w:p>
    <w:bookmarkEnd w:id="63"/>
    <w:bookmarkEnd w:id="64"/>
    <w:bookmarkStart w:id="65" w:name="caminos-de-avance"/>
    <w:p>
      <w:pPr>
        <w:pStyle w:val="Heading2"/>
      </w:pPr>
      <w:r>
        <w:t xml:space="preserve">Caminos de avance</w:t>
      </w:r>
    </w:p>
    <w:p>
      <w:pPr>
        <w:pStyle w:val="FirstParagraph"/>
      </w:pPr>
      <w:r>
        <w:t xml:space="preserve">Posibles siguientes pasos incluyen coordinador/a senior de ventas, especialista de operaciones de ventas, gerente de cuenta, especialista de éxito del cliente, representante de ventas internas, analista comercial, analista de revenue operations, especialista de gestión de pedidos, coordinador/a de proyectos, coordinador/a de operaciones de marketing o coordinador/a de habilitación de ventas.</w:t>
      </w:r>
    </w:p>
    <w:p>
      <w:pPr>
        <w:pStyle w:val="BodyText"/>
      </w:pPr>
      <w:r>
        <w:t xml:space="preserve">El avance depende de conocimiento de la industria, desempeño, comunicación, habilidades con datos, criterio con clientes y responsabilidad creciente.</w:t>
      </w:r>
    </w:p>
    <w:bookmarkEnd w:id="65"/>
    <w:bookmarkStart w:id="69" w:name="fuentes-y-notas-de-verificación"/>
    <w:p>
      <w:pPr>
        <w:pStyle w:val="Heading2"/>
      </w:pPr>
      <w:r>
        <w:t xml:space="preserve">Fuentes y notas de verificación</w:t>
      </w:r>
    </w:p>
    <w:p>
      <w:pPr>
        <w:pStyle w:val="FirstParagraph"/>
      </w:pPr>
      <w:r>
        <w:t xml:space="preserve">Fuentes controladas principales de esta revisión:</w:t>
      </w:r>
    </w:p>
    <w:p>
      <w:pPr>
        <w:numPr>
          <w:ilvl w:val="0"/>
          <w:numId w:val="1011"/>
        </w:numPr>
        <w:pStyle w:val="Compact"/>
      </w:pPr>
      <w:r>
        <w:t xml:space="preserve">O*NET OnLine — U.S. Department of Labor:</w:t>
      </w:r>
      <w:r>
        <w:t xml:space="preserve"> </w:t>
      </w:r>
      <w:hyperlink r:id="rId50">
        <w:hyperlink r:id="rId50">
          <w:r>
            <w:rPr>
              <w:rStyle w:val="Hyperlink"/>
            </w:rPr>
            <w:t xml:space="preserve">Source link</w:t>
          </w:r>
        </w:hyperlink>
      </w:hyperlink>
    </w:p>
    <w:p>
      <w:pPr>
        <w:numPr>
          <w:ilvl w:val="0"/>
          <w:numId w:val="1011"/>
        </w:numPr>
        <w:pStyle w:val="Compact"/>
      </w:pPr>
      <w:r>
        <w:t xml:space="preserve">CareerOneStop WIOA training locator:</w:t>
      </w:r>
      <w:r>
        <w:t xml:space="preserve"> </w:t>
      </w:r>
      <w:hyperlink r:id="rId39">
        <w:hyperlink r:id="rId39">
          <w:r>
            <w:rPr>
              <w:rStyle w:val="Hyperlink"/>
            </w:rPr>
            <w:t xml:space="preserve">Source link</w:t>
          </w:r>
        </w:hyperlink>
      </w:hyperlink>
    </w:p>
    <w:p>
      <w:pPr>
        <w:numPr>
          <w:ilvl w:val="0"/>
          <w:numId w:val="1011"/>
        </w:numPr>
        <w:pStyle w:val="Compact"/>
      </w:pPr>
      <w:r>
        <w:t xml:space="preserve">Government of Canada training gateway:</w:t>
      </w:r>
      <w:r>
        <w:t xml:space="preserve"> </w:t>
      </w:r>
      <w:hyperlink r:id="rId41">
        <w:hyperlink r:id="rId41">
          <w:r>
            <w:rPr>
              <w:rStyle w:val="Hyperlink"/>
            </w:rPr>
            <w:t xml:space="preserve">Source link</w:t>
          </w:r>
        </w:hyperlink>
      </w:hyperlink>
    </w:p>
    <w:p>
      <w:pPr>
        <w:numPr>
          <w:ilvl w:val="0"/>
          <w:numId w:val="1011"/>
        </w:numPr>
        <w:pStyle w:val="Compact"/>
      </w:pPr>
      <w:r>
        <w:t xml:space="preserve">Canada Job Bank:</w:t>
      </w:r>
      <w:r>
        <w:t xml:space="preserve"> </w:t>
      </w:r>
      <w:hyperlink r:id="rId42">
        <w:r>
          <w:rPr>
            <w:rStyle w:val="Hyperlink"/>
          </w:rPr>
          <w:t xml:space="preserve">https://www.jobbank.gc.ca/</w:t>
        </w:r>
      </w:hyperlink>
    </w:p>
    <w:p>
      <w:pPr>
        <w:numPr>
          <w:ilvl w:val="0"/>
          <w:numId w:val="1011"/>
        </w:numPr>
        <w:pStyle w:val="Compact"/>
      </w:pPr>
      <w:r>
        <w:t xml:space="preserve">Colombia OCUPACOL:</w:t>
      </w:r>
      <w:r>
        <w:t xml:space="preserve"> </w:t>
      </w:r>
      <w:hyperlink r:id="rId66">
        <w:hyperlink r:id="rId66">
          <w:r>
            <w:rPr>
              <w:rStyle w:val="Hyperlink"/>
            </w:rPr>
            <w:t xml:space="preserve">Source link</w:t>
          </w:r>
        </w:hyperlink>
      </w:hyperlink>
    </w:p>
    <w:p>
      <w:pPr>
        <w:numPr>
          <w:ilvl w:val="0"/>
          <w:numId w:val="1011"/>
        </w:numPr>
        <w:pStyle w:val="Compact"/>
      </w:pPr>
      <w:r>
        <w:t xml:space="preserve">SENA Betowa:</w:t>
      </w:r>
      <w:r>
        <w:t xml:space="preserve"> </w:t>
      </w:r>
      <w:hyperlink r:id="rId44">
        <w:r>
          <w:rPr>
            <w:rStyle w:val="Hyperlink"/>
          </w:rPr>
          <w:t xml:space="preserve">https://betowa.sena.edu.co/</w:t>
        </w:r>
      </w:hyperlink>
    </w:p>
    <w:p>
      <w:pPr>
        <w:numPr>
          <w:ilvl w:val="0"/>
          <w:numId w:val="1011"/>
        </w:numPr>
        <w:pStyle w:val="Compact"/>
      </w:pPr>
      <w:r>
        <w:t xml:space="preserve">Colombia Public Employment Service:</w:t>
      </w:r>
      <w:r>
        <w:t xml:space="preserve"> </w:t>
      </w:r>
      <w:hyperlink r:id="rId45">
        <w:r>
          <w:rPr>
            <w:rStyle w:val="Hyperlink"/>
          </w:rPr>
          <w:t xml:space="preserve">https://www.serviciodeempleo.gov.co/</w:t>
        </w:r>
      </w:hyperlink>
    </w:p>
    <w:p>
      <w:pPr>
        <w:numPr>
          <w:ilvl w:val="0"/>
          <w:numId w:val="1011"/>
        </w:numPr>
        <w:pStyle w:val="Compact"/>
      </w:pPr>
      <w:r>
        <w:t xml:space="preserve">OIT/Cinterfor:</w:t>
      </w:r>
      <w:r>
        <w:t xml:space="preserve"> </w:t>
      </w:r>
      <w:hyperlink r:id="rId47">
        <w:r>
          <w:rPr>
            <w:rStyle w:val="Hyperlink"/>
          </w:rPr>
          <w:t xml:space="preserve">https://www.oitcinterfor.org/</w:t>
        </w:r>
      </w:hyperlink>
    </w:p>
    <w:p>
      <w:pPr>
        <w:numPr>
          <w:ilvl w:val="0"/>
          <w:numId w:val="1011"/>
        </w:numPr>
        <w:pStyle w:val="Compact"/>
      </w:pPr>
      <w:r>
        <w:t xml:space="preserve">CISA Secure Our World:</w:t>
      </w:r>
      <w:r>
        <w:t xml:space="preserve"> </w:t>
      </w:r>
      <w:hyperlink r:id="rId67">
        <w:r>
          <w:rPr>
            <w:rStyle w:val="Hyperlink"/>
          </w:rPr>
          <w:t xml:space="preserve">https://www.cisa.gov/secure-our-world</w:t>
        </w:r>
      </w:hyperlink>
    </w:p>
    <w:p>
      <w:pPr>
        <w:numPr>
          <w:ilvl w:val="0"/>
          <w:numId w:val="1011"/>
        </w:numPr>
        <w:pStyle w:val="Compact"/>
      </w:pPr>
      <w:r>
        <w:t xml:space="preserve">NIST AI Risk Management Framework:</w:t>
      </w:r>
      <w:r>
        <w:t xml:space="preserve"> </w:t>
      </w:r>
      <w:hyperlink r:id="rId68">
        <w:hyperlink r:id="rId68">
          <w:r>
            <w:rPr>
              <w:rStyle w:val="Hyperlink"/>
            </w:rPr>
            <w:t xml:space="preserve">Source link</w:t>
          </w:r>
        </w:hyperlink>
      </w:hyperlink>
    </w:p>
    <w:p>
      <w:pPr>
        <w:numPr>
          <w:ilvl w:val="0"/>
          <w:numId w:val="1011"/>
        </w:numPr>
        <w:pStyle w:val="Compact"/>
      </w:pPr>
      <w:r>
        <w:t xml:space="preserve">Páginas salariales de Indeed para Account Coordinator y Sales Support Representative, usadas solo como estimaciones de mercado no gubernamentales claramente etiquetadas.</w:t>
      </w:r>
    </w:p>
    <w:p>
      <w:pPr>
        <w:pStyle w:val="FirstParagraph"/>
      </w:pPr>
      <w:r>
        <w:t xml:space="preserve">Esta guía ofrece información general de educación y planificación profesional. No garantiza empleo, ingresos, financiamiento, admisión, colocación en aprendizaje, certificación, promoción ni ningún otro resultado. No brinda asesoría legal, tributaria, financiera ni de ciberseguridad y no afirma certificación humana independiente, certificación profesional de traducción, acreditación ni certificación de accesibilidad.</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betowa.sena.edu.co/" TargetMode="External" /><Relationship Type="http://schemas.openxmlformats.org/officeDocument/2006/relationships/hyperlink" Id="rId66" Target="https://ocupacol.mintrabajo.gov.co/Profile/OccupationalProfile/33220" TargetMode="External" /><Relationship Type="http://schemas.openxmlformats.org/officeDocument/2006/relationships/hyperlink" Id="rId41" Target="https://www.canada.ca/en/services/jobs/training.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67" Target="https://www.cisa.gov/secure-our-world" TargetMode="External" /><Relationship Type="http://schemas.openxmlformats.org/officeDocument/2006/relationships/hyperlink" Id="rId52" Target="https://www.indeed.com/career/account-coordinator/salaries" TargetMode="External" /><Relationship Type="http://schemas.openxmlformats.org/officeDocument/2006/relationships/hyperlink" Id="rId53" Target="https://www.indeed.com/career/sales-support-representative/salaries" TargetMode="External" /><Relationship Type="http://schemas.openxmlformats.org/officeDocument/2006/relationships/hyperlink" Id="rId42" Target="https://www.jobbank.gc.ca/" TargetMode="External" /><Relationship Type="http://schemas.openxmlformats.org/officeDocument/2006/relationships/hyperlink" Id="rId68" Target="https://www.nist.gov/itl/ai-risk-management-framework" TargetMode="External" /><Relationship Type="http://schemas.openxmlformats.org/officeDocument/2006/relationships/hyperlink" Id="rId47" Target="https://www.oitcinterfor.org/" TargetMode="External" /><Relationship Type="http://schemas.openxmlformats.org/officeDocument/2006/relationships/hyperlink" Id="rId48" Target="https://www.oitcinterfor.org/statsfp/paises" TargetMode="External" /><Relationship Type="http://schemas.openxmlformats.org/officeDocument/2006/relationships/hyperlink" Id="rId50" Target="https://www.onetonline.org/link/details/41-3091.00" TargetMode="External" /><Relationship Type="http://schemas.openxmlformats.org/officeDocument/2006/relationships/hyperlink" Id="rId45"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44" Target="https://betowa.sena.edu.co/" TargetMode="External" /><Relationship Type="http://schemas.openxmlformats.org/officeDocument/2006/relationships/hyperlink" Id="rId66" Target="https://ocupacol.mintrabajo.gov.co/Profile/OccupationalProfile/33220" TargetMode="External" /><Relationship Type="http://schemas.openxmlformats.org/officeDocument/2006/relationships/hyperlink" Id="rId41" Target="https://www.canada.ca/en/services/jobs/training.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67" Target="https://www.cisa.gov/secure-our-world" TargetMode="External" /><Relationship Type="http://schemas.openxmlformats.org/officeDocument/2006/relationships/hyperlink" Id="rId52" Target="https://www.indeed.com/career/account-coordinator/salaries" TargetMode="External" /><Relationship Type="http://schemas.openxmlformats.org/officeDocument/2006/relationships/hyperlink" Id="rId53" Target="https://www.indeed.com/career/sales-support-representative/salaries" TargetMode="External" /><Relationship Type="http://schemas.openxmlformats.org/officeDocument/2006/relationships/hyperlink" Id="rId42" Target="https://www.jobbank.gc.ca/" TargetMode="External" /><Relationship Type="http://schemas.openxmlformats.org/officeDocument/2006/relationships/hyperlink" Id="rId68" Target="https://www.nist.gov/itl/ai-risk-management-framework" TargetMode="External" /><Relationship Type="http://schemas.openxmlformats.org/officeDocument/2006/relationships/hyperlink" Id="rId47" Target="https://www.oitcinterfor.org/" TargetMode="External" /><Relationship Type="http://schemas.openxmlformats.org/officeDocument/2006/relationships/hyperlink" Id="rId48" Target="https://www.oitcinterfor.org/statsfp/paises" TargetMode="External" /><Relationship Type="http://schemas.openxmlformats.org/officeDocument/2006/relationships/hyperlink" Id="rId50" Target="https://www.onetonline.org/link/details/41-3091.00" TargetMode="External" /><Relationship Type="http://schemas.openxmlformats.org/officeDocument/2006/relationships/hyperlink" Id="rId45"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2026-08-21T15:25:28Z</dcterms:created>
  <dcterms:modified xsi:type="dcterms:W3CDTF">2026-08-21T15:25:28Z</dcterms:modified>
</cp:coreProperties>
</file>

<file path=docProps/custom.xml><?xml version="1.0" encoding="utf-8"?>
<Properties xmlns="http://schemas.openxmlformats.org/officeDocument/2006/custom-properties" xmlns:vt="http://schemas.openxmlformats.org/officeDocument/2006/docPropsVTypes"/>
</file>