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8006ca3ad6d294398472af59170fa4a2107236c"/>
    <w:p>
      <w:pPr>
        <w:pStyle w:val="Heading1"/>
      </w:pPr>
      <w:r>
        <w:t xml:space="preserve">Guia de Oportunidades ao Longo da Vida 75 — Coordenador de Marketing e Assistente de Marketing Digital</w:t>
      </w:r>
    </w:p>
    <w:p>
      <w:pPr>
        <w:pStyle w:val="FirstParagraph"/>
      </w:pPr>
      <w:r>
        <w:rPr>
          <w:bCs/>
          <w:b/>
        </w:rPr>
        <w:t xml:space="preserve">Versão:</w:t>
      </w:r>
      <w:r>
        <w:t xml:space="preserve"> </w:t>
      </w:r>
      <w:r>
        <w:t xml:space="preserve">2.0 — master controlado de trabalho</w:t>
      </w:r>
      <w:r>
        <w:br/>
      </w:r>
      <w:r>
        <w:rPr>
          <w:bCs/>
          <w:b/>
        </w:rPr>
        <w:t xml:space="preserve">Idioma:</w:t>
      </w:r>
      <w:r>
        <w:t xml:space="preserve"> </w:t>
      </w:r>
      <w:r>
        <w:t xml:space="preserve">Português do Brasil (</w:t>
      </w:r>
      <w:r>
        <w:rPr>
          <w:rStyle w:val="VerbatimChar"/>
        </w:rPr>
        <w:t xml:space="preserve">pt-BR</w:t>
      </w:r>
      <w:r>
        <w:t xml:space="preserve">)</w:t>
      </w:r>
      <w:r>
        <w:br/>
      </w:r>
      <w:r>
        <w:rPr>
          <w:bCs/>
          <w:b/>
        </w:rPr>
        <w:t xml:space="preserve">Referência ocupacional dos EUA:</w:t>
      </w:r>
      <w:r>
        <w:t xml:space="preserve"> </w:t>
      </w:r>
      <w:r>
        <w:t xml:space="preserve">O*NET-SOC 13-1161.00 — Market Research Analysts and Marketing Specialists</w:t>
      </w:r>
      <w:r>
        <w:br/>
      </w:r>
      <w:r>
        <w:rPr>
          <w:bCs/>
          <w:b/>
        </w:rPr>
        <w:t xml:space="preserve">Comparação no Canadá:</w:t>
      </w:r>
      <w:r>
        <w:t xml:space="preserve"> </w:t>
      </w:r>
      <w:r>
        <w:t xml:space="preserve">NOC 11202 — Professional occupations in advertising, marketing and public relations</w:t>
      </w:r>
      <w:r>
        <w:br/>
      </w:r>
      <w:r>
        <w:rPr>
          <w:bCs/>
          <w:b/>
        </w:rPr>
        <w:t xml:space="preserve">Comparações na Colômbia:</w:t>
      </w:r>
      <w:r>
        <w:t xml:space="preserve"> </w:t>
      </w:r>
      <w:r>
        <w:t xml:space="preserve">OCUPACOL 24312 e 24311</w:t>
      </w:r>
      <w:r>
        <w:br/>
      </w:r>
      <w:r>
        <w:rPr>
          <w:bCs/>
          <w:b/>
        </w:rPr>
        <w:t xml:space="preserve">Data de revisão:</w:t>
      </w:r>
      <w:r>
        <w:t xml:space="preserve"> </w:t>
      </w:r>
      <w:r>
        <w:t xml:space="preserve">2026-08-21</w:t>
      </w:r>
    </w:p>
    <w:bookmarkStart w:id="20" w:name="o-que-é-esta-carreira"/>
    <w:p>
      <w:pPr>
        <w:pStyle w:val="Heading2"/>
      </w:pPr>
      <w:r>
        <w:t xml:space="preserve">O que é esta carreira</w:t>
      </w:r>
    </w:p>
    <w:p>
      <w:pPr>
        <w:pStyle w:val="FirstParagraph"/>
      </w:pPr>
      <w:r>
        <w:t xml:space="preserve">Coordenadores de marketing e assistentes de marketing digital ajudam organizações a planejar, preparar, publicar, acompanhar e melhorar atividades de marketing. Dependendo do empregador, o trabalho pode incluir calendários de campanha, redes sociais, e-mail, conteúdo para sites, sistemas de relacionamento com clientes, suporte a comércio eletrônico, apoio a publicidade digital, fundamentos de SEO, análises, promoção de eventos, coordenação de fornecedores e relatórios.</w:t>
      </w:r>
    </w:p>
    <w:p>
      <w:pPr>
        <w:pStyle w:val="BodyText"/>
      </w:pPr>
      <w:r>
        <w:t xml:space="preserve">Os títulos variam bastante: assistente de marketing, assistente de marketing digital, coordenador de marketing, coordenador de campanhas, coordenador de conteúdo, coordenador de mídias sociais, assistente de marketing para ecommerce, coordenador de CRM, assistente de comunicações, assistente de growth marketing ou especialista de marketing. O título, por si só, não define senioridade nem autoridade; leia sempre a descrição real da vaga.</w:t>
      </w:r>
    </w:p>
    <w:p>
      <w:pPr>
        <w:pStyle w:val="BodyText"/>
      </w:pPr>
      <w:r>
        <w:t xml:space="preserve">Este guia usa</w:t>
      </w:r>
      <w:r>
        <w:t xml:space="preserve"> </w:t>
      </w:r>
      <w:r>
        <w:rPr>
          <w:bCs/>
          <w:b/>
        </w:rPr>
        <w:t xml:space="preserve">O*NET-SOC 13-1161.00 — Market Research Analysts and Marketing Specialists</w:t>
      </w:r>
      <w:r>
        <w:t xml:space="preserve"> </w:t>
      </w:r>
      <w:r>
        <w:t xml:space="preserve">como referência ampla nos Estados Unidos. Essa ocupação costuma ser mais analítica e profissional do que alguns cargos de entrada, por isso o guia separa claramente funções de apoio júnior de responsabilidades de especialista, analista e gerente.</w:t>
      </w:r>
    </w:p>
    <w:bookmarkEnd w:id="20"/>
    <w:bookmarkStart w:id="21" w:name="X2c05fbae5babdb3d1dd0f664c780b0c474b0096"/>
    <w:p>
      <w:pPr>
        <w:pStyle w:val="Heading2"/>
      </w:pPr>
      <w:r>
        <w:t xml:space="preserve">Por que esta função pode ser uma oportunidade</w:t>
      </w:r>
    </w:p>
    <w:p>
      <w:pPr>
        <w:pStyle w:val="FirstParagraph"/>
      </w:pPr>
      <w:r>
        <w:t xml:space="preserve">Marketing pode combinar redação, organização, compreensão do cliente, coordenação de design, interpretação de dados, tecnologia, trabalho em equipe e visão de negócios. Há competências transferíveis de atendimento ao cliente, vendas, varejo, hotelaria, administração, ecommerce, organizações sem fins lucrativos, redes sociais, comunicação, produção gráfica e apoio a eventos.</w:t>
      </w:r>
    </w:p>
    <w:p>
      <w:pPr>
        <w:pStyle w:val="BodyText"/>
      </w:pPr>
      <w:r>
        <w:t xml:space="preserve">A área pode ser adequada para pessoas que gostam de organizar campanhas e prazos, escrever mensagens claras, trabalhar com planilhas e ferramentas digitais, entender respostas do público, revisar detalhes antes da publicação, coordenar designers e fornecedores, medir resultados e melhorar trabalhos futuros.</w:t>
      </w:r>
    </w:p>
    <w:p>
      <w:pPr>
        <w:pStyle w:val="BodyText"/>
      </w:pPr>
      <w:r>
        <w:t xml:space="preserve">Também pode haver forte pressão de prazo. Lançamentos, promoções, alterações de plataforma, reclamações e problemas técnicos podem exigir resposta rápida. Antes de pagar por formação cara, procure um curso curto, projeto supervisionado, estágio, trabalho voluntário ou função júnior para testar a realidade do trabalho.</w:t>
      </w:r>
    </w:p>
    <w:bookmarkEnd w:id="21"/>
    <w:bookmarkStart w:id="26" w:name="X6d3e44df2d34fccdfe36b4e0e05b4af8378570d"/>
    <w:p>
      <w:pPr>
        <w:pStyle w:val="Heading2"/>
      </w:pPr>
      <w:r>
        <w:t xml:space="preserve">Assistente, coordenador, especialista, analista e gerente têm níveis diferentes de responsabilidade</w:t>
      </w:r>
    </w:p>
    <w:bookmarkStart w:id="22" w:name="Xfe4e7259fb831df860eddfae56e9899543a7a42"/>
    <w:p>
      <w:pPr>
        <w:pStyle w:val="Heading3"/>
      </w:pPr>
      <w:r>
        <w:t xml:space="preserve">Assistente de marketing ou marketing digital</w:t>
      </w:r>
    </w:p>
    <w:p>
      <w:pPr>
        <w:pStyle w:val="FirstParagraph"/>
      </w:pPr>
      <w:r>
        <w:t xml:space="preserve">Pode atualizar calendários, preparar rascunhos de posts ou e-mails, organizar ativos aprovados, inserir dados em sistemas autorizados, verificar links e formatação, manter listas, agendar conteúdo aprovado, coletar métricas, preparar relatórios iniciais e escalar erros ou dúvidas de aprovação.</w:t>
      </w:r>
    </w:p>
    <w:bookmarkEnd w:id="22"/>
    <w:bookmarkStart w:id="23" w:name="coordenador-de-marketing"/>
    <w:p>
      <w:pPr>
        <w:pStyle w:val="Heading3"/>
      </w:pPr>
      <w:r>
        <w:t xml:space="preserve">Coordenador de marketing</w:t>
      </w:r>
    </w:p>
    <w:p>
      <w:pPr>
        <w:pStyle w:val="FirstParagraph"/>
      </w:pPr>
      <w:r>
        <w:t xml:space="preserve">Pode coordenar cronogramas e responsáveis, administrar calendários de conteúdo aprovado, trabalhar com fornecedores ou agências, coordenar e-mail, redes sociais, web, eventos e ecommerce, acompanhar orçamento dentro de valores autorizados, manter fluxos de CRM e automação dentro das permissões atribuídas, acompanhar desempenho e preparar painéis e resumos.</w:t>
      </w:r>
    </w:p>
    <w:bookmarkEnd w:id="23"/>
    <w:bookmarkStart w:id="24" w:name="especialista-ou-analista"/>
    <w:p>
      <w:pPr>
        <w:pStyle w:val="Heading3"/>
      </w:pPr>
      <w:r>
        <w:t xml:space="preserve">Especialista ou analista</w:t>
      </w:r>
    </w:p>
    <w:p>
      <w:pPr>
        <w:pStyle w:val="FirstParagraph"/>
      </w:pPr>
      <w:r>
        <w:t xml:space="preserve">Pode ter responsabilidade mais profunda por análise de audiência e mercado, otimização de campanhas, mídia paga, SEO/SEM, segmentação de CRM, analytics, atribuição, experimentação, automação de marketing, pesquisa competitiva e interpretação de desempenho.</w:t>
      </w:r>
    </w:p>
    <w:bookmarkEnd w:id="24"/>
    <w:bookmarkStart w:id="25" w:name="gerente"/>
    <w:p>
      <w:pPr>
        <w:pStyle w:val="Heading3"/>
      </w:pPr>
      <w:r>
        <w:t xml:space="preserve">Gerente</w:t>
      </w:r>
    </w:p>
    <w:p>
      <w:pPr>
        <w:pStyle w:val="FirstParagraph"/>
      </w:pPr>
      <w:r>
        <w:t xml:space="preserve">Pode assumir estratégia, aprovação de orçamento, equipe, seleção de agência, contratos, governança de marca, coordenação de compliance, aprovação de campanhas, decisões de preço ou promoção, relatórios executivos e aceitação ou escalonamento de risco.</w:t>
      </w:r>
    </w:p>
    <w:p>
      <w:pPr>
        <w:pStyle w:val="BodyText"/>
      </w:pPr>
      <w:r>
        <w:t xml:space="preserve">Esses limites são exemplos. Política do empregador, contratos, leis locais, regras de plataforma e autoridade delegada determinam o que uma pessoa realmente pode fazer.</w:t>
      </w:r>
    </w:p>
    <w:bookmarkEnd w:id="25"/>
    <w:bookmarkEnd w:id="26"/>
    <w:bookmarkStart w:id="27" w:name="responsabilidades-típicas"/>
    <w:p>
      <w:pPr>
        <w:pStyle w:val="Heading2"/>
      </w:pPr>
      <w:r>
        <w:t xml:space="preserve">Responsabilidades típicas</w:t>
      </w:r>
    </w:p>
    <w:p>
      <w:pPr>
        <w:pStyle w:val="FirstParagraph"/>
      </w:pPr>
      <w:r>
        <w:t xml:space="preserve">Dependendo da função, a pessoa pode manter calendário de marketing e marcos, coletar requisitos, redigir conteúdo para revisão, coordenar imagens e vídeos aprovados, preparar agendas de redes sociais, atualizar site ou ecommerce em sistemas autorizados, apoiar e-mail e CRM, organizar segmentos sob regras aprovadas, coordenar webinars e lançamentos, manter convenções de UTM, apoiar SEO básico, coletar analytics de fontes autorizadas, preparar relatórios recorrentes, verificar links, ortografia, datas, preços e avisos, acompanhar faturas ou solicitações de compra dentro da autoridade delegada, organizar ativos digitais, documentar aprovações, apoiar acessibilidade, seguir processos de consentimento e preferências, relatar phishing ou exposição de dados e arquivar registros conforme política.</w:t>
      </w:r>
    </w:p>
    <w:bookmarkEnd w:id="27"/>
    <w:bookmarkStart w:id="28" w:name="limites-profissionais-e-de-autoridade"/>
    <w:p>
      <w:pPr>
        <w:pStyle w:val="Heading2"/>
      </w:pPr>
      <w:r>
        <w:t xml:space="preserve">Limites profissionais e de autoridade</w:t>
      </w:r>
    </w:p>
    <w:p>
      <w:pPr>
        <w:pStyle w:val="FirstParagraph"/>
      </w:pPr>
      <w:r>
        <w:t xml:space="preserve">Um título de marketing</w:t>
      </w:r>
      <w:r>
        <w:t xml:space="preserve"> </w:t>
      </w:r>
      <w:r>
        <w:rPr>
          <w:bCs/>
          <w:b/>
        </w:rPr>
        <w:t xml:space="preserve">não</w:t>
      </w:r>
      <w:r>
        <w:t xml:space="preserve"> </w:t>
      </w:r>
      <w:r>
        <w:t xml:space="preserve">autoriza automaticamente a pessoa a:</w:t>
      </w:r>
    </w:p>
    <w:p>
      <w:pPr>
        <w:numPr>
          <w:ilvl w:val="0"/>
          <w:numId w:val="1001"/>
        </w:numPr>
        <w:pStyle w:val="Compact"/>
      </w:pPr>
      <w:r>
        <w:t xml:space="preserve">fazer alegações não comprovadas de saúde, finanças, direito, segurança, meio ambiente ou desempenho de produto;</w:t>
      </w:r>
    </w:p>
    <w:p>
      <w:pPr>
        <w:numPr>
          <w:ilvl w:val="0"/>
          <w:numId w:val="1001"/>
        </w:numPr>
        <w:pStyle w:val="Compact"/>
      </w:pPr>
      <w:r>
        <w:t xml:space="preserve">prometer preço, desconto, reembolso, garantia, disponibilidade ou condição de serviço não aprovada;</w:t>
      </w:r>
    </w:p>
    <w:p>
      <w:pPr>
        <w:numPr>
          <w:ilvl w:val="0"/>
          <w:numId w:val="1001"/>
        </w:numPr>
        <w:pStyle w:val="Compact"/>
      </w:pPr>
      <w:r>
        <w:t xml:space="preserve">comprar publicidade ou comprometer fundos sem autoridade delegada;</w:t>
      </w:r>
    </w:p>
    <w:p>
      <w:pPr>
        <w:numPr>
          <w:ilvl w:val="0"/>
          <w:numId w:val="1001"/>
        </w:numPr>
        <w:pStyle w:val="Compact"/>
      </w:pPr>
      <w:r>
        <w:t xml:space="preserve">alterar instruções bancárias de fornecedores sem verificação independente e aprovação;</w:t>
      </w:r>
    </w:p>
    <w:p>
      <w:pPr>
        <w:numPr>
          <w:ilvl w:val="0"/>
          <w:numId w:val="1001"/>
        </w:numPr>
        <w:pStyle w:val="Compact"/>
      </w:pPr>
      <w:r>
        <w:t xml:space="preserve">enviar listas de clientes, credenciais, dados de pagamento, contratos ou informações confidenciais para ferramenta de IA ou nuvem não autorizada;</w:t>
      </w:r>
    </w:p>
    <w:p>
      <w:pPr>
        <w:numPr>
          <w:ilvl w:val="0"/>
          <w:numId w:val="1001"/>
        </w:numPr>
        <w:pStyle w:val="Compact"/>
      </w:pPr>
      <w:r>
        <w:t xml:space="preserve">contornar consentimento, descadastro, supressão ou preferências;</w:t>
      </w:r>
    </w:p>
    <w:p>
      <w:pPr>
        <w:numPr>
          <w:ilvl w:val="0"/>
          <w:numId w:val="1001"/>
        </w:numPr>
        <w:pStyle w:val="Compact"/>
      </w:pPr>
      <w:r>
        <w:t xml:space="preserve">raspar, comprar, combinar ou reutilizar dados pessoais de forma não aprovada;</w:t>
      </w:r>
    </w:p>
    <w:p>
      <w:pPr>
        <w:numPr>
          <w:ilvl w:val="0"/>
          <w:numId w:val="1001"/>
        </w:numPr>
        <w:pStyle w:val="Compact"/>
      </w:pPr>
      <w:r>
        <w:t xml:space="preserve">falsificar avaliações, depoimentos, endossos, estatísticas ou pesquisas;</w:t>
      </w:r>
    </w:p>
    <w:p>
      <w:pPr>
        <w:numPr>
          <w:ilvl w:val="0"/>
          <w:numId w:val="1001"/>
        </w:numPr>
        <w:pStyle w:val="Compact"/>
      </w:pPr>
      <w:r>
        <w:t xml:space="preserve">personificar clientes, funcionários, concorrentes, influenciadores ou agentes públicos;</w:t>
      </w:r>
    </w:p>
    <w:p>
      <w:pPr>
        <w:numPr>
          <w:ilvl w:val="0"/>
          <w:numId w:val="1001"/>
        </w:numPr>
        <w:pStyle w:val="Compact"/>
      </w:pPr>
      <w:r>
        <w:t xml:space="preserve">publicar planos confidenciais ou informações ainda não lançadas;</w:t>
      </w:r>
    </w:p>
    <w:p>
      <w:pPr>
        <w:numPr>
          <w:ilvl w:val="0"/>
          <w:numId w:val="1001"/>
        </w:numPr>
        <w:pStyle w:val="Compact"/>
      </w:pPr>
      <w:r>
        <w:t xml:space="preserve">declarar que um site, campanha ou documento está legalmente conforme ou certificado em acessibilidade sem revisão qualificada;</w:t>
      </w:r>
    </w:p>
    <w:p>
      <w:pPr>
        <w:numPr>
          <w:ilvl w:val="0"/>
          <w:numId w:val="1001"/>
        </w:numPr>
        <w:pStyle w:val="Compact"/>
      </w:pPr>
      <w:r>
        <w:t xml:space="preserve">tratar saída de IA como autoridade final para alegações reguladas, preços, estatísticas, traduções, acessibilidade, privacidade, segmentação ou obrigações legais.</w:t>
      </w:r>
    </w:p>
    <w:p>
      <w:pPr>
        <w:pStyle w:val="FirstParagraph"/>
      </w:pPr>
      <w:r>
        <w:t xml:space="preserve">Quando a autoridade não estiver clara, interrompa a publicação ou transação e escale ao responsável adequado.</w:t>
      </w:r>
    </w:p>
    <w:bookmarkEnd w:id="28"/>
    <w:bookmarkStart w:id="34" w:name="competências-essenciais"/>
    <w:p>
      <w:pPr>
        <w:pStyle w:val="Heading2"/>
      </w:pPr>
      <w:r>
        <w:t xml:space="preserve">Competências essenciais</w:t>
      </w:r>
    </w:p>
    <w:bookmarkStart w:id="29" w:name="organização-e-coordenação-de-projetos"/>
    <w:p>
      <w:pPr>
        <w:pStyle w:val="Heading3"/>
      </w:pPr>
      <w:r>
        <w:t xml:space="preserve">Organização e coordenação de projetos</w:t>
      </w:r>
    </w:p>
    <w:p>
      <w:pPr>
        <w:pStyle w:val="FirstParagraph"/>
      </w:pPr>
      <w:r>
        <w:t xml:space="preserve">Calendários de campanha, prazos e dependências, checklists, controle de versão, rastreamento de aprovação, atas e ações, acompanhamento de fornecedores e registros precisos.</w:t>
      </w:r>
    </w:p>
    <w:bookmarkEnd w:id="29"/>
    <w:bookmarkStart w:id="30" w:name="redação-e-comunicação"/>
    <w:p>
      <w:pPr>
        <w:pStyle w:val="Heading3"/>
      </w:pPr>
      <w:r>
        <w:t xml:space="preserve">Redação e comunicação</w:t>
      </w:r>
    </w:p>
    <w:p>
      <w:pPr>
        <w:pStyle w:val="FirstParagraph"/>
      </w:pPr>
      <w:r>
        <w:t xml:space="preserve">E-mail e social copy claros, revisão, tom adequado ao público, chamadas para ação concisas, fundamentos de títulos e assuntos, comunicação intercultural respeitosa e adaptação de texto sem alterar fatos ou alegações aprovadas.</w:t>
      </w:r>
    </w:p>
    <w:bookmarkEnd w:id="30"/>
    <w:bookmarkStart w:id="31" w:name="dados-e-relatórios"/>
    <w:p>
      <w:pPr>
        <w:pStyle w:val="Heading3"/>
      </w:pPr>
      <w:r>
        <w:t xml:space="preserve">Dados e relatórios</w:t>
      </w:r>
    </w:p>
    <w:p>
      <w:pPr>
        <w:pStyle w:val="FirstParagraph"/>
      </w:pPr>
      <w:r>
        <w:t xml:space="preserve">Planilhas, percentuais e taxas, filtros, tabelas dinâmicas ou equivalentes, interpretação de gráficos, conversão, cliques e engajamento, comparações de campanha e registro de datas e definições das fontes.</w:t>
      </w:r>
    </w:p>
    <w:bookmarkEnd w:id="31"/>
    <w:bookmarkStart w:id="32" w:name="conteúdo-digital"/>
    <w:p>
      <w:pPr>
        <w:pStyle w:val="Heading3"/>
      </w:pPr>
      <w:r>
        <w:t xml:space="preserve">Conteúdo digital</w:t>
      </w:r>
    </w:p>
    <w:p>
      <w:pPr>
        <w:pStyle w:val="FirstParagraph"/>
      </w:pPr>
      <w:r>
        <w:t xml:space="preserve">CMS, coordenação de imagens, landing pages, templates de e-mail, ferramentas sociais, suporte a promoções de ecommerce, cabeçalhos e links descritivos e consciência básica de acessibilidade.</w:t>
      </w:r>
    </w:p>
    <w:bookmarkEnd w:id="32"/>
    <w:bookmarkStart w:id="33" w:name="operações-de-marketing"/>
    <w:p>
      <w:pPr>
        <w:pStyle w:val="Heading3"/>
      </w:pPr>
      <w:r>
        <w:t xml:space="preserve">Operações de marketing</w:t>
      </w:r>
    </w:p>
    <w:p>
      <w:pPr>
        <w:pStyle w:val="FirstParagraph"/>
      </w:pPr>
      <w:r>
        <w:t xml:space="preserve">CRM, segmentação, automação, listas de supressão e preferências, roteamento de leads, tags de campanha, parâmetros UTM, testes de fluxo e QA antes do lançamento.</w:t>
      </w:r>
    </w:p>
    <w:bookmarkEnd w:id="33"/>
    <w:bookmarkEnd w:id="34"/>
    <w:bookmarkStart w:id="35" w:name="tecnologia"/>
    <w:p>
      <w:pPr>
        <w:pStyle w:val="Heading2"/>
      </w:pPr>
      <w:r>
        <w:t xml:space="preserve">Tecnologia</w:t>
      </w:r>
    </w:p>
    <w:p>
      <w:pPr>
        <w:pStyle w:val="FirstParagraph"/>
      </w:pPr>
      <w:r>
        <w:t xml:space="preserve">Os produtos específicos variam. Categorias comuns incluem Microsoft 365 ou Google Workspace, planilhas e apresentações, CRM, automação de marketing, plataformas de e-mail, publicação social, CMS, ecommerce, analytics e dashboards, gestão de projetos, DAM, pesquisas, SEO e palavras-chave, mídia paga e assistentes de IA generativa aprovados.</w:t>
      </w:r>
    </w:p>
    <w:p>
      <w:pPr>
        <w:pStyle w:val="BodyText"/>
      </w:pPr>
      <w:r>
        <w:t xml:space="preserve">Uma marca citada em vaga é uma preferência do empregador, não uma credencial universal. Aprenda conceitos transferíveis: públicos, permissões, campanhas, workflows, tracking, relatórios, testes, aprovação de conteúdo e proteção de dados.</w:t>
      </w:r>
    </w:p>
    <w:bookmarkEnd w:id="35"/>
    <w:bookmarkStart w:id="41" w:name="fluxo-prático-de-campanha"/>
    <w:p>
      <w:pPr>
        <w:pStyle w:val="Heading2"/>
      </w:pPr>
      <w:r>
        <w:t xml:space="preserve">Fluxo prático de campanha</w:t>
      </w:r>
    </w:p>
    <w:bookmarkStart w:id="36" w:name="X11edf6b03d376fcfa70f948c5a81e8131e83636"/>
    <w:p>
      <w:pPr>
        <w:pStyle w:val="Heading3"/>
      </w:pPr>
      <w:r>
        <w:t xml:space="preserve">1. Definir</w:t>
      </w:r>
    </w:p>
    <w:p>
      <w:pPr>
        <w:pStyle w:val="FirstParagraph"/>
      </w:pPr>
      <w:r>
        <w:t xml:space="preserve">Clarifique objetivo, público, oferta aprovada, canais, autoridade orçamentária, responsável, aprovações, métricas, requisitos de privacidade/acessibilidade, data de lançamento e dependências.</w:t>
      </w:r>
    </w:p>
    <w:bookmarkEnd w:id="36"/>
    <w:bookmarkStart w:id="37" w:name="Xe6ccff64b57ee16eae495383f7fc23e92dca6bd"/>
    <w:p>
      <w:pPr>
        <w:pStyle w:val="Heading3"/>
      </w:pPr>
      <w:r>
        <w:t xml:space="preserve">2. Preparar</w:t>
      </w:r>
    </w:p>
    <w:p>
      <w:pPr>
        <w:pStyle w:val="FirstParagraph"/>
      </w:pPr>
      <w:r>
        <w:t xml:space="preserve">Coordene copy, ativos, landing pages, e-mail/social, links de tracking, regras de segmento, casos de teste, checklist de revisão e contatos de escalonamento.</w:t>
      </w:r>
    </w:p>
    <w:bookmarkEnd w:id="37"/>
    <w:bookmarkStart w:id="38" w:name="X639e647a3ddcbe2edc22926713a14dcecf6c3fc"/>
    <w:p>
      <w:pPr>
        <w:pStyle w:val="Heading3"/>
      </w:pPr>
      <w:r>
        <w:t xml:space="preserve">3. Verificar</w:t>
      </w:r>
    </w:p>
    <w:p>
      <w:pPr>
        <w:pStyle w:val="FirstParagraph"/>
      </w:pPr>
      <w:r>
        <w:t xml:space="preserve">Antes do lançamento, confirme nomes, datas, links, preços e alegações aprovadas; público e regras de supressão; permissões; formatação; texto alternativo; tags e nomenclatura; aprovações; limites de gasto; e avisos legais/compliance quando exigidos.</w:t>
      </w:r>
    </w:p>
    <w:bookmarkEnd w:id="38"/>
    <w:bookmarkStart w:id="39" w:name="X4834512870b1dca76d155e9c160f9fb81770218"/>
    <w:p>
      <w:pPr>
        <w:pStyle w:val="Heading3"/>
      </w:pPr>
      <w:r>
        <w:t xml:space="preserve">4. Publicar ou lançar</w:t>
      </w:r>
    </w:p>
    <w:p>
      <w:pPr>
        <w:pStyle w:val="FirstParagraph"/>
      </w:pPr>
      <w:r>
        <w:t xml:space="preserve">Use apenas sistemas aprovados e permissões delegadas. Registre mudanças relevantes. Se uma configuração de plataforma, público ou gasto parecer errada, pare e escale.</w:t>
      </w:r>
    </w:p>
    <w:bookmarkEnd w:id="39"/>
    <w:bookmarkStart w:id="40" w:name="Xc75013ffc10e5b4853f62cde76e965ad3cdf550"/>
    <w:p>
      <w:pPr>
        <w:pStyle w:val="Heading3"/>
      </w:pPr>
      <w:r>
        <w:t xml:space="preserve">5. Monitorar e encerrar</w:t>
      </w:r>
    </w:p>
    <w:p>
      <w:pPr>
        <w:pStyle w:val="FirstParagraph"/>
      </w:pPr>
      <w:r>
        <w:t xml:space="preserve">Monitore erros e reclamações, capture métricas de sistemas autorizados, compare resultados com objetivos, documente aprendizados, concilie tarefas e faturas, arquive registros e remova acessos desnecessários quando isso fizer parte da função.</w:t>
      </w:r>
    </w:p>
    <w:bookmarkEnd w:id="40"/>
    <w:bookmarkEnd w:id="41"/>
    <w:bookmarkStart w:id="42" w:name="Xa16ab03504ee9748190db93ef43adebb7755144"/>
    <w:p>
      <w:pPr>
        <w:pStyle w:val="Heading2"/>
      </w:pPr>
      <w:r>
        <w:t xml:space="preserve">Privacidade, consentimento e dados de clientes</w:t>
      </w:r>
    </w:p>
    <w:p>
      <w:pPr>
        <w:pStyle w:val="FirstParagraph"/>
      </w:pPr>
      <w:r>
        <w:t xml:space="preserve">Marketing pode envolver nomes, e-mails, telefones, histórico de compras, comportamento de navegação, preferências, localização, identificadores, segmentos e respostas a campanhas. As regras variam por jurisdição, empregador, plataforma e finalidade.</w:t>
      </w:r>
    </w:p>
    <w:p>
      <w:pPr>
        <w:pStyle w:val="BodyText"/>
      </w:pPr>
      <w:r>
        <w:t xml:space="preserve">Boas práticas: coletar apenas o necessário; usar sistemas aprovados; respeitar consentimento, descadastro e preferências; não exportar listas para dispositivos pessoais; limitar acesso; verificar destinatários; proteger credenciais e chaves de API; seguir retenção e exclusão; escalar novos usos de dados; não presumir que informação visível online pode ser livremente reutilizada.</w:t>
      </w:r>
    </w:p>
    <w:p>
      <w:pPr>
        <w:pStyle w:val="BodyText"/>
      </w:pPr>
      <w:r>
        <w:t xml:space="preserve">Este guia oferece consciência operacional, não aconselhamento jurídico específico de uma jurisdição.</w:t>
      </w:r>
    </w:p>
    <w:bookmarkEnd w:id="42"/>
    <w:bookmarkStart w:id="43" w:name="cibersegurança-e-prevenção-de-fraude"/>
    <w:p>
      <w:pPr>
        <w:pStyle w:val="Heading2"/>
      </w:pPr>
      <w:r>
        <w:t xml:space="preserve">Cibersegurança e prevenção de fraude</w:t>
      </w:r>
    </w:p>
    <w:p>
      <w:pPr>
        <w:pStyle w:val="FirstParagraph"/>
      </w:pPr>
      <w:r>
        <w:t xml:space="preserve">Equipes de marketing podem controlar sites públicos, redes sociais, orçamentos de anúncios, listas de e-mail, domínios e relações com fornecedores. Por isso são alvos atraentes.</w:t>
      </w:r>
    </w:p>
    <w:p>
      <w:pPr>
        <w:pStyle w:val="BodyText"/>
      </w:pPr>
      <w:r>
        <w:t xml:space="preserve">Use MFA quando disponível, senhas únicas e gerenciador aprovado; verifique pedidos inesperados de transferência de conta, administradores, domínios ou dados bancários; confirme faturas ou gastos incomuns por canal independente; reporte phishing; não compartilhe senhas por chat ou e-mail; use privilégio mínimo; remova acessos quando necessário; proteja códigos de recuperação; mantenha software atualizado conforme política.</w:t>
      </w:r>
    </w:p>
    <w:bookmarkEnd w:id="43"/>
    <w:bookmarkStart w:id="44" w:name="Xe0c8f8204eee324ffd6a0fa26ca3cdc9500c857"/>
    <w:p>
      <w:pPr>
        <w:pStyle w:val="Heading2"/>
      </w:pPr>
      <w:r>
        <w:t xml:space="preserve">Acessibilidade e marketing digital inclusivo</w:t>
      </w:r>
    </w:p>
    <w:p>
      <w:pPr>
        <w:pStyle w:val="FirstParagraph"/>
      </w:pPr>
      <w:r>
        <w:t xml:space="preserve">Práticas úteis incluem texto alternativo significativo, legendas ou transcrições quando apropriado, links descritivos, cabeçalhos claros, fontes legíveis, contraste suficiente, não depender apenas de cor, formulários e mensagens de erro acessíveis, navegação por teclado quando aplicável e linguagem clara.</w:t>
      </w:r>
    </w:p>
    <w:p>
      <w:pPr>
        <w:pStyle w:val="BodyText"/>
      </w:pPr>
      <w:r>
        <w:t xml:space="preserve">As obrigações variam por jurisdição e contexto. Um coordenador pode apoiar o processo, mas não deve declarar conformidade legal nem certificação de acessibilidade sem comprovação independente.</w:t>
      </w:r>
    </w:p>
    <w:bookmarkEnd w:id="44"/>
    <w:bookmarkStart w:id="45" w:name="uso-responsável-de-ia-em-marketing"/>
    <w:p>
      <w:pPr>
        <w:pStyle w:val="Heading2"/>
      </w:pPr>
      <w:r>
        <w:t xml:space="preserve">Uso responsável de IA em marketing</w:t>
      </w:r>
    </w:p>
    <w:p>
      <w:pPr>
        <w:pStyle w:val="FirstParagraph"/>
      </w:pPr>
      <w:r>
        <w:t xml:space="preserve">IA pode ajudar em tarefas de baixo risco quando autorizada: brainstorming, primeiros rascunhos, revisão de texto não sensível, resumo de informação pública, organização de temas de palavras-chave, dados fictícios de prática, checklists e alternativas de redação.</w:t>
      </w:r>
    </w:p>
    <w:p>
      <w:pPr>
        <w:pStyle w:val="BodyText"/>
      </w:pPr>
      <w:r>
        <w:t xml:space="preserve">Revisão humana continua necessária.</w:t>
      </w:r>
    </w:p>
    <w:p>
      <w:pPr>
        <w:pStyle w:val="BodyText"/>
      </w:pPr>
      <w:r>
        <w:t xml:space="preserve">Não dependa apenas de IA para alegações factuais finais, preços ou disponibilidade atuais, requisitos legais/compliance, alegações reguladas de saúde ou finanças, estatísticas sem fonte, traduções de informação pública consequencial, segmentação com dados sensíveis, certificação de acessibilidade, decisões sobre dados de clientes ou aprovação final de marca.</w:t>
      </w:r>
    </w:p>
    <w:p>
      <w:pPr>
        <w:pStyle w:val="BodyText"/>
      </w:pPr>
      <w:r>
        <w:t xml:space="preserve">Não insira dados privados de clientes, senhas, informações de pagamento, chaves de API, campanhas não lançadas, contratos confidenciais ou dados pessoais protegidos em ferramenta de IA não aprovada.</w:t>
      </w:r>
    </w:p>
    <w:bookmarkEnd w:id="45"/>
    <w:bookmarkStart w:id="46" w:name="Xa94d008b93735fa2d2345d4a8939e7673411aad"/>
    <w:p>
      <w:pPr>
        <w:pStyle w:val="Heading2"/>
      </w:pPr>
      <w:r>
        <w:t xml:space="preserve">Educação e caminhos de entrada — Estados Unidos</w:t>
      </w:r>
    </w:p>
    <w:p>
      <w:pPr>
        <w:pStyle w:val="FirstParagraph"/>
      </w:pPr>
      <w:r>
        <w:t xml:space="preserve">O BLS informa que a referência profissional geralmente exige</w:t>
      </w:r>
      <w:r>
        <w:t xml:space="preserve"> </w:t>
      </w:r>
      <w:r>
        <w:rPr>
          <w:bCs/>
          <w:b/>
        </w:rPr>
        <w:t xml:space="preserve">bacharelado</w:t>
      </w:r>
      <w:r>
        <w:t xml:space="preserve">, mas vagas de assistente e coordenador variam bastante. Alguns empregadores aceitam certificados, estudo técnico ou associate, estágios, experiência em atendimento ou vendas, administração, ecommerce, portfólio relevante e demonstração de escrita, planilhas, social, conteúdo ou analytics.</w:t>
      </w:r>
    </w:p>
    <w:p>
      <w:pPr>
        <w:pStyle w:val="BodyText"/>
      </w:pPr>
      <w:r>
        <w:t xml:space="preserve">Uma sequência de baixo custo pode ser: fortalecer planilhas e escrita; aprender fundamentos e jornada do cliente; criar campanhas fictícias sem dados reais; aprender analytics básico; praticar e-mail/social/web/ecommerce; montar pequeno portfólio; buscar estágio ou trabalho de apoio; candidatar-se enquanto desenvolve competências de especialista.</w:t>
      </w:r>
    </w:p>
    <w:bookmarkEnd w:id="46"/>
    <w:bookmarkStart w:id="48" w:name="Xf0eb2bec7d2832b8f5474d82c9e20ed8cdde468"/>
    <w:p>
      <w:pPr>
        <w:pStyle w:val="Heading2"/>
      </w:pPr>
      <w:r>
        <w:t xml:space="preserve">Financiamento, treinamento gratuito ou de baixo custo e aprendizagem no trabalho — Estados Unidos</w:t>
      </w:r>
    </w:p>
    <w:p>
      <w:pPr>
        <w:pStyle w:val="FirstParagraph"/>
      </w:pPr>
      <w:r>
        <w:t xml:space="preserve">CareerOneStop fornece diretórios estaduais de programas elegíveis para WIOA:</w:t>
      </w:r>
    </w:p>
    <w:p>
      <w:pPr>
        <w:pStyle w:val="BodyText"/>
      </w:pPr>
      <w:hyperlink r:id="rId47">
        <w:hyperlink r:id="rId47">
          <w:r>
            <w:rPr>
              <w:rStyle w:val="Hyperlink"/>
            </w:rPr>
            <w:t xml:space="preserve">Source link</w:t>
          </w:r>
        </w:hyperlink>
      </w:hyperlink>
    </w:p>
    <w:p>
      <w:pPr>
        <w:pStyle w:val="BodyText"/>
      </w:pPr>
      <w:r>
        <w:t xml:space="preserve">Financiamento não é automático. Elegibilidade, provedores e serviços variam. Um American Job Center pode explicar opções locais.</w:t>
      </w:r>
    </w:p>
    <w:p>
      <w:pPr>
        <w:pStyle w:val="BodyText"/>
      </w:pPr>
      <w:r>
        <w:t xml:space="preserve">Termos úteis de busca incluem marketing, marketing digital, comunicações, ecommerce, analytics, conteúdo web, CRM e produtividade digital.</w:t>
      </w:r>
    </w:p>
    <w:p>
      <w:pPr>
        <w:pStyle w:val="BodyText"/>
      </w:pPr>
      <w:r>
        <w:t xml:space="preserve">Não presuma que exista Registered Apprenticeship com esse título. Aprendizagem prática pode vir de estágios, funções trainee, marketing de campus, trabalhos pagos de assistente, treinamento do empregador, campanhas de organizações sem fins lucrativos ou projetos supervisionados.</w:t>
      </w:r>
    </w:p>
    <w:bookmarkEnd w:id="48"/>
    <w:bookmarkStart w:id="51" w:name="caminhos-no-canadá"/>
    <w:p>
      <w:pPr>
        <w:pStyle w:val="Heading2"/>
      </w:pPr>
      <w:r>
        <w:t xml:space="preserve">Caminhos no Canadá</w:t>
      </w:r>
    </w:p>
    <w:p>
      <w:pPr>
        <w:pStyle w:val="FirstParagraph"/>
      </w:pPr>
      <w:r>
        <w:t xml:space="preserve">O Job Bank associa marketing coordinator a</w:t>
      </w:r>
      <w:r>
        <w:t xml:space="preserve"> </w:t>
      </w:r>
      <w:r>
        <w:rPr>
          <w:bCs/>
          <w:b/>
        </w:rPr>
        <w:t xml:space="preserve">NOC 11202 — Professional occupations in advertising, marketing and public relations</w:t>
      </w:r>
      <w:r>
        <w:t xml:space="preserve">. A categoria é ampla e frequentemente mais profissional do que funções júnior.</w:t>
      </w:r>
    </w:p>
    <w:p>
      <w:pPr>
        <w:pStyle w:val="BodyText"/>
      </w:pPr>
      <w:hyperlink r:id="rId49">
        <w:hyperlink r:id="rId49">
          <w:r>
            <w:rPr>
              <w:rStyle w:val="Hyperlink"/>
            </w:rPr>
            <w:t xml:space="preserve">Source link</w:t>
          </w:r>
        </w:hyperlink>
      </w:hyperlink>
    </w:p>
    <w:p>
      <w:pPr>
        <w:pStyle w:val="BodyText"/>
      </w:pPr>
      <w:r>
        <w:t xml:space="preserve">Skills for Success oferece recursos em leitura, escrita, numeracia, habilidades digitais, solução de problemas, comunicação, criatividade e inovação, colaboração e adaptabilidade:</w:t>
      </w:r>
    </w:p>
    <w:p>
      <w:pPr>
        <w:pStyle w:val="BodyText"/>
      </w:pPr>
      <w:hyperlink r:id="rId50">
        <w:hyperlink r:id="rId50">
          <w:r>
            <w:rPr>
              <w:rStyle w:val="Hyperlink"/>
            </w:rPr>
            <w:t xml:space="preserve">Source link</w:t>
          </w:r>
        </w:hyperlink>
      </w:hyperlink>
    </w:p>
    <w:p>
      <w:pPr>
        <w:pStyle w:val="BodyText"/>
      </w:pPr>
      <w:r>
        <w:t xml:space="preserve">Elegibilidade, custo, admissão e oferta variam; verifique a fonte atual provincial, territorial, educacional ou do empregador.</w:t>
      </w:r>
    </w:p>
    <w:bookmarkEnd w:id="51"/>
    <w:bookmarkStart w:id="54" w:name="caminhos-na-colômbia"/>
    <w:p>
      <w:pPr>
        <w:pStyle w:val="Heading2"/>
      </w:pPr>
      <w:r>
        <w:t xml:space="preserve">Caminhos na Colômbia</w:t>
      </w:r>
    </w:p>
    <w:p>
      <w:pPr>
        <w:pStyle w:val="FirstParagraph"/>
      </w:pPr>
      <w:r>
        <w:t xml:space="preserve">OCUPACOL oferece comparações úteis para trabalho de conteúdo digital, redes sociais e profissões de publicidade/comercialização. Os perfis relevantes incluem</w:t>
      </w:r>
      <w:r>
        <w:t xml:space="preserve"> </w:t>
      </w:r>
      <w:r>
        <w:rPr>
          <w:bCs/>
          <w:b/>
        </w:rPr>
        <w:t xml:space="preserve">24312</w:t>
      </w:r>
      <w:r>
        <w:t xml:space="preserve"> </w:t>
      </w:r>
      <w:r>
        <w:t xml:space="preserve">e</w:t>
      </w:r>
      <w:r>
        <w:t xml:space="preserve"> </w:t>
      </w:r>
      <w:r>
        <w:rPr>
          <w:bCs/>
          <w:b/>
        </w:rPr>
        <w:t xml:space="preserve">24311</w:t>
      </w:r>
      <w:r>
        <w:t xml:space="preserve">.</w:t>
      </w:r>
    </w:p>
    <w:p>
      <w:pPr>
        <w:pStyle w:val="BodyText"/>
      </w:pPr>
      <w:r>
        <w:t xml:space="preserve">SENA Betowa lista formação complementar de</w:t>
      </w:r>
      <w:r>
        <w:t xml:space="preserve"> </w:t>
      </w:r>
      <w:r>
        <w:rPr>
          <w:bCs/>
          <w:b/>
        </w:rPr>
        <w:t xml:space="preserve">Marketing Digital</w:t>
      </w:r>
      <w:r>
        <w:t xml:space="preserve">, com</w:t>
      </w:r>
      <w:r>
        <w:t xml:space="preserve"> </w:t>
      </w:r>
      <w:r>
        <w:rPr>
          <w:bCs/>
          <w:b/>
        </w:rPr>
        <w:t xml:space="preserve">48 horas</w:t>
      </w:r>
      <w:r>
        <w:t xml:space="preserve">, em modalidades virtual e presencial, sujeita à disponibilidade e seleção:</w:t>
      </w:r>
    </w:p>
    <w:p>
      <w:pPr>
        <w:pStyle w:val="BodyText"/>
      </w:pPr>
      <w:hyperlink r:id="rId52">
        <w:hyperlink r:id="rId52">
          <w:r>
            <w:rPr>
              <w:rStyle w:val="Hyperlink"/>
            </w:rPr>
            <w:t xml:space="preserve">Source link</w:t>
          </w:r>
        </w:hyperlink>
      </w:hyperlink>
    </w:p>
    <w:p>
      <w:pPr>
        <w:pStyle w:val="BodyText"/>
      </w:pPr>
      <w:hyperlink r:id="rId53">
        <w:hyperlink r:id="rId53">
          <w:r>
            <w:rPr>
              <w:rStyle w:val="Hyperlink"/>
            </w:rPr>
            <w:t xml:space="preserve">Source link</w:t>
          </w:r>
        </w:hyperlink>
      </w:hyperlink>
    </w:p>
    <w:p>
      <w:pPr>
        <w:pStyle w:val="BodyText"/>
      </w:pPr>
      <w:r>
        <w:t xml:space="preserve">Turmas, vagas, datas, cidades e modalidade mudam. Confirme a oferta ao vivo antes de planejar matrícula.</w:t>
      </w:r>
    </w:p>
    <w:bookmarkEnd w:id="54"/>
    <w:bookmarkStart w:id="57" w:name="caminhos-na-américa-latina-e-caribe"/>
    <w:p>
      <w:pPr>
        <w:pStyle w:val="Heading2"/>
      </w:pPr>
      <w:r>
        <w:t xml:space="preserve">Caminhos na América Latina e Caribe</w:t>
      </w:r>
    </w:p>
    <w:p>
      <w:pPr>
        <w:pStyle w:val="FirstParagraph"/>
      </w:pPr>
      <w:r>
        <w:t xml:space="preserve">OIT/Cinterfor pode ajudar a localizar instituições nacionais de formação profissional:</w:t>
      </w:r>
    </w:p>
    <w:p>
      <w:pPr>
        <w:pStyle w:val="BodyText"/>
      </w:pPr>
      <w:hyperlink r:id="rId55">
        <w:r>
          <w:rPr>
            <w:rStyle w:val="Hyperlink"/>
          </w:rPr>
          <w:t xml:space="preserve">https://www.oitcinterfor.org/</w:t>
        </w:r>
      </w:hyperlink>
    </w:p>
    <w:p>
      <w:pPr>
        <w:pStyle w:val="BodyText"/>
      </w:pPr>
      <w:hyperlink r:id="rId56">
        <w:r>
          <w:rPr>
            <w:rStyle w:val="Hyperlink"/>
          </w:rPr>
          <w:t xml:space="preserve">https://www.oitcinterfor.org/statsfp/paises</w:t>
        </w:r>
      </w:hyperlink>
    </w:p>
    <w:p>
      <w:pPr>
        <w:pStyle w:val="BodyText"/>
      </w:pPr>
      <w:r>
        <w:t xml:space="preserve">Use como localizador. Isso não garante curso, bolsa, aprendizagem ou vaga financiada em todos os países.</w:t>
      </w:r>
    </w:p>
    <w:bookmarkEnd w:id="57"/>
    <w:bookmarkStart w:id="62" w:name="Xc4da963913bc72a879bbbe3b9936354861c117b"/>
    <w:p>
      <w:pPr>
        <w:pStyle w:val="Heading2"/>
      </w:pPr>
      <w:r>
        <w:t xml:space="preserve">Pesquisa de renda — mantenha estatísticas oficiais separadas de estimativas de mercado</w:t>
      </w:r>
    </w:p>
    <w:bookmarkStart w:id="58" w:name="estados-unidos--referência-oficial"/>
    <w:p>
      <w:pPr>
        <w:pStyle w:val="Heading3"/>
      </w:pPr>
      <w:r>
        <w:t xml:space="preserve">Estados Unidos — referência oficial</w:t>
      </w:r>
    </w:p>
    <w:p>
      <w:pPr>
        <w:pStyle w:val="FirstParagraph"/>
      </w:pPr>
      <w:r>
        <w:t xml:space="preserve">O*NET informa salários medianos de 2025 de</w:t>
      </w:r>
      <w:r>
        <w:t xml:space="preserve"> </w:t>
      </w:r>
      <w:r>
        <w:rPr>
          <w:bCs/>
          <w:b/>
        </w:rPr>
        <w:t xml:space="preserve">US$ 37.87/hora</w:t>
      </w:r>
      <w:r>
        <w:t xml:space="preserve"> </w:t>
      </w:r>
      <w:r>
        <w:t xml:space="preserve">e</w:t>
      </w:r>
      <w:r>
        <w:t xml:space="preserve"> </w:t>
      </w:r>
      <w:r>
        <w:rPr>
          <w:bCs/>
          <w:b/>
        </w:rPr>
        <w:t xml:space="preserve">US$ 78,760/ano</w:t>
      </w:r>
      <w:r>
        <w:t xml:space="preserve"> </w:t>
      </w:r>
      <w:r>
        <w:t xml:space="preserve">para Market Research Analysts and Marketing Specialists. A distribuição nacional via dados BLS é aproximadamente</w:t>
      </w:r>
      <w:r>
        <w:t xml:space="preserve"> </w:t>
      </w:r>
      <w:r>
        <w:rPr>
          <w:bCs/>
          <w:b/>
        </w:rPr>
        <w:t xml:space="preserve">US$ 43,390</w:t>
      </w:r>
      <w:r>
        <w:t xml:space="preserve"> </w:t>
      </w:r>
      <w:r>
        <w:t xml:space="preserve">no 10º percentil,</w:t>
      </w:r>
      <w:r>
        <w:t xml:space="preserve"> </w:t>
      </w:r>
      <w:r>
        <w:rPr>
          <w:bCs/>
          <w:b/>
        </w:rPr>
        <w:t xml:space="preserve">US$ 78,760</w:t>
      </w:r>
      <w:r>
        <w:t xml:space="preserve"> </w:t>
      </w:r>
      <w:r>
        <w:t xml:space="preserve">na mediana e</w:t>
      </w:r>
      <w:r>
        <w:t xml:space="preserve"> </w:t>
      </w:r>
      <w:r>
        <w:rPr>
          <w:bCs/>
          <w:b/>
        </w:rPr>
        <w:t xml:space="preserve">US$ 155,480</w:t>
      </w:r>
      <w:r>
        <w:t xml:space="preserve"> </w:t>
      </w:r>
      <w:r>
        <w:t xml:space="preserve">no 90º percentil.</w:t>
      </w:r>
    </w:p>
    <w:p>
      <w:pPr>
        <w:pStyle w:val="BodyText"/>
      </w:pPr>
      <w:r>
        <w:t xml:space="preserve">O BLS informa mediana anual de</w:t>
      </w:r>
      <w:r>
        <w:t xml:space="preserve"> </w:t>
      </w:r>
      <w:r>
        <w:rPr>
          <w:bCs/>
          <w:b/>
        </w:rPr>
        <w:t xml:space="preserve">US$ 76,950</w:t>
      </w:r>
      <w:r>
        <w:t xml:space="preserve"> </w:t>
      </w:r>
      <w:r>
        <w:t xml:space="preserve">em maio de 2024 e projeta</w:t>
      </w:r>
      <w:r>
        <w:t xml:space="preserve"> </w:t>
      </w:r>
      <w:r>
        <w:rPr>
          <w:bCs/>
          <w:b/>
        </w:rPr>
        <w:t xml:space="preserve">7%</w:t>
      </w:r>
      <w:r>
        <w:t xml:space="preserve"> </w:t>
      </w:r>
      <w:r>
        <w:t xml:space="preserve">de crescimento entre 2024 e 2034, com cerca de</w:t>
      </w:r>
      <w:r>
        <w:t xml:space="preserve"> </w:t>
      </w:r>
      <w:r>
        <w:rPr>
          <w:bCs/>
          <w:b/>
        </w:rPr>
        <w:t xml:space="preserve">87,200</w:t>
      </w:r>
      <w:r>
        <w:t xml:space="preserve"> </w:t>
      </w:r>
      <w:r>
        <w:t xml:space="preserve">vagas por ano.</w:t>
      </w:r>
    </w:p>
    <w:p>
      <w:pPr>
        <w:pStyle w:val="BodyText"/>
      </w:pPr>
      <w:r>
        <w:t xml:space="preserve">Esses números são de uma ocupação profissional ampla, não garantia de salário para assistente ou coordenador júnior.</w:t>
      </w:r>
    </w:p>
    <w:bookmarkEnd w:id="58"/>
    <w:bookmarkStart w:id="59" w:name="Xb8ba4de872775d5a22829e26f6f68e4af4f5b3e"/>
    <w:p>
      <w:pPr>
        <w:pStyle w:val="Heading3"/>
      </w:pPr>
      <w:r>
        <w:t xml:space="preserve">Estados Unidos — estimativa atual não governamental</w:t>
      </w:r>
    </w:p>
    <w:p>
      <w:pPr>
        <w:pStyle w:val="FirstParagraph"/>
      </w:pPr>
      <w:r>
        <w:t xml:space="preserve">Indeed informou aproximadamente</w:t>
      </w:r>
      <w:r>
        <w:t xml:space="preserve"> </w:t>
      </w:r>
      <w:r>
        <w:rPr>
          <w:bCs/>
          <w:b/>
        </w:rPr>
        <w:t xml:space="preserve">US$ 57,136/ano</w:t>
      </w:r>
      <w:r>
        <w:t xml:space="preserve"> </w:t>
      </w:r>
      <w:r>
        <w:t xml:space="preserve">de salário-base médio para Marketing Coordinators nos EUA, com cerca de</w:t>
      </w:r>
      <w:r>
        <w:t xml:space="preserve"> </w:t>
      </w:r>
      <w:r>
        <w:rPr>
          <w:bCs/>
          <w:b/>
        </w:rPr>
        <w:t xml:space="preserve">4.3k</w:t>
      </w:r>
      <w:r>
        <w:t xml:space="preserve"> </w:t>
      </w:r>
      <w:r>
        <w:t xml:space="preserve">salários de anúncios de vagas dos 36 meses anteriores, atualizado em</w:t>
      </w:r>
      <w:r>
        <w:t xml:space="preserve"> </w:t>
      </w:r>
      <w:r>
        <w:rPr>
          <w:bCs/>
          <w:b/>
        </w:rPr>
        <w:t xml:space="preserve">2 de agosto de 2026</w:t>
      </w:r>
      <w:r>
        <w:t xml:space="preserve">. A faixa exibida era aproximadamente</w:t>
      </w:r>
      <w:r>
        <w:t xml:space="preserve"> </w:t>
      </w:r>
      <w:r>
        <w:rPr>
          <w:bCs/>
          <w:b/>
        </w:rPr>
        <w:t xml:space="preserve">US$ 40,235 a US$ 81,136/ano</w:t>
      </w:r>
      <w:r>
        <w:t xml:space="preserve">.</w:t>
      </w:r>
    </w:p>
    <w:p>
      <w:pPr>
        <w:pStyle w:val="BodyText"/>
      </w:pPr>
      <w:r>
        <w:t xml:space="preserve">Não faça média entre essa estimativa e os dados profissionais oficiais.</w:t>
      </w:r>
    </w:p>
    <w:bookmarkEnd w:id="59"/>
    <w:bookmarkStart w:id="60" w:name="canadá--referência-oficial"/>
    <w:p>
      <w:pPr>
        <w:pStyle w:val="Heading3"/>
      </w:pPr>
      <w:r>
        <w:t xml:space="preserve">Canadá — referência oficial</w:t>
      </w:r>
    </w:p>
    <w:p>
      <w:pPr>
        <w:pStyle w:val="FirstParagraph"/>
      </w:pPr>
      <w:r>
        <w:t xml:space="preserve">Job Bank informa salários nacionais para marketing coordinator / NOC 11202, atualizados em</w:t>
      </w:r>
      <w:r>
        <w:t xml:space="preserve"> </w:t>
      </w:r>
      <w:r>
        <w:rPr>
          <w:bCs/>
          <w:b/>
        </w:rPr>
        <w:t xml:space="preserve">19 de novembro de 2025</w:t>
      </w:r>
      <w:r>
        <w:t xml:space="preserve">, de aproximadamente</w:t>
      </w:r>
      <w:r>
        <w:t xml:space="preserve"> </w:t>
      </w:r>
      <w:r>
        <w:rPr>
          <w:bCs/>
          <w:b/>
        </w:rPr>
        <w:t xml:space="preserve">C$20.50</w:t>
      </w:r>
      <w:r>
        <w:t xml:space="preserve"> </w:t>
      </w:r>
      <w:r>
        <w:t xml:space="preserve">baixo,</w:t>
      </w:r>
      <w:r>
        <w:t xml:space="preserve"> </w:t>
      </w:r>
      <w:r>
        <w:rPr>
          <w:bCs/>
          <w:b/>
        </w:rPr>
        <w:t xml:space="preserve">C$35.58</w:t>
      </w:r>
      <w:r>
        <w:t xml:space="preserve"> </w:t>
      </w:r>
      <w:r>
        <w:t xml:space="preserve">mediano e</w:t>
      </w:r>
      <w:r>
        <w:t xml:space="preserve"> </w:t>
      </w:r>
      <w:r>
        <w:rPr>
          <w:bCs/>
          <w:b/>
        </w:rPr>
        <w:t xml:space="preserve">C$57.44</w:t>
      </w:r>
      <w:r>
        <w:t xml:space="preserve"> </w:t>
      </w:r>
      <w:r>
        <w:t xml:space="preserve">alto por hora. O período de referência é 2023–2024 e a fonte é a Statistics Canada Labour Force Survey.</w:t>
      </w:r>
    </w:p>
    <w:bookmarkEnd w:id="60"/>
    <w:bookmarkStart w:id="61" w:name="Xa8d6b31a032902545961615828f8f61d1696bfe"/>
    <w:p>
      <w:pPr>
        <w:pStyle w:val="Heading3"/>
      </w:pPr>
      <w:r>
        <w:t xml:space="preserve">Colômbia — estimativa atual não governamental</w:t>
      </w:r>
    </w:p>
    <w:p>
      <w:pPr>
        <w:pStyle w:val="FirstParagraph"/>
      </w:pPr>
      <w:r>
        <w:t xml:space="preserve">Indeed informou aproximadamente</w:t>
      </w:r>
      <w:r>
        <w:t xml:space="preserve"> </w:t>
      </w:r>
      <w:r>
        <w:rPr>
          <w:bCs/>
          <w:b/>
        </w:rPr>
        <w:t xml:space="preserve">COP 3,042,755/mês</w:t>
      </w:r>
      <w:r>
        <w:t xml:space="preserve"> </w:t>
      </w:r>
      <w:r>
        <w:t xml:space="preserve">para Coordinador/a de mercadotecnia na Colômbia, atualizado em</w:t>
      </w:r>
      <w:r>
        <w:t xml:space="preserve"> </w:t>
      </w:r>
      <w:r>
        <w:rPr>
          <w:bCs/>
          <w:b/>
        </w:rPr>
        <w:t xml:space="preserve">25 de maio de 2026</w:t>
      </w:r>
      <w:r>
        <w:t xml:space="preserve">, com apenas</w:t>
      </w:r>
      <w:r>
        <w:t xml:space="preserve"> </w:t>
      </w:r>
      <w:r>
        <w:rPr>
          <w:bCs/>
          <w:b/>
        </w:rPr>
        <w:t xml:space="preserve">2 salários reportados</w:t>
      </w:r>
      <w:r>
        <w:t xml:space="preserve">. Trate isso como sinal de mercado de amostra muito pequena, não como salário nacional representativo.</w:t>
      </w:r>
    </w:p>
    <w:bookmarkEnd w:id="61"/>
    <w:bookmarkEnd w:id="62"/>
    <w:bookmarkStart w:id="63" w:name="ideias-de-portfólio"/>
    <w:p>
      <w:pPr>
        <w:pStyle w:val="Heading2"/>
      </w:pPr>
      <w:r>
        <w:t xml:space="preserve">Ideias de portfólio</w:t>
      </w:r>
    </w:p>
    <w:p>
      <w:pPr>
        <w:pStyle w:val="FirstParagraph"/>
      </w:pPr>
      <w:r>
        <w:t xml:space="preserve">Use apenas material fictício ou sanitizado, salvo autorização para usar material real. Exemplos: calendário fictício de um mês, campanha de e-mail com QA, plano de conteúdo social, wireframe de landing page, dashboard com dados fictícios, checklist de acessibilidade, esquema de UTM, fluxo de aprovação e relatório de lições aprendidas.</w:t>
      </w:r>
    </w:p>
    <w:p>
      <w:pPr>
        <w:pStyle w:val="BodyText"/>
      </w:pPr>
      <w:r>
        <w:t xml:space="preserve">Explique objetivo, processo, verificações e o que seria medido.</w:t>
      </w:r>
    </w:p>
    <w:bookmarkEnd w:id="63"/>
    <w:bookmarkStart w:id="64" w:name="palavras-chave-para-busca-de-emprego"/>
    <w:p>
      <w:pPr>
        <w:pStyle w:val="Heading2"/>
      </w:pPr>
      <w:r>
        <w:t xml:space="preserve">Palavras-chave para busca de emprego</w:t>
      </w:r>
    </w:p>
    <w:p>
      <w:pPr>
        <w:pStyle w:val="FirstParagraph"/>
      </w:pPr>
      <w:r>
        <w:t xml:space="preserve">Marketing Assistant; Digital Marketing Assistant; Marketing Coordinator; Digital Marketing Coordinator; Campaign Coordinator; Social Media Coordinator; Content Coordinator; CRM Coordinator; Ecommerce Marketing Assistant; Communications Assistant; Junior Marketing Specialist; Growth Marketing Assistant.</w:t>
      </w:r>
    </w:p>
    <w:p>
      <w:pPr>
        <w:pStyle w:val="BodyText"/>
      </w:pPr>
      <w:r>
        <w:t xml:space="preserve">Acrescente termos de setor quando útil: SaaS, varejo, hotelaria, nonprofit, educação, saúde, B2B, ecommerce, manufatura, turismo ou serviços profissionais.</w:t>
      </w:r>
    </w:p>
    <w:bookmarkEnd w:id="64"/>
    <w:bookmarkStart w:id="65" w:name="preparação-para-entrevistas"/>
    <w:p>
      <w:pPr>
        <w:pStyle w:val="Heading2"/>
      </w:pPr>
      <w:r>
        <w:t xml:space="preserve">Preparação para entrevistas</w:t>
      </w:r>
    </w:p>
    <w:p>
      <w:pPr>
        <w:pStyle w:val="FirstParagraph"/>
      </w:pPr>
      <w:r>
        <w:t xml:space="preserve">Prepare exemplos de projeto organizado do início ao fim; revisão de copy, links, datas, preços e ativos; resposta a pedido de descadastro ou privacidade; uso de planilhas e dashboards; resposta a solicitação inesperada de pagamento a fornecedor; gestão de prazos concorrentes; proteção de dados de clientes; uso responsável de IA; e medição de uma campanha simples.</w:t>
      </w:r>
    </w:p>
    <w:p>
      <w:pPr>
        <w:pStyle w:val="BodyText"/>
      </w:pPr>
      <w:r>
        <w:t xml:space="preserve">Se não tiver experiência paga em marketing, use cursos, voluntariado, atendimento, ecommerce ou projetos fictícios e deixe claro o que foi prática.</w:t>
      </w:r>
    </w:p>
    <w:bookmarkEnd w:id="65"/>
    <w:bookmarkStart w:id="70" w:name="plano-inicial-de-30-dias"/>
    <w:p>
      <w:pPr>
        <w:pStyle w:val="Heading2"/>
      </w:pPr>
      <w:r>
        <w:t xml:space="preserve">Plano inicial de 30 dias</w:t>
      </w:r>
    </w:p>
    <w:bookmarkStart w:id="66" w:name="semana-1--fundamentos"/>
    <w:p>
      <w:pPr>
        <w:pStyle w:val="Heading3"/>
      </w:pPr>
      <w:r>
        <w:t xml:space="preserve">Semana 1 — fundamentos</w:t>
      </w:r>
    </w:p>
    <w:p>
      <w:pPr>
        <w:pStyle w:val="FirstParagraph"/>
      </w:pPr>
      <w:r>
        <w:t xml:space="preserve">Aprenda funil/jornada, pratique planilhas, revise vocabulário de e-mail/social/web e estude privacidade e cibersegurança.</w:t>
      </w:r>
    </w:p>
    <w:bookmarkEnd w:id="66"/>
    <w:bookmarkStart w:id="67" w:name="semana-2--construir"/>
    <w:p>
      <w:pPr>
        <w:pStyle w:val="Heading3"/>
      </w:pPr>
      <w:r>
        <w:t xml:space="preserve">Semana 2 — construir</w:t>
      </w:r>
    </w:p>
    <w:p>
      <w:pPr>
        <w:pStyle w:val="FirstParagraph"/>
      </w:pPr>
      <w:r>
        <w:t xml:space="preserve">Crie brief fictício, calendário, conteúdo de exemplo e plano básico de tracking.</w:t>
      </w:r>
    </w:p>
    <w:bookmarkEnd w:id="67"/>
    <w:bookmarkStart w:id="68" w:name="semana-3--medir"/>
    <w:p>
      <w:pPr>
        <w:pStyle w:val="Heading3"/>
      </w:pPr>
      <w:r>
        <w:t xml:space="preserve">Semana 3 — medir</w:t>
      </w:r>
    </w:p>
    <w:p>
      <w:pPr>
        <w:pStyle w:val="FirstParagraph"/>
      </w:pPr>
      <w:r>
        <w:t xml:space="preserve">Crie dataset fictício, calcule taxas e tendências, monte dashboard de uma página e escreva três lições aprendidas.</w:t>
      </w:r>
    </w:p>
    <w:bookmarkEnd w:id="68"/>
    <w:bookmarkStart w:id="69" w:name="semana-4--busca-de-emprego"/>
    <w:p>
      <w:pPr>
        <w:pStyle w:val="Heading3"/>
      </w:pPr>
      <w:r>
        <w:t xml:space="preserve">Semana 4 — busca de emprego</w:t>
      </w:r>
    </w:p>
    <w:p>
      <w:pPr>
        <w:pStyle w:val="FirstParagraph"/>
      </w:pPr>
      <w:r>
        <w:t xml:space="preserve">Revise currículo com coordenação, escrita, atendimento, vendas, ferramentas digitais e dados; organize portfólio; pesquise vários títulos; compare requisitos antes de pagar por formação; confirme localização, horário e autorização de trabalho antes de se candidatar.</w:t>
      </w:r>
    </w:p>
    <w:bookmarkEnd w:id="69"/>
    <w:bookmarkEnd w:id="70"/>
    <w:bookmarkStart w:id="79" w:name="lista-de-fontes"/>
    <w:p>
      <w:pPr>
        <w:pStyle w:val="Heading2"/>
      </w:pPr>
      <w:r>
        <w:t xml:space="preserve">Lista de fontes</w:t>
      </w:r>
    </w:p>
    <w:p>
      <w:pPr>
        <w:pStyle w:val="FirstParagraph"/>
      </w:pPr>
      <w:r>
        <w:t xml:space="preserve">Fontes oficiais e governamentais:</w:t>
      </w:r>
    </w:p>
    <w:p>
      <w:pPr>
        <w:numPr>
          <w:ilvl w:val="0"/>
          <w:numId w:val="1002"/>
        </w:numPr>
        <w:pStyle w:val="Compact"/>
      </w:pPr>
      <w:r>
        <w:t xml:space="preserve">O*NET OnLine — Market Research Analysts and Marketing Specialists:</w:t>
      </w:r>
      <w:r>
        <w:t xml:space="preserve"> </w:t>
      </w:r>
      <w:hyperlink r:id="rId71">
        <w:hyperlink r:id="rId71">
          <w:r>
            <w:rPr>
              <w:rStyle w:val="Hyperlink"/>
            </w:rPr>
            <w:t xml:space="preserve">Source link</w:t>
          </w:r>
        </w:hyperlink>
      </w:hyperlink>
    </w:p>
    <w:p>
      <w:pPr>
        <w:numPr>
          <w:ilvl w:val="0"/>
          <w:numId w:val="1002"/>
        </w:numPr>
        <w:pStyle w:val="Compact"/>
      </w:pPr>
      <w:r>
        <w:t xml:space="preserve">O*NET/BLS local wages:</w:t>
      </w:r>
      <w:r>
        <w:t xml:space="preserve"> </w:t>
      </w:r>
      <w:hyperlink r:id="rId72">
        <w:hyperlink r:id="rId72">
          <w:r>
            <w:rPr>
              <w:rStyle w:val="Hyperlink"/>
            </w:rPr>
            <w:t xml:space="preserve">Source link</w:t>
          </w:r>
        </w:hyperlink>
      </w:hyperlink>
    </w:p>
    <w:p>
      <w:pPr>
        <w:numPr>
          <w:ilvl w:val="0"/>
          <w:numId w:val="1002"/>
        </w:numPr>
        <w:pStyle w:val="Compact"/>
      </w:pPr>
      <w:r>
        <w:t xml:space="preserve">U.S. Bureau of Labor Statistics — Market Research Analysts:</w:t>
      </w:r>
      <w:r>
        <w:t xml:space="preserve"> </w:t>
      </w:r>
      <w:hyperlink r:id="rId73">
        <w:hyperlink r:id="rId73">
          <w:r>
            <w:rPr>
              <w:rStyle w:val="Hyperlink"/>
            </w:rPr>
            <w:t xml:space="preserve">Source link</w:t>
          </w:r>
        </w:hyperlink>
      </w:hyperlink>
    </w:p>
    <w:p>
      <w:pPr>
        <w:numPr>
          <w:ilvl w:val="0"/>
          <w:numId w:val="1002"/>
        </w:numPr>
        <w:pStyle w:val="Compact"/>
      </w:pPr>
      <w:r>
        <w:t xml:space="preserve">CareerOneStop WIOA Eligible Training Program Finder:</w:t>
      </w:r>
      <w:r>
        <w:t xml:space="preserve"> </w:t>
      </w:r>
      <w:hyperlink r:id="rId47">
        <w:hyperlink r:id="rId47">
          <w:r>
            <w:rPr>
              <w:rStyle w:val="Hyperlink"/>
            </w:rPr>
            <w:t xml:space="preserve">Source link</w:t>
          </w:r>
        </w:hyperlink>
      </w:hyperlink>
    </w:p>
    <w:p>
      <w:pPr>
        <w:numPr>
          <w:ilvl w:val="0"/>
          <w:numId w:val="1002"/>
        </w:numPr>
        <w:pStyle w:val="Compact"/>
      </w:pPr>
      <w:r>
        <w:t xml:space="preserve">Canada Job Bank — Marketing coordinator wages:</w:t>
      </w:r>
      <w:r>
        <w:t xml:space="preserve"> </w:t>
      </w:r>
      <w:hyperlink r:id="rId74">
        <w:hyperlink r:id="rId74">
          <w:r>
            <w:rPr>
              <w:rStyle w:val="Hyperlink"/>
            </w:rPr>
            <w:t xml:space="preserve">Source link</w:t>
          </w:r>
        </w:hyperlink>
      </w:hyperlink>
    </w:p>
    <w:p>
      <w:pPr>
        <w:numPr>
          <w:ilvl w:val="0"/>
          <w:numId w:val="1002"/>
        </w:numPr>
        <w:pStyle w:val="Compact"/>
      </w:pPr>
      <w:r>
        <w:t xml:space="preserve">Government of Canada — Jobs and training:</w:t>
      </w:r>
      <w:r>
        <w:t xml:space="preserve"> </w:t>
      </w:r>
      <w:hyperlink r:id="rId49">
        <w:hyperlink r:id="rId49">
          <w:r>
            <w:rPr>
              <w:rStyle w:val="Hyperlink"/>
            </w:rPr>
            <w:t xml:space="preserve">Source link</w:t>
          </w:r>
        </w:hyperlink>
      </w:hyperlink>
    </w:p>
    <w:p>
      <w:pPr>
        <w:numPr>
          <w:ilvl w:val="0"/>
          <w:numId w:val="1002"/>
        </w:numPr>
        <w:pStyle w:val="Compact"/>
      </w:pPr>
      <w:r>
        <w:t xml:space="preserve">Government of Canada — Skills for Success:</w:t>
      </w:r>
      <w:r>
        <w:t xml:space="preserve"> </w:t>
      </w:r>
      <w:hyperlink r:id="rId50">
        <w:hyperlink r:id="rId50">
          <w:r>
            <w:rPr>
              <w:rStyle w:val="Hyperlink"/>
            </w:rPr>
            <w:t xml:space="preserve">Source link</w:t>
          </w:r>
        </w:hyperlink>
      </w:hyperlink>
    </w:p>
    <w:p>
      <w:pPr>
        <w:numPr>
          <w:ilvl w:val="0"/>
          <w:numId w:val="1002"/>
        </w:numPr>
        <w:pStyle w:val="Compact"/>
      </w:pPr>
      <w:r>
        <w:t xml:space="preserve">Colombia OCUPACOL profile 24312:</w:t>
      </w:r>
      <w:r>
        <w:t xml:space="preserve"> </w:t>
      </w:r>
      <w:hyperlink r:id="rId75">
        <w:hyperlink r:id="rId75">
          <w:r>
            <w:rPr>
              <w:rStyle w:val="Hyperlink"/>
            </w:rPr>
            <w:t xml:space="preserve">Source link</w:t>
          </w:r>
        </w:hyperlink>
      </w:hyperlink>
    </w:p>
    <w:p>
      <w:pPr>
        <w:numPr>
          <w:ilvl w:val="0"/>
          <w:numId w:val="1002"/>
        </w:numPr>
        <w:pStyle w:val="Compact"/>
      </w:pPr>
      <w:r>
        <w:t xml:space="preserve">Colombia OCUPACOL profile 24311:</w:t>
      </w:r>
      <w:r>
        <w:t xml:space="preserve"> </w:t>
      </w:r>
      <w:hyperlink r:id="rId76">
        <w:hyperlink r:id="rId76">
          <w:r>
            <w:rPr>
              <w:rStyle w:val="Hyperlink"/>
            </w:rPr>
            <w:t xml:space="preserve">Source link</w:t>
          </w:r>
        </w:hyperlink>
      </w:hyperlink>
    </w:p>
    <w:p>
      <w:pPr>
        <w:numPr>
          <w:ilvl w:val="0"/>
          <w:numId w:val="1002"/>
        </w:numPr>
        <w:pStyle w:val="Compact"/>
      </w:pPr>
      <w:r>
        <w:t xml:space="preserve">SENA Betowa — Marketing Digital virtual:</w:t>
      </w:r>
      <w:r>
        <w:t xml:space="preserve"> </w:t>
      </w:r>
      <w:hyperlink r:id="rId52">
        <w:hyperlink r:id="rId52">
          <w:r>
            <w:rPr>
              <w:rStyle w:val="Hyperlink"/>
            </w:rPr>
            <w:t xml:space="preserve">Source link</w:t>
          </w:r>
        </w:hyperlink>
      </w:hyperlink>
    </w:p>
    <w:p>
      <w:pPr>
        <w:numPr>
          <w:ilvl w:val="0"/>
          <w:numId w:val="1002"/>
        </w:numPr>
        <w:pStyle w:val="Compact"/>
      </w:pPr>
      <w:r>
        <w:t xml:space="preserve">SENA Betowa — Marketing Digital presencial:</w:t>
      </w:r>
      <w:r>
        <w:t xml:space="preserve"> </w:t>
      </w:r>
      <w:hyperlink r:id="rId53">
        <w:hyperlink r:id="rId53">
          <w:r>
            <w:rPr>
              <w:rStyle w:val="Hyperlink"/>
            </w:rPr>
            <w:t xml:space="preserve">Source link</w:t>
          </w:r>
        </w:hyperlink>
      </w:hyperlink>
    </w:p>
    <w:p>
      <w:pPr>
        <w:numPr>
          <w:ilvl w:val="0"/>
          <w:numId w:val="1002"/>
        </w:numPr>
        <w:pStyle w:val="Compact"/>
      </w:pPr>
      <w:r>
        <w:t xml:space="preserve">OIT/Cinterfor:</w:t>
      </w:r>
      <w:r>
        <w:t xml:space="preserve"> </w:t>
      </w:r>
      <w:hyperlink r:id="rId55">
        <w:r>
          <w:rPr>
            <w:rStyle w:val="Hyperlink"/>
          </w:rPr>
          <w:t xml:space="preserve">https://www.oitcinterfor.org/</w:t>
        </w:r>
      </w:hyperlink>
    </w:p>
    <w:p>
      <w:pPr>
        <w:numPr>
          <w:ilvl w:val="0"/>
          <w:numId w:val="1002"/>
        </w:numPr>
        <w:pStyle w:val="Compact"/>
      </w:pPr>
      <w:r>
        <w:t xml:space="preserve">OIT/Cinterfor recursos por país:</w:t>
      </w:r>
      <w:r>
        <w:t xml:space="preserve"> </w:t>
      </w:r>
      <w:hyperlink r:id="rId56">
        <w:r>
          <w:rPr>
            <w:rStyle w:val="Hyperlink"/>
          </w:rPr>
          <w:t xml:space="preserve">https://www.oitcinterfor.org/statsfp/paises</w:t>
        </w:r>
      </w:hyperlink>
    </w:p>
    <w:p>
      <w:pPr>
        <w:pStyle w:val="FirstParagraph"/>
      </w:pPr>
      <w:r>
        <w:t xml:space="preserve">Estimativas atuais não governamentais:</w:t>
      </w:r>
    </w:p>
    <w:p>
      <w:pPr>
        <w:numPr>
          <w:ilvl w:val="0"/>
          <w:numId w:val="1003"/>
        </w:numPr>
        <w:pStyle w:val="Compact"/>
      </w:pPr>
      <w:r>
        <w:t xml:space="preserve">Indeed U.S. Marketing Coordinator salary estimate:</w:t>
      </w:r>
      <w:r>
        <w:t xml:space="preserve"> </w:t>
      </w:r>
      <w:hyperlink r:id="rId77">
        <w:hyperlink r:id="rId77">
          <w:r>
            <w:rPr>
              <w:rStyle w:val="Hyperlink"/>
            </w:rPr>
            <w:t xml:space="preserve">Source link</w:t>
          </w:r>
        </w:hyperlink>
      </w:hyperlink>
    </w:p>
    <w:p>
      <w:pPr>
        <w:numPr>
          <w:ilvl w:val="0"/>
          <w:numId w:val="1003"/>
        </w:numPr>
        <w:pStyle w:val="Compact"/>
      </w:pPr>
      <w:r>
        <w:t xml:space="preserve">Indeed Colombia Coordinador/a de mercadotecnia salary estimate:</w:t>
      </w:r>
      <w:r>
        <w:t xml:space="preserve"> </w:t>
      </w:r>
      <w:hyperlink r:id="rId78">
        <w:hyperlink r:id="rId78">
          <w:r>
            <w:rPr>
              <w:rStyle w:val="Hyperlink"/>
            </w:rPr>
            <w:t xml:space="preserve">Source link</w:t>
          </w:r>
        </w:hyperlink>
      </w:hyperlink>
    </w:p>
    <w:bookmarkEnd w:id="79"/>
    <w:bookmarkStart w:id="80" w:name="aviso-importante"/>
    <w:p>
      <w:pPr>
        <w:pStyle w:val="Heading2"/>
      </w:pPr>
      <w:r>
        <w:t xml:space="preserve">Aviso importante</w:t>
      </w:r>
    </w:p>
    <w:p>
      <w:pPr>
        <w:pStyle w:val="FirstParagraph"/>
      </w:pPr>
      <w:r>
        <w:t xml:space="preserve">Este guia é material educacional de planejamento de carreira. Não garante emprego, renda, financiamento, admissão, certificação, colocação em aprendizagem, promoção nem conformidade legal. Remuneração, expectativas educacionais, regras de plataforma, privacidade, acessibilidade, publicidade e práticas de empregadores variam por jurisdição e mudam com o tempo. Verifique decisões consequenciais em fontes oficiais atuais e, quando apropriado, com profissionais qualificados.</w:t>
      </w:r>
    </w:p>
    <w:p>
      <w:pPr>
        <w:pStyle w:val="BodyText"/>
      </w:pPr>
      <w:r>
        <w:t xml:space="preserve">Esta revisão controlada não reivindica certificação humana independente, tradução profissional certificada, revisão jurídica, certificação de acessibilidade ou acreditação, salvo documentação separada.</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betowa.sena.edu.co/oferta/marketing-digital?modality=P&amp;offertype=open&amp;programId=142014" TargetMode="External" /><Relationship Type="http://schemas.openxmlformats.org/officeDocument/2006/relationships/hyperlink" Id="rId52" Target="https://betowa.sena.edu.co/oferta/marketing-digital?modality=V&amp;programId=155939" TargetMode="External" /><Relationship Type="http://schemas.openxmlformats.org/officeDocument/2006/relationships/hyperlink" Id="rId78" Target="https://co.indeed.com/career/coordinador-de-mercadotecnia/salaries" TargetMode="External" /><Relationship Type="http://schemas.openxmlformats.org/officeDocument/2006/relationships/hyperlink" Id="rId76" Target="https://ocupacol.mintrabajo.gov.co/Profile/OccupationalProfile/24311" TargetMode="External" /><Relationship Type="http://schemas.openxmlformats.org/officeDocument/2006/relationships/hyperlink" Id="rId75" Target="https://ocupacol.mintrabajo.gov.co/Profile/OccupationalProfile/24312" TargetMode="External" /><Relationship Type="http://schemas.openxmlformats.org/officeDocument/2006/relationships/hyperlink" Id="rId73" Target="https://www.bls.gov/ooh/business-and-financial/market-research-analysts.htm" TargetMode="External" /><Relationship Type="http://schemas.openxmlformats.org/officeDocument/2006/relationships/hyperlink" Id="rId49" Target="https://www.canada.ca/en/services/jobs/training.html" TargetMode="External" /><Relationship Type="http://schemas.openxmlformats.org/officeDocument/2006/relationships/hyperlink" Id="rId50" Target="https://www.canada.ca/en/services/jobs/training/initiatives/skills-success.html" TargetMode="External" /><Relationship Type="http://schemas.openxmlformats.org/officeDocument/2006/relationships/hyperlink" Id="rId47" Target="https://www.careeronestop.org/LocalHelp/EmploymentAndTraining/find-WIOA-training-programs.aspx" TargetMode="External" /><Relationship Type="http://schemas.openxmlformats.org/officeDocument/2006/relationships/hyperlink" Id="rId77" Target="https://www.indeed.com/career/marketing-coordinator/salaries" TargetMode="External" /><Relationship Type="http://schemas.openxmlformats.org/officeDocument/2006/relationships/hyperlink" Id="rId74" Target="https://www.jobbank.gc.ca/marketreport/wages-occupation/27114/ca" TargetMode="External" /><Relationship Type="http://schemas.openxmlformats.org/officeDocument/2006/relationships/hyperlink" Id="rId55" Target="https://www.oitcinterfor.org/" TargetMode="External" /><Relationship Type="http://schemas.openxmlformats.org/officeDocument/2006/relationships/hyperlink" Id="rId56" Target="https://www.oitcinterfor.org/statsfp/paises" TargetMode="External" /><Relationship Type="http://schemas.openxmlformats.org/officeDocument/2006/relationships/hyperlink" Id="rId71" Target="https://www.onetonline.org/link/details/13-1161.00" TargetMode="External" /><Relationship Type="http://schemas.openxmlformats.org/officeDocument/2006/relationships/hyperlink" Id="rId72" Target="https://www.onetonline.org/link/localwages/13-1161.00" TargetMode="External" /></Relationships>
</file>

<file path=word/_rels/footnotes.xml.rels><?xml version="1.0" encoding="UTF-8"?><Relationships xmlns="http://schemas.openxmlformats.org/package/2006/relationships"><Relationship Type="http://schemas.openxmlformats.org/officeDocument/2006/relationships/hyperlink" Id="rId53" Target="https://betowa.sena.edu.co/oferta/marketing-digital?modality=P&amp;offertype=open&amp;programId=142014" TargetMode="External" /><Relationship Type="http://schemas.openxmlformats.org/officeDocument/2006/relationships/hyperlink" Id="rId52" Target="https://betowa.sena.edu.co/oferta/marketing-digital?modality=V&amp;programId=155939" TargetMode="External" /><Relationship Type="http://schemas.openxmlformats.org/officeDocument/2006/relationships/hyperlink" Id="rId78" Target="https://co.indeed.com/career/coordinador-de-mercadotecnia/salaries" TargetMode="External" /><Relationship Type="http://schemas.openxmlformats.org/officeDocument/2006/relationships/hyperlink" Id="rId76" Target="https://ocupacol.mintrabajo.gov.co/Profile/OccupationalProfile/24311" TargetMode="External" /><Relationship Type="http://schemas.openxmlformats.org/officeDocument/2006/relationships/hyperlink" Id="rId75" Target="https://ocupacol.mintrabajo.gov.co/Profile/OccupationalProfile/24312" TargetMode="External" /><Relationship Type="http://schemas.openxmlformats.org/officeDocument/2006/relationships/hyperlink" Id="rId73" Target="https://www.bls.gov/ooh/business-and-financial/market-research-analysts.htm" TargetMode="External" /><Relationship Type="http://schemas.openxmlformats.org/officeDocument/2006/relationships/hyperlink" Id="rId49" Target="https://www.canada.ca/en/services/jobs/training.html" TargetMode="External" /><Relationship Type="http://schemas.openxmlformats.org/officeDocument/2006/relationships/hyperlink" Id="rId50" Target="https://www.canada.ca/en/services/jobs/training/initiatives/skills-success.html" TargetMode="External" /><Relationship Type="http://schemas.openxmlformats.org/officeDocument/2006/relationships/hyperlink" Id="rId47" Target="https://www.careeronestop.org/LocalHelp/EmploymentAndTraining/find-WIOA-training-programs.aspx" TargetMode="External" /><Relationship Type="http://schemas.openxmlformats.org/officeDocument/2006/relationships/hyperlink" Id="rId77" Target="https://www.indeed.com/career/marketing-coordinator/salaries" TargetMode="External" /><Relationship Type="http://schemas.openxmlformats.org/officeDocument/2006/relationships/hyperlink" Id="rId74" Target="https://www.jobbank.gc.ca/marketreport/wages-occupation/27114/ca" TargetMode="External" /><Relationship Type="http://schemas.openxmlformats.org/officeDocument/2006/relationships/hyperlink" Id="rId55" Target="https://www.oitcinterfor.org/" TargetMode="External" /><Relationship Type="http://schemas.openxmlformats.org/officeDocument/2006/relationships/hyperlink" Id="rId56" Target="https://www.oitcinterfor.org/statsfp/paises" TargetMode="External" /><Relationship Type="http://schemas.openxmlformats.org/officeDocument/2006/relationships/hyperlink" Id="rId71" Target="https://www.onetonline.org/link/details/13-1161.00" TargetMode="External" /><Relationship Type="http://schemas.openxmlformats.org/officeDocument/2006/relationships/hyperlink" Id="rId72" Target="https://www.onetonline.org/link/localwages/13-116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2026-08-21T18:57:02Z</dcterms:created>
  <dcterms:modified xsi:type="dcterms:W3CDTF">2026-08-21T18:57:02Z</dcterms:modified>
</cp:coreProperties>
</file>

<file path=docProps/custom.xml><?xml version="1.0" encoding="utf-8"?>
<Properties xmlns="http://schemas.openxmlformats.org/officeDocument/2006/custom-properties" xmlns:vt="http://schemas.openxmlformats.org/officeDocument/2006/docPropsVTypes"/>
</file>