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0f85a2d72d1b9787521959fd5d42dd8293eca48"/>
    <w:p>
      <w:pPr>
        <w:pStyle w:val="Heading1"/>
      </w:pPr>
      <w:r>
        <w:t xml:space="preserve">Lifelong Opportunity Guide 77 — Graphic Designer and Production Artist</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benchmark:</w:t>
      </w:r>
      <w:r>
        <w:t xml:space="preserve"> </w:t>
      </w:r>
      <w:r>
        <w:t xml:space="preserve">O*NET-SOC 27-1024.00 — Graphic Designers</w:t>
      </w:r>
      <w:r>
        <w:br/>
      </w:r>
      <w:r>
        <w:rPr>
          <w:bCs/>
          <w:b/>
        </w:rPr>
        <w:t xml:space="preserve">Canada comparison:</w:t>
      </w:r>
      <w:r>
        <w:t xml:space="preserve"> </w:t>
      </w:r>
      <w:r>
        <w:t xml:space="preserve">NOC 52120 — Graphic designers and illustrators</w:t>
      </w:r>
      <w:r>
        <w:br/>
      </w:r>
      <w:r>
        <w:rPr>
          <w:bCs/>
          <w:b/>
        </w:rPr>
        <w:t xml:space="preserve">Colombia comparison:</w:t>
      </w:r>
      <w:r>
        <w:t xml:space="preserve"> </w:t>
      </w:r>
      <w:r>
        <w:t xml:space="preserve">OCUPACOL graphic-design and production-support profiles aligned to CIUO 2166 / related CNO mappings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Graphic designers and production artists turn communication goals into visual materials that can be produced accurately for print, digital, packaging, advertising, presentations, social media, signs, publications, websites, campaigns, and other channels.</w:t>
      </w:r>
    </w:p>
    <w:p>
      <w:pPr>
        <w:pStyle w:val="BodyText"/>
      </w:pPr>
      <w:r>
        <w:t xml:space="preserve">Titles overlap but are not identical. A</w:t>
      </w:r>
      <w:r>
        <w:t xml:space="preserve"> </w:t>
      </w:r>
      <w:r>
        <w:rPr>
          <w:bCs/>
          <w:b/>
        </w:rPr>
        <w:t xml:space="preserve">graphic designer</w:t>
      </w:r>
      <w:r>
        <w:t xml:space="preserve"> </w:t>
      </w:r>
      <w:r>
        <w:t xml:space="preserve">may spend more time on concept development, layout, typography, visual systems, brand expression, and client communication. A</w:t>
      </w:r>
      <w:r>
        <w:t xml:space="preserve"> </w:t>
      </w:r>
      <w:r>
        <w:rPr>
          <w:bCs/>
          <w:b/>
        </w:rPr>
        <w:t xml:space="preserve">production artist</w:t>
      </w:r>
      <w:r>
        <w:t xml:space="preserve"> </w:t>
      </w:r>
      <w:r>
        <w:t xml:space="preserve">often focuses more heavily on preparing approved concepts for reliable production: resizing, adapting, checking specifications, fixing files, building variants, applying templates, packaging assets, creating print-ready or platform-ready exports, and controlling versions. Some employers combine both responsibilities.</w:t>
      </w:r>
    </w:p>
    <w:p>
      <w:pPr>
        <w:pStyle w:val="BodyText"/>
      </w:pPr>
      <w:r>
        <w:t xml:space="preserve">Related titles can include junior graphic designer, visual designer, marketing designer, prepress artist, production designer, digital production artist, layout artist, artworker, multimedia designer, design assistant, and graphic production specialist. Always read the actual job description because authority, software, media, and production requirements vary.</w:t>
      </w:r>
    </w:p>
    <w:bookmarkEnd w:id="20"/>
    <w:bookmarkStart w:id="21" w:name="why-this-role-can-be-an-opportunity"/>
    <w:p>
      <w:pPr>
        <w:pStyle w:val="Heading2"/>
      </w:pPr>
      <w:r>
        <w:t xml:space="preserve">Why this role can be an opportunity</w:t>
      </w:r>
    </w:p>
    <w:p>
      <w:pPr>
        <w:pStyle w:val="FirstParagraph"/>
      </w:pPr>
      <w:r>
        <w:t xml:space="preserve">The work combines creativity with practical execution. Employers value people who can make information understandable, follow specifications, accept feedback, protect files and client information, and deliver accurate final assets on deadline.</w:t>
      </w:r>
    </w:p>
    <w:p>
      <w:pPr>
        <w:pStyle w:val="BodyText"/>
      </w:pPr>
      <w:r>
        <w:t xml:space="preserve">Transferable backgrounds can include marketing, printing, photography, retail signage, office communications, social media support, publishing, web content, customer service, education, hospitality, community organizations, or administrative work.</w:t>
      </w:r>
    </w:p>
    <w:p>
      <w:pPr>
        <w:pStyle w:val="BodyText"/>
      </w:pPr>
      <w:r>
        <w:t xml:space="preserve">A realistic entry path does not require buying every software package or expensive course first. Learners can begin with design fundamentals, low-cost or free tools, controlled practice briefs, supervised projects, and a portfolio that demonstrates process and production quality.</w:t>
      </w:r>
    </w:p>
    <w:bookmarkEnd w:id="21"/>
    <w:bookmarkStart w:id="22" w:name="core-responsibilities"/>
    <w:p>
      <w:pPr>
        <w:pStyle w:val="Heading2"/>
      </w:pPr>
      <w:r>
        <w:t xml:space="preserve">Core responsibilities</w:t>
      </w:r>
    </w:p>
    <w:p>
      <w:pPr>
        <w:pStyle w:val="FirstParagraph"/>
      </w:pPr>
      <w:r>
        <w:t xml:space="preserve">Depending on the employer, a graphic designer or production artist may:</w:t>
      </w:r>
    </w:p>
    <w:p>
      <w:pPr>
        <w:numPr>
          <w:ilvl w:val="0"/>
          <w:numId w:val="1001"/>
        </w:numPr>
        <w:pStyle w:val="Compact"/>
      </w:pPr>
      <w:r>
        <w:t xml:space="preserve">interpret a brief, brand guide, campaign requirement, or production specification;</w:t>
      </w:r>
    </w:p>
    <w:p>
      <w:pPr>
        <w:numPr>
          <w:ilvl w:val="0"/>
          <w:numId w:val="1001"/>
        </w:numPr>
        <w:pStyle w:val="Compact"/>
      </w:pPr>
      <w:r>
        <w:t xml:space="preserve">create or adapt layouts for print and digital formats;</w:t>
      </w:r>
    </w:p>
    <w:p>
      <w:pPr>
        <w:numPr>
          <w:ilvl w:val="0"/>
          <w:numId w:val="1001"/>
        </w:numPr>
        <w:pStyle w:val="Compact"/>
      </w:pPr>
      <w:r>
        <w:t xml:space="preserve">select or apply approved typography, color, imagery, icons, and visual hierarchy;</w:t>
      </w:r>
    </w:p>
    <w:p>
      <w:pPr>
        <w:numPr>
          <w:ilvl w:val="0"/>
          <w:numId w:val="1001"/>
        </w:numPr>
        <w:pStyle w:val="Compact"/>
      </w:pPr>
      <w:r>
        <w:t xml:space="preserve">resize and reformat approved designs for multiple channels;</w:t>
      </w:r>
    </w:p>
    <w:p>
      <w:pPr>
        <w:numPr>
          <w:ilvl w:val="0"/>
          <w:numId w:val="1001"/>
        </w:numPr>
        <w:pStyle w:val="Compact"/>
      </w:pPr>
      <w:r>
        <w:t xml:space="preserve">prepare vector and raster assets at appropriate dimensions and resolution;</w:t>
      </w:r>
    </w:p>
    <w:p>
      <w:pPr>
        <w:numPr>
          <w:ilvl w:val="0"/>
          <w:numId w:val="1001"/>
        </w:numPr>
        <w:pStyle w:val="Compact"/>
      </w:pPr>
      <w:r>
        <w:t xml:space="preserve">crop, retouch, mask, optimize, or color-correct images within assigned scope;</w:t>
      </w:r>
    </w:p>
    <w:p>
      <w:pPr>
        <w:numPr>
          <w:ilvl w:val="0"/>
          <w:numId w:val="1001"/>
        </w:numPr>
        <w:pStyle w:val="Compact"/>
      </w:pPr>
      <w:r>
        <w:t xml:space="preserve">create print-ready files with appropriate bleeds, margins, color settings, and packaging requirements;</w:t>
      </w:r>
    </w:p>
    <w:p>
      <w:pPr>
        <w:numPr>
          <w:ilvl w:val="0"/>
          <w:numId w:val="1001"/>
        </w:numPr>
        <w:pStyle w:val="Compact"/>
      </w:pPr>
      <w:r>
        <w:t xml:space="preserve">create digital exports that meet platform dimensions, file-size, and format requirements;</w:t>
      </w:r>
    </w:p>
    <w:p>
      <w:pPr>
        <w:numPr>
          <w:ilvl w:val="0"/>
          <w:numId w:val="1001"/>
        </w:numPr>
        <w:pStyle w:val="Compact"/>
      </w:pPr>
      <w:r>
        <w:t xml:space="preserve">check spelling, alignment, spacing, consistency, image quality, and visible artifacts;</w:t>
      </w:r>
    </w:p>
    <w:p>
      <w:pPr>
        <w:numPr>
          <w:ilvl w:val="0"/>
          <w:numId w:val="1001"/>
        </w:numPr>
        <w:pStyle w:val="Compact"/>
      </w:pPr>
      <w:r>
        <w:t xml:space="preserve">maintain templates, libraries, naming conventions, and version history;</w:t>
      </w:r>
    </w:p>
    <w:p>
      <w:pPr>
        <w:numPr>
          <w:ilvl w:val="0"/>
          <w:numId w:val="1001"/>
        </w:numPr>
        <w:pStyle w:val="Compact"/>
      </w:pPr>
      <w:r>
        <w:t xml:space="preserve">manage rounds of feedback and document approvals;</w:t>
      </w:r>
    </w:p>
    <w:p>
      <w:pPr>
        <w:numPr>
          <w:ilvl w:val="0"/>
          <w:numId w:val="1001"/>
        </w:numPr>
        <w:pStyle w:val="Compact"/>
      </w:pPr>
      <w:r>
        <w:t xml:space="preserve">verify that linked assets, fonts, images, and licenses are available for authorized use;</w:t>
      </w:r>
    </w:p>
    <w:p>
      <w:pPr>
        <w:numPr>
          <w:ilvl w:val="0"/>
          <w:numId w:val="1001"/>
        </w:numPr>
        <w:pStyle w:val="Compact"/>
      </w:pPr>
      <w:r>
        <w:t xml:space="preserve">prepare proofs and compare them against approved source material;</w:t>
      </w:r>
    </w:p>
    <w:p>
      <w:pPr>
        <w:numPr>
          <w:ilvl w:val="0"/>
          <w:numId w:val="1001"/>
        </w:numPr>
        <w:pStyle w:val="Compact"/>
      </w:pPr>
      <w:r>
        <w:t xml:space="preserve">support accessible design and accessibility-aware handoff;</w:t>
      </w:r>
    </w:p>
    <w:p>
      <w:pPr>
        <w:numPr>
          <w:ilvl w:val="0"/>
          <w:numId w:val="1001"/>
        </w:numPr>
        <w:pStyle w:val="Compact"/>
      </w:pPr>
      <w:r>
        <w:t xml:space="preserve">coordinate with marketing, communications, printers, web teams, vendors, clients, or project managers;</w:t>
      </w:r>
    </w:p>
    <w:p>
      <w:pPr>
        <w:numPr>
          <w:ilvl w:val="0"/>
          <w:numId w:val="1001"/>
        </w:numPr>
        <w:pStyle w:val="Compact"/>
      </w:pPr>
      <w:r>
        <w:t xml:space="preserve">archive approved source files and finals according to organizational policy.</w:t>
      </w:r>
    </w:p>
    <w:bookmarkEnd w:id="22"/>
    <w:bookmarkStart w:id="26" w:name="Xbac00892f8138febc880aefe42b7beb81db685e"/>
    <w:p>
      <w:pPr>
        <w:pStyle w:val="Heading2"/>
      </w:pPr>
      <w:r>
        <w:t xml:space="preserve">Graphic design, production art, and prepress are different scopes</w:t>
      </w:r>
    </w:p>
    <w:bookmarkStart w:id="23" w:name="graphic-design"/>
    <w:p>
      <w:pPr>
        <w:pStyle w:val="Heading3"/>
      </w:pPr>
      <w:r>
        <w:t xml:space="preserve">Graphic design</w:t>
      </w:r>
    </w:p>
    <w:p>
      <w:pPr>
        <w:pStyle w:val="FirstParagraph"/>
      </w:pPr>
      <w:r>
        <w:t xml:space="preserve">Common emphasis:</w:t>
      </w:r>
    </w:p>
    <w:p>
      <w:pPr>
        <w:numPr>
          <w:ilvl w:val="0"/>
          <w:numId w:val="1002"/>
        </w:numPr>
        <w:pStyle w:val="Compact"/>
      </w:pPr>
      <w:r>
        <w:t xml:space="preserve">concept development;</w:t>
      </w:r>
    </w:p>
    <w:p>
      <w:pPr>
        <w:numPr>
          <w:ilvl w:val="0"/>
          <w:numId w:val="1002"/>
        </w:numPr>
        <w:pStyle w:val="Compact"/>
      </w:pPr>
      <w:r>
        <w:t xml:space="preserve">composition and layout;</w:t>
      </w:r>
    </w:p>
    <w:p>
      <w:pPr>
        <w:numPr>
          <w:ilvl w:val="0"/>
          <w:numId w:val="1002"/>
        </w:numPr>
        <w:pStyle w:val="Compact"/>
      </w:pPr>
      <w:r>
        <w:t xml:space="preserve">typography;</w:t>
      </w:r>
    </w:p>
    <w:p>
      <w:pPr>
        <w:numPr>
          <w:ilvl w:val="0"/>
          <w:numId w:val="1002"/>
        </w:numPr>
        <w:pStyle w:val="Compact"/>
      </w:pPr>
      <w:r>
        <w:t xml:space="preserve">brand expression;</w:t>
      </w:r>
    </w:p>
    <w:p>
      <w:pPr>
        <w:numPr>
          <w:ilvl w:val="0"/>
          <w:numId w:val="1002"/>
        </w:numPr>
        <w:pStyle w:val="Compact"/>
      </w:pPr>
      <w:r>
        <w:t xml:space="preserve">visual storytelling;</w:t>
      </w:r>
    </w:p>
    <w:p>
      <w:pPr>
        <w:numPr>
          <w:ilvl w:val="0"/>
          <w:numId w:val="1002"/>
        </w:numPr>
        <w:pStyle w:val="Compact"/>
      </w:pPr>
      <w:r>
        <w:t xml:space="preserve">design systems;</w:t>
      </w:r>
    </w:p>
    <w:p>
      <w:pPr>
        <w:numPr>
          <w:ilvl w:val="0"/>
          <w:numId w:val="1002"/>
        </w:numPr>
        <w:pStyle w:val="Compact"/>
      </w:pPr>
      <w:r>
        <w:t xml:space="preserve">client/stakeholder presentations;</w:t>
      </w:r>
    </w:p>
    <w:p>
      <w:pPr>
        <w:numPr>
          <w:ilvl w:val="0"/>
          <w:numId w:val="1002"/>
        </w:numPr>
        <w:pStyle w:val="Compact"/>
      </w:pPr>
      <w:r>
        <w:t xml:space="preserve">iterative creative development.</w:t>
      </w:r>
    </w:p>
    <w:bookmarkEnd w:id="23"/>
    <w:bookmarkStart w:id="24" w:name="production-art"/>
    <w:p>
      <w:pPr>
        <w:pStyle w:val="Heading3"/>
      </w:pPr>
      <w:r>
        <w:t xml:space="preserve">Production art</w:t>
      </w:r>
    </w:p>
    <w:p>
      <w:pPr>
        <w:pStyle w:val="FirstParagraph"/>
      </w:pPr>
      <w:r>
        <w:t xml:space="preserve">Common emphasis:</w:t>
      </w:r>
    </w:p>
    <w:p>
      <w:pPr>
        <w:numPr>
          <w:ilvl w:val="0"/>
          <w:numId w:val="1003"/>
        </w:numPr>
        <w:pStyle w:val="Compact"/>
      </w:pPr>
      <w:r>
        <w:t xml:space="preserve">adapting approved concepts;</w:t>
      </w:r>
    </w:p>
    <w:p>
      <w:pPr>
        <w:numPr>
          <w:ilvl w:val="0"/>
          <w:numId w:val="1003"/>
        </w:numPr>
        <w:pStyle w:val="Compact"/>
      </w:pPr>
      <w:r>
        <w:t xml:space="preserve">building many sizes or language versions;</w:t>
      </w:r>
    </w:p>
    <w:p>
      <w:pPr>
        <w:numPr>
          <w:ilvl w:val="0"/>
          <w:numId w:val="1003"/>
        </w:numPr>
        <w:pStyle w:val="Compact"/>
      </w:pPr>
      <w:r>
        <w:t xml:space="preserve">template-based production;</w:t>
      </w:r>
    </w:p>
    <w:p>
      <w:pPr>
        <w:numPr>
          <w:ilvl w:val="0"/>
          <w:numId w:val="1003"/>
        </w:numPr>
        <w:pStyle w:val="Compact"/>
      </w:pPr>
      <w:r>
        <w:t xml:space="preserve">exact specification compliance;</w:t>
      </w:r>
    </w:p>
    <w:p>
      <w:pPr>
        <w:numPr>
          <w:ilvl w:val="0"/>
          <w:numId w:val="1003"/>
        </w:numPr>
        <w:pStyle w:val="Compact"/>
      </w:pPr>
      <w:r>
        <w:t xml:space="preserve">file cleanup;</w:t>
      </w:r>
    </w:p>
    <w:p>
      <w:pPr>
        <w:numPr>
          <w:ilvl w:val="0"/>
          <w:numId w:val="1003"/>
        </w:numPr>
        <w:pStyle w:val="Compact"/>
      </w:pPr>
      <w:r>
        <w:t xml:space="preserve">packaging assets;</w:t>
      </w:r>
    </w:p>
    <w:p>
      <w:pPr>
        <w:numPr>
          <w:ilvl w:val="0"/>
          <w:numId w:val="1003"/>
        </w:numPr>
        <w:pStyle w:val="Compact"/>
      </w:pPr>
      <w:r>
        <w:t xml:space="preserve">version control;</w:t>
      </w:r>
    </w:p>
    <w:p>
      <w:pPr>
        <w:numPr>
          <w:ilvl w:val="0"/>
          <w:numId w:val="1003"/>
        </w:numPr>
        <w:pStyle w:val="Compact"/>
      </w:pPr>
      <w:r>
        <w:t xml:space="preserve">proofing and final-output checks.</w:t>
      </w:r>
    </w:p>
    <w:bookmarkEnd w:id="24"/>
    <w:bookmarkStart w:id="25" w:name="prepress-or-print-production-support"/>
    <w:p>
      <w:pPr>
        <w:pStyle w:val="Heading3"/>
      </w:pPr>
      <w:r>
        <w:t xml:space="preserve">Prepress or print-production support</w:t>
      </w:r>
    </w:p>
    <w:p>
      <w:pPr>
        <w:pStyle w:val="FirstParagraph"/>
      </w:pPr>
      <w:r>
        <w:t xml:space="preserve">Common emphasis:</w:t>
      </w:r>
    </w:p>
    <w:p>
      <w:pPr>
        <w:numPr>
          <w:ilvl w:val="0"/>
          <w:numId w:val="1004"/>
        </w:numPr>
        <w:pStyle w:val="Compact"/>
      </w:pPr>
      <w:r>
        <w:t xml:space="preserve">print specifications;</w:t>
      </w:r>
    </w:p>
    <w:p>
      <w:pPr>
        <w:numPr>
          <w:ilvl w:val="0"/>
          <w:numId w:val="1004"/>
        </w:numPr>
        <w:pStyle w:val="Compact"/>
      </w:pPr>
      <w:r>
        <w:t xml:space="preserve">bleed, trim, crop, and safe areas;</w:t>
      </w:r>
    </w:p>
    <w:p>
      <w:pPr>
        <w:numPr>
          <w:ilvl w:val="0"/>
          <w:numId w:val="1004"/>
        </w:numPr>
        <w:pStyle w:val="Compact"/>
      </w:pPr>
      <w:r>
        <w:t xml:space="preserve">color-space and separation requirements;</w:t>
      </w:r>
    </w:p>
    <w:p>
      <w:pPr>
        <w:numPr>
          <w:ilvl w:val="0"/>
          <w:numId w:val="1004"/>
        </w:numPr>
        <w:pStyle w:val="Compact"/>
      </w:pPr>
      <w:r>
        <w:t xml:space="preserve">image resolution;</w:t>
      </w:r>
    </w:p>
    <w:p>
      <w:pPr>
        <w:numPr>
          <w:ilvl w:val="0"/>
          <w:numId w:val="1004"/>
        </w:numPr>
        <w:pStyle w:val="Compact"/>
      </w:pPr>
      <w:r>
        <w:t xml:space="preserve">fonts and linked assets;</w:t>
      </w:r>
    </w:p>
    <w:p>
      <w:pPr>
        <w:numPr>
          <w:ilvl w:val="0"/>
          <w:numId w:val="1004"/>
        </w:numPr>
        <w:pStyle w:val="Compact"/>
      </w:pPr>
      <w:r>
        <w:t xml:space="preserve">trapping or printer-specific requirements where applicable;</w:t>
      </w:r>
    </w:p>
    <w:p>
      <w:pPr>
        <w:numPr>
          <w:ilvl w:val="0"/>
          <w:numId w:val="1004"/>
        </w:numPr>
        <w:pStyle w:val="Compact"/>
      </w:pPr>
      <w:r>
        <w:t xml:space="preserve">proof review and vendor handoff.</w:t>
      </w:r>
    </w:p>
    <w:p>
      <w:pPr>
        <w:pStyle w:val="FirstParagraph"/>
      </w:pPr>
      <w:r>
        <w:t xml:space="preserve">These distinctions are practical, not universal. Employers may combine or rename them.</w:t>
      </w:r>
    </w:p>
    <w:bookmarkEnd w:id="25"/>
    <w:bookmarkEnd w:id="26"/>
    <w:bookmarkStart w:id="30" w:name="skills-employers-value"/>
    <w:p>
      <w:pPr>
        <w:pStyle w:val="Heading2"/>
      </w:pPr>
      <w:r>
        <w:t xml:space="preserve">Skills employers value</w:t>
      </w:r>
    </w:p>
    <w:bookmarkStart w:id="27" w:name="design-fundamentals"/>
    <w:p>
      <w:pPr>
        <w:pStyle w:val="Heading3"/>
      </w:pPr>
      <w:r>
        <w:t xml:space="preserve">Design fundamentals</w:t>
      </w:r>
    </w:p>
    <w:p>
      <w:pPr>
        <w:numPr>
          <w:ilvl w:val="0"/>
          <w:numId w:val="1005"/>
        </w:numPr>
        <w:pStyle w:val="Compact"/>
      </w:pPr>
      <w:r>
        <w:t xml:space="preserve">visual hierarchy;</w:t>
      </w:r>
    </w:p>
    <w:p>
      <w:pPr>
        <w:numPr>
          <w:ilvl w:val="0"/>
          <w:numId w:val="1005"/>
        </w:numPr>
        <w:pStyle w:val="Compact"/>
      </w:pPr>
      <w:r>
        <w:t xml:space="preserve">alignment and spacing;</w:t>
      </w:r>
    </w:p>
    <w:p>
      <w:pPr>
        <w:numPr>
          <w:ilvl w:val="0"/>
          <w:numId w:val="1005"/>
        </w:numPr>
        <w:pStyle w:val="Compact"/>
      </w:pPr>
      <w:r>
        <w:t xml:space="preserve">composition;</w:t>
      </w:r>
    </w:p>
    <w:p>
      <w:pPr>
        <w:numPr>
          <w:ilvl w:val="0"/>
          <w:numId w:val="1005"/>
        </w:numPr>
        <w:pStyle w:val="Compact"/>
      </w:pPr>
      <w:r>
        <w:t xml:space="preserve">typography;</w:t>
      </w:r>
    </w:p>
    <w:p>
      <w:pPr>
        <w:numPr>
          <w:ilvl w:val="0"/>
          <w:numId w:val="1005"/>
        </w:numPr>
        <w:pStyle w:val="Compact"/>
      </w:pPr>
      <w:r>
        <w:t xml:space="preserve">color theory;</w:t>
      </w:r>
    </w:p>
    <w:p>
      <w:pPr>
        <w:numPr>
          <w:ilvl w:val="0"/>
          <w:numId w:val="1005"/>
        </w:numPr>
        <w:pStyle w:val="Compact"/>
      </w:pPr>
      <w:r>
        <w:t xml:space="preserve">grids and layout systems;</w:t>
      </w:r>
    </w:p>
    <w:p>
      <w:pPr>
        <w:numPr>
          <w:ilvl w:val="0"/>
          <w:numId w:val="1005"/>
        </w:numPr>
        <w:pStyle w:val="Compact"/>
      </w:pPr>
      <w:r>
        <w:t xml:space="preserve">image selection and cropping;</w:t>
      </w:r>
    </w:p>
    <w:p>
      <w:pPr>
        <w:numPr>
          <w:ilvl w:val="0"/>
          <w:numId w:val="1005"/>
        </w:numPr>
        <w:pStyle w:val="Compact"/>
      </w:pPr>
      <w:r>
        <w:t xml:space="preserve">brand consistency;</w:t>
      </w:r>
    </w:p>
    <w:p>
      <w:pPr>
        <w:numPr>
          <w:ilvl w:val="0"/>
          <w:numId w:val="1005"/>
        </w:numPr>
        <w:pStyle w:val="Compact"/>
      </w:pPr>
      <w:r>
        <w:t xml:space="preserve">information clarity;</w:t>
      </w:r>
    </w:p>
    <w:p>
      <w:pPr>
        <w:numPr>
          <w:ilvl w:val="0"/>
          <w:numId w:val="1005"/>
        </w:numPr>
        <w:pStyle w:val="Compact"/>
      </w:pPr>
      <w:r>
        <w:t xml:space="preserve">basic accessibility awareness.</w:t>
      </w:r>
    </w:p>
    <w:bookmarkEnd w:id="27"/>
    <w:bookmarkStart w:id="28" w:name="production-fundamentals"/>
    <w:p>
      <w:pPr>
        <w:pStyle w:val="Heading3"/>
      </w:pPr>
      <w:r>
        <w:t xml:space="preserve">Production fundamentals</w:t>
      </w:r>
    </w:p>
    <w:p>
      <w:pPr>
        <w:numPr>
          <w:ilvl w:val="0"/>
          <w:numId w:val="1006"/>
        </w:numPr>
        <w:pStyle w:val="Compact"/>
      </w:pPr>
      <w:r>
        <w:t xml:space="preserve">vector versus raster concepts;</w:t>
      </w:r>
    </w:p>
    <w:p>
      <w:pPr>
        <w:numPr>
          <w:ilvl w:val="0"/>
          <w:numId w:val="1006"/>
        </w:numPr>
        <w:pStyle w:val="Compact"/>
      </w:pPr>
      <w:r>
        <w:t xml:space="preserve">common file formats such as PDF, SVG, PNG, JPEG, TIFF, and native working files;</w:t>
      </w:r>
    </w:p>
    <w:p>
      <w:pPr>
        <w:numPr>
          <w:ilvl w:val="0"/>
          <w:numId w:val="1006"/>
        </w:numPr>
        <w:pStyle w:val="Compact"/>
      </w:pPr>
      <w:r>
        <w:t xml:space="preserve">resolution and output size;</w:t>
      </w:r>
    </w:p>
    <w:p>
      <w:pPr>
        <w:numPr>
          <w:ilvl w:val="0"/>
          <w:numId w:val="1006"/>
        </w:numPr>
        <w:pStyle w:val="Compact"/>
      </w:pPr>
      <w:r>
        <w:t xml:space="preserve">print versus screen color considerations;</w:t>
      </w:r>
    </w:p>
    <w:p>
      <w:pPr>
        <w:numPr>
          <w:ilvl w:val="0"/>
          <w:numId w:val="1006"/>
        </w:numPr>
        <w:pStyle w:val="Compact"/>
      </w:pPr>
      <w:r>
        <w:t xml:space="preserve">bleed, trim, margins, and safe areas;</w:t>
      </w:r>
    </w:p>
    <w:p>
      <w:pPr>
        <w:numPr>
          <w:ilvl w:val="0"/>
          <w:numId w:val="1006"/>
        </w:numPr>
        <w:pStyle w:val="Compact"/>
      </w:pPr>
      <w:r>
        <w:t xml:space="preserve">compression and optimization;</w:t>
      </w:r>
    </w:p>
    <w:p>
      <w:pPr>
        <w:numPr>
          <w:ilvl w:val="0"/>
          <w:numId w:val="1006"/>
        </w:numPr>
        <w:pStyle w:val="Compact"/>
      </w:pPr>
      <w:r>
        <w:t xml:space="preserve">linked assets and fonts;</w:t>
      </w:r>
    </w:p>
    <w:p>
      <w:pPr>
        <w:numPr>
          <w:ilvl w:val="0"/>
          <w:numId w:val="1006"/>
        </w:numPr>
        <w:pStyle w:val="Compact"/>
      </w:pPr>
      <w:r>
        <w:t xml:space="preserve">naming conventions;</w:t>
      </w:r>
    </w:p>
    <w:p>
      <w:pPr>
        <w:numPr>
          <w:ilvl w:val="0"/>
          <w:numId w:val="1006"/>
        </w:numPr>
        <w:pStyle w:val="Compact"/>
      </w:pPr>
      <w:r>
        <w:t xml:space="preserve">version control;</w:t>
      </w:r>
    </w:p>
    <w:p>
      <w:pPr>
        <w:numPr>
          <w:ilvl w:val="0"/>
          <w:numId w:val="1006"/>
        </w:numPr>
        <w:pStyle w:val="Compact"/>
      </w:pPr>
      <w:r>
        <w:t xml:space="preserve">proofing and approval records.</w:t>
      </w:r>
    </w:p>
    <w:bookmarkEnd w:id="28"/>
    <w:bookmarkStart w:id="29" w:name="professional-skills"/>
    <w:p>
      <w:pPr>
        <w:pStyle w:val="Heading3"/>
      </w:pPr>
      <w:r>
        <w:t xml:space="preserve">Professional skills</w:t>
      </w:r>
    </w:p>
    <w:p>
      <w:pPr>
        <w:numPr>
          <w:ilvl w:val="0"/>
          <w:numId w:val="1007"/>
        </w:numPr>
        <w:pStyle w:val="Compact"/>
      </w:pPr>
      <w:r>
        <w:t xml:space="preserve">listening to the brief;</w:t>
      </w:r>
    </w:p>
    <w:p>
      <w:pPr>
        <w:numPr>
          <w:ilvl w:val="0"/>
          <w:numId w:val="1007"/>
        </w:numPr>
        <w:pStyle w:val="Compact"/>
      </w:pPr>
      <w:r>
        <w:t xml:space="preserve">asking precise questions;</w:t>
      </w:r>
    </w:p>
    <w:p>
      <w:pPr>
        <w:numPr>
          <w:ilvl w:val="0"/>
          <w:numId w:val="1007"/>
        </w:numPr>
        <w:pStyle w:val="Compact"/>
      </w:pPr>
      <w:r>
        <w:t xml:space="preserve">handling feedback without losing requirements;</w:t>
      </w:r>
    </w:p>
    <w:p>
      <w:pPr>
        <w:numPr>
          <w:ilvl w:val="0"/>
          <w:numId w:val="1007"/>
        </w:numPr>
        <w:pStyle w:val="Compact"/>
      </w:pPr>
      <w:r>
        <w:t xml:space="preserve">deadline management;</w:t>
      </w:r>
    </w:p>
    <w:p>
      <w:pPr>
        <w:numPr>
          <w:ilvl w:val="0"/>
          <w:numId w:val="1007"/>
        </w:numPr>
        <w:pStyle w:val="Compact"/>
      </w:pPr>
      <w:r>
        <w:t xml:space="preserve">estimating effort;</w:t>
      </w:r>
    </w:p>
    <w:p>
      <w:pPr>
        <w:numPr>
          <w:ilvl w:val="0"/>
          <w:numId w:val="1007"/>
        </w:numPr>
        <w:pStyle w:val="Compact"/>
      </w:pPr>
      <w:r>
        <w:t xml:space="preserve">documenting changes;</w:t>
      </w:r>
    </w:p>
    <w:p>
      <w:pPr>
        <w:numPr>
          <w:ilvl w:val="0"/>
          <w:numId w:val="1007"/>
        </w:numPr>
        <w:pStyle w:val="Compact"/>
      </w:pPr>
      <w:r>
        <w:t xml:space="preserve">collaborating with non-designers;</w:t>
      </w:r>
    </w:p>
    <w:p>
      <w:pPr>
        <w:numPr>
          <w:ilvl w:val="0"/>
          <w:numId w:val="1007"/>
        </w:numPr>
        <w:pStyle w:val="Compact"/>
      </w:pPr>
      <w:r>
        <w:t xml:space="preserve">escalating copyright, accessibility, legal, or brand-policy questions instead of guessing.</w:t>
      </w:r>
    </w:p>
    <w:bookmarkEnd w:id="29"/>
    <w:bookmarkEnd w:id="30"/>
    <w:bookmarkStart w:id="31" w:name="technology"/>
    <w:p>
      <w:pPr>
        <w:pStyle w:val="Heading2"/>
      </w:pPr>
      <w:r>
        <w:t xml:space="preserve">Technology</w:t>
      </w:r>
    </w:p>
    <w:p>
      <w:pPr>
        <w:pStyle w:val="FirstParagraph"/>
      </w:pPr>
      <w:r>
        <w:t xml:space="preserve">Specific products vary. Employers may use commercial or open-source tools for:</w:t>
      </w:r>
    </w:p>
    <w:p>
      <w:pPr>
        <w:numPr>
          <w:ilvl w:val="0"/>
          <w:numId w:val="1008"/>
        </w:numPr>
        <w:pStyle w:val="Compact"/>
      </w:pPr>
      <w:r>
        <w:t xml:space="preserve">vector illustration;</w:t>
      </w:r>
    </w:p>
    <w:p>
      <w:pPr>
        <w:numPr>
          <w:ilvl w:val="0"/>
          <w:numId w:val="1008"/>
        </w:numPr>
        <w:pStyle w:val="Compact"/>
      </w:pPr>
      <w:r>
        <w:t xml:space="preserve">image editing;</w:t>
      </w:r>
    </w:p>
    <w:p>
      <w:pPr>
        <w:numPr>
          <w:ilvl w:val="0"/>
          <w:numId w:val="1008"/>
        </w:numPr>
        <w:pStyle w:val="Compact"/>
      </w:pPr>
      <w:r>
        <w:t xml:space="preserve">page layout;</w:t>
      </w:r>
    </w:p>
    <w:p>
      <w:pPr>
        <w:numPr>
          <w:ilvl w:val="0"/>
          <w:numId w:val="1008"/>
        </w:numPr>
        <w:pStyle w:val="Compact"/>
      </w:pPr>
      <w:r>
        <w:t xml:space="preserve">presentations;</w:t>
      </w:r>
    </w:p>
    <w:p>
      <w:pPr>
        <w:numPr>
          <w:ilvl w:val="0"/>
          <w:numId w:val="1008"/>
        </w:numPr>
        <w:pStyle w:val="Compact"/>
      </w:pPr>
      <w:r>
        <w:t xml:space="preserve">web and interface design;</w:t>
      </w:r>
    </w:p>
    <w:p>
      <w:pPr>
        <w:numPr>
          <w:ilvl w:val="0"/>
          <w:numId w:val="1008"/>
        </w:numPr>
        <w:pStyle w:val="Compact"/>
      </w:pPr>
      <w:r>
        <w:t xml:space="preserve">digital asset management;</w:t>
      </w:r>
    </w:p>
    <w:p>
      <w:pPr>
        <w:numPr>
          <w:ilvl w:val="0"/>
          <w:numId w:val="1008"/>
        </w:numPr>
        <w:pStyle w:val="Compact"/>
      </w:pPr>
      <w:r>
        <w:t xml:space="preserve">project management;</w:t>
      </w:r>
    </w:p>
    <w:p>
      <w:pPr>
        <w:numPr>
          <w:ilvl w:val="0"/>
          <w:numId w:val="1008"/>
        </w:numPr>
        <w:pStyle w:val="Compact"/>
      </w:pPr>
      <w:r>
        <w:t xml:space="preserve">proofing and annotation;</w:t>
      </w:r>
    </w:p>
    <w:p>
      <w:pPr>
        <w:numPr>
          <w:ilvl w:val="0"/>
          <w:numId w:val="1008"/>
        </w:numPr>
        <w:pStyle w:val="Compact"/>
      </w:pPr>
      <w:r>
        <w:t xml:space="preserve">cloud file sharing;</w:t>
      </w:r>
    </w:p>
    <w:p>
      <w:pPr>
        <w:numPr>
          <w:ilvl w:val="0"/>
          <w:numId w:val="1008"/>
        </w:numPr>
        <w:pStyle w:val="Compact"/>
      </w:pPr>
      <w:r>
        <w:t xml:space="preserve">font management;</w:t>
      </w:r>
    </w:p>
    <w:p>
      <w:pPr>
        <w:numPr>
          <w:ilvl w:val="0"/>
          <w:numId w:val="1008"/>
        </w:numPr>
        <w:pStyle w:val="Compact"/>
      </w:pPr>
      <w:r>
        <w:t xml:space="preserve">collaborative whiteboarding;</w:t>
      </w:r>
    </w:p>
    <w:p>
      <w:pPr>
        <w:numPr>
          <w:ilvl w:val="0"/>
          <w:numId w:val="1008"/>
        </w:numPr>
        <w:pStyle w:val="Compact"/>
      </w:pPr>
      <w:r>
        <w:t xml:space="preserve">approved generative-AI assistance.</w:t>
      </w:r>
    </w:p>
    <w:p>
      <w:pPr>
        <w:pStyle w:val="FirstParagraph"/>
      </w:pPr>
      <w:r>
        <w:t xml:space="preserve">Transferable concepts matter more than memorizing one product. Learn how layers, masks, artboards/pages, typography, color, linked assets, export settings, file packaging, permissions, and version history work.</w:t>
      </w:r>
    </w:p>
    <w:bookmarkEnd w:id="31"/>
    <w:bookmarkStart w:id="32" w:name="accessibility-aware-design"/>
    <w:p>
      <w:pPr>
        <w:pStyle w:val="Heading2"/>
      </w:pPr>
      <w:r>
        <w:t xml:space="preserve">Accessibility-aware design</w:t>
      </w:r>
    </w:p>
    <w:p>
      <w:pPr>
        <w:pStyle w:val="FirstParagraph"/>
      </w:pPr>
      <w:r>
        <w:t xml:space="preserve">Accessibility should be considered during design, not only after production.</w:t>
      </w:r>
    </w:p>
    <w:p>
      <w:pPr>
        <w:pStyle w:val="BodyText"/>
      </w:pPr>
      <w:r>
        <w:t xml:space="preserve">WCAG 2.2 includes contrast requirements relevant to digital design. In common cases, normal text should meet at least</w:t>
      </w:r>
      <w:r>
        <w:t xml:space="preserve"> </w:t>
      </w:r>
      <w:r>
        <w:rPr>
          <w:bCs/>
          <w:b/>
        </w:rPr>
        <w:t xml:space="preserve">4.5:1</w:t>
      </w:r>
      <w:r>
        <w:t xml:space="preserve"> </w:t>
      </w:r>
      <w:r>
        <w:t xml:space="preserve">contrast and large text at least</w:t>
      </w:r>
      <w:r>
        <w:t xml:space="preserve"> </w:t>
      </w:r>
      <w:r>
        <w:rPr>
          <w:bCs/>
          <w:b/>
        </w:rPr>
        <w:t xml:space="preserve">3:1</w:t>
      </w:r>
      <w:r>
        <w:t xml:space="preserve">, subject to WCAG exceptions. Meaningful graphical objects and user-interface components commonly require</w:t>
      </w:r>
      <w:r>
        <w:t xml:space="preserve"> </w:t>
      </w:r>
      <w:r>
        <w:rPr>
          <w:bCs/>
          <w:b/>
        </w:rPr>
        <w:t xml:space="preserve">3:1</w:t>
      </w:r>
      <w:r>
        <w:t xml:space="preserve"> </w:t>
      </w:r>
      <w:r>
        <w:t xml:space="preserve">contrast against adjacent colors under SC 1.4.11, subject to exceptions.</w:t>
      </w:r>
    </w:p>
    <w:p>
      <w:pPr>
        <w:pStyle w:val="BodyText"/>
      </w:pPr>
      <w:r>
        <w:t xml:space="preserve">Good practice includes:</w:t>
      </w:r>
    </w:p>
    <w:p>
      <w:pPr>
        <w:numPr>
          <w:ilvl w:val="0"/>
          <w:numId w:val="1009"/>
        </w:numPr>
        <w:pStyle w:val="Compact"/>
      </w:pPr>
      <w:r>
        <w:t xml:space="preserve">do not rely on color alone to communicate meaning;</w:t>
      </w:r>
    </w:p>
    <w:p>
      <w:pPr>
        <w:numPr>
          <w:ilvl w:val="0"/>
          <w:numId w:val="1009"/>
        </w:numPr>
        <w:pStyle w:val="Compact"/>
      </w:pPr>
      <w:r>
        <w:t xml:space="preserve">use readable type sizes and spacing appropriate to the medium;</w:t>
      </w:r>
    </w:p>
    <w:p>
      <w:pPr>
        <w:numPr>
          <w:ilvl w:val="0"/>
          <w:numId w:val="1009"/>
        </w:numPr>
        <w:pStyle w:val="Compact"/>
      </w:pPr>
      <w:r>
        <w:t xml:space="preserve">maintain sufficient text/background contrast;</w:t>
      </w:r>
    </w:p>
    <w:p>
      <w:pPr>
        <w:numPr>
          <w:ilvl w:val="0"/>
          <w:numId w:val="1009"/>
        </w:numPr>
        <w:pStyle w:val="Compact"/>
      </w:pPr>
      <w:r>
        <w:t xml:space="preserve">avoid placing essential text inside images when real text can provide the same communication;</w:t>
      </w:r>
    </w:p>
    <w:p>
      <w:pPr>
        <w:numPr>
          <w:ilvl w:val="0"/>
          <w:numId w:val="1009"/>
        </w:numPr>
        <w:pStyle w:val="Compact"/>
      </w:pPr>
      <w:r>
        <w:t xml:space="preserve">preserve reading order and heading structure when handing off documents or web content;</w:t>
      </w:r>
    </w:p>
    <w:p>
      <w:pPr>
        <w:numPr>
          <w:ilvl w:val="0"/>
          <w:numId w:val="1009"/>
        </w:numPr>
        <w:pStyle w:val="Compact"/>
      </w:pPr>
      <w:r>
        <w:t xml:space="preserve">provide meaningful alt-text guidance or asset descriptions to the team responsible for implementation;</w:t>
      </w:r>
    </w:p>
    <w:p>
      <w:pPr>
        <w:numPr>
          <w:ilvl w:val="0"/>
          <w:numId w:val="1009"/>
        </w:numPr>
        <w:pStyle w:val="Compact"/>
      </w:pPr>
      <w:r>
        <w:t xml:space="preserve">design charts, diagrams, and instructions so they remain understandable with reduced color perception;</w:t>
      </w:r>
    </w:p>
    <w:p>
      <w:pPr>
        <w:numPr>
          <w:ilvl w:val="0"/>
          <w:numId w:val="1009"/>
        </w:numPr>
        <w:pStyle w:val="Compact"/>
      </w:pPr>
      <w:r>
        <w:t xml:space="preserve">check zoom, reflow, and small-screen use where relevant;</w:t>
      </w:r>
    </w:p>
    <w:p>
      <w:pPr>
        <w:numPr>
          <w:ilvl w:val="0"/>
          <w:numId w:val="1009"/>
        </w:numPr>
        <w:pStyle w:val="Compact"/>
      </w:pPr>
      <w:r>
        <w:t xml:space="preserve">coordinate accessibility requirements with the responsible developer, document specialist, accessibility lead, or client.</w:t>
      </w:r>
    </w:p>
    <w:p>
      <w:pPr>
        <w:pStyle w:val="FirstParagraph"/>
      </w:pPr>
      <w:r>
        <w:t xml:space="preserve">A designer should not claim that a product is WCAG-conformant or legally accessible based only on a visual check. Accessibility depends on implementation, content, interaction, assistive-technology behavior, jurisdiction, and testing.</w:t>
      </w:r>
    </w:p>
    <w:bookmarkEnd w:id="32"/>
    <w:bookmarkStart w:id="33" w:name="X60ee163d06d62c16d590bc8f47cebfd73448d01"/>
    <w:p>
      <w:pPr>
        <w:pStyle w:val="Heading2"/>
      </w:pPr>
      <w:r>
        <w:t xml:space="preserve">Copyright, licensing, trademarks, and releases</w:t>
      </w:r>
    </w:p>
    <w:p>
      <w:pPr>
        <w:pStyle w:val="FirstParagraph"/>
      </w:pPr>
      <w:r>
        <w:t xml:space="preserve">Design work often combines material from multiple sources. Before using an asset, know whether it is:</w:t>
      </w:r>
    </w:p>
    <w:p>
      <w:pPr>
        <w:numPr>
          <w:ilvl w:val="0"/>
          <w:numId w:val="1010"/>
        </w:numPr>
        <w:pStyle w:val="Compact"/>
      </w:pPr>
      <w:r>
        <w:t xml:space="preserve">created by you within your authorized work scope;</w:t>
      </w:r>
    </w:p>
    <w:p>
      <w:pPr>
        <w:numPr>
          <w:ilvl w:val="0"/>
          <w:numId w:val="1010"/>
        </w:numPr>
        <w:pStyle w:val="Compact"/>
      </w:pPr>
      <w:r>
        <w:t xml:space="preserve">supplied by the client or employer;</w:t>
      </w:r>
    </w:p>
    <w:p>
      <w:pPr>
        <w:numPr>
          <w:ilvl w:val="0"/>
          <w:numId w:val="1010"/>
        </w:numPr>
        <w:pStyle w:val="Compact"/>
      </w:pPr>
      <w:r>
        <w:t xml:space="preserve">licensed stock;</w:t>
      </w:r>
    </w:p>
    <w:p>
      <w:pPr>
        <w:numPr>
          <w:ilvl w:val="0"/>
          <w:numId w:val="1010"/>
        </w:numPr>
        <w:pStyle w:val="Compact"/>
      </w:pPr>
      <w:r>
        <w:t xml:space="preserve">public-domain material;</w:t>
      </w:r>
    </w:p>
    <w:p>
      <w:pPr>
        <w:numPr>
          <w:ilvl w:val="0"/>
          <w:numId w:val="1010"/>
        </w:numPr>
        <w:pStyle w:val="Compact"/>
      </w:pPr>
      <w:r>
        <w:t xml:space="preserve">covered by an appropriate open license;</w:t>
      </w:r>
    </w:p>
    <w:p>
      <w:pPr>
        <w:numPr>
          <w:ilvl w:val="0"/>
          <w:numId w:val="1010"/>
        </w:numPr>
        <w:pStyle w:val="Compact"/>
      </w:pPr>
      <w:r>
        <w:t xml:space="preserve">a font with a license that permits the intended use;</w:t>
      </w:r>
    </w:p>
    <w:p>
      <w:pPr>
        <w:numPr>
          <w:ilvl w:val="0"/>
          <w:numId w:val="1010"/>
        </w:numPr>
        <w:pStyle w:val="Compact"/>
      </w:pPr>
      <w:r>
        <w:t xml:space="preserve">a trademark or brand asset subject to rules;</w:t>
      </w:r>
    </w:p>
    <w:p>
      <w:pPr>
        <w:numPr>
          <w:ilvl w:val="0"/>
          <w:numId w:val="1010"/>
        </w:numPr>
        <w:pStyle w:val="Compact"/>
      </w:pPr>
      <w:r>
        <w:t xml:space="preserve">a photograph or likeness that may require permission or a model/property release depending on context.</w:t>
      </w:r>
    </w:p>
    <w:p>
      <w:pPr>
        <w:pStyle w:val="FirstParagraph"/>
      </w:pPr>
      <w:r>
        <w:t xml:space="preserve">Keep source and license records where the organization requires them. Do not assume that finding an image online means it is free to use. Do not remove watermarks, fabricate licenses, or misrepresent authorship.</w:t>
      </w:r>
    </w:p>
    <w:p>
      <w:pPr>
        <w:pStyle w:val="BodyText"/>
      </w:pPr>
      <w:r>
        <w:t xml:space="preserve">Copyright and trademark questions can be legally consequential. When rights are unclear, escalate to the client, employer, rights-management process, procurement team, or qualified legal professional.</w:t>
      </w:r>
    </w:p>
    <w:bookmarkEnd w:id="33"/>
    <w:bookmarkStart w:id="34" w:name="Xe54ffd2cc8d0fb606b1bd8bb090ac205da419e8"/>
    <w:p>
      <w:pPr>
        <w:pStyle w:val="Heading2"/>
      </w:pPr>
      <w:r>
        <w:t xml:space="preserve">Privacy, confidentiality, and cybersecurity</w:t>
      </w:r>
    </w:p>
    <w:p>
      <w:pPr>
        <w:pStyle w:val="FirstParagraph"/>
      </w:pPr>
      <w:r>
        <w:t xml:space="preserve">Design files may contain confidential product information, unreleased campaigns, customer data, employee information, executive details, event schedules, photographs, credentials, or proprietary templates.</w:t>
      </w:r>
    </w:p>
    <w:p>
      <w:pPr>
        <w:pStyle w:val="BodyText"/>
      </w:pPr>
      <w:r>
        <w:t xml:space="preserve">Practical controls include:</w:t>
      </w:r>
    </w:p>
    <w:p>
      <w:pPr>
        <w:numPr>
          <w:ilvl w:val="0"/>
          <w:numId w:val="1011"/>
        </w:numPr>
        <w:pStyle w:val="Compact"/>
      </w:pPr>
      <w:r>
        <w:t xml:space="preserve">use employer/client-approved storage and transfer systems;</w:t>
      </w:r>
    </w:p>
    <w:p>
      <w:pPr>
        <w:numPr>
          <w:ilvl w:val="0"/>
          <w:numId w:val="1011"/>
        </w:numPr>
        <w:pStyle w:val="Compact"/>
      </w:pPr>
      <w:r>
        <w:t xml:space="preserve">enable MFA where available;</w:t>
      </w:r>
    </w:p>
    <w:p>
      <w:pPr>
        <w:numPr>
          <w:ilvl w:val="0"/>
          <w:numId w:val="1011"/>
        </w:numPr>
        <w:pStyle w:val="Compact"/>
      </w:pPr>
      <w:r>
        <w:t xml:space="preserve">use unique passwords or an approved password manager;</w:t>
      </w:r>
    </w:p>
    <w:p>
      <w:pPr>
        <w:numPr>
          <w:ilvl w:val="0"/>
          <w:numId w:val="1011"/>
        </w:numPr>
        <w:pStyle w:val="Compact"/>
      </w:pPr>
      <w:r>
        <w:t xml:space="preserve">verify unexpected requests for credentials, transfers, invoices, or new file-sharing destinations;</w:t>
      </w:r>
    </w:p>
    <w:p>
      <w:pPr>
        <w:numPr>
          <w:ilvl w:val="0"/>
          <w:numId w:val="1011"/>
        </w:numPr>
        <w:pStyle w:val="Compact"/>
      </w:pPr>
      <w:r>
        <w:t xml:space="preserve">restrict shared links to the intended audience;</w:t>
      </w:r>
    </w:p>
    <w:p>
      <w:pPr>
        <w:numPr>
          <w:ilvl w:val="0"/>
          <w:numId w:val="1011"/>
        </w:numPr>
        <w:pStyle w:val="Compact"/>
      </w:pPr>
      <w:r>
        <w:t xml:space="preserve">do not post client work publicly before authorization;</w:t>
      </w:r>
    </w:p>
    <w:p>
      <w:pPr>
        <w:numPr>
          <w:ilvl w:val="0"/>
          <w:numId w:val="1011"/>
        </w:numPr>
        <w:pStyle w:val="Compact"/>
      </w:pPr>
      <w:r>
        <w:t xml:space="preserve">remove access when a project ends if that is part of your role;</w:t>
      </w:r>
    </w:p>
    <w:p>
      <w:pPr>
        <w:numPr>
          <w:ilvl w:val="0"/>
          <w:numId w:val="1011"/>
        </w:numPr>
        <w:pStyle w:val="Compact"/>
      </w:pPr>
      <w:r>
        <w:t xml:space="preserve">avoid personal email or consumer file-sharing services for protected work unless explicitly approved;</w:t>
      </w:r>
    </w:p>
    <w:p>
      <w:pPr>
        <w:numPr>
          <w:ilvl w:val="0"/>
          <w:numId w:val="1011"/>
        </w:numPr>
        <w:pStyle w:val="Compact"/>
      </w:pPr>
      <w:r>
        <w:t xml:space="preserve">report suspected phishing, malware, account compromise, or accidental exposure promptly;</w:t>
      </w:r>
    </w:p>
    <w:p>
      <w:pPr>
        <w:numPr>
          <w:ilvl w:val="0"/>
          <w:numId w:val="1011"/>
        </w:numPr>
        <w:pStyle w:val="Compact"/>
      </w:pPr>
      <w:r>
        <w:t xml:space="preserve">keep software and approved plugins updated according to organizational policy.</w:t>
      </w:r>
    </w:p>
    <w:p>
      <w:pPr>
        <w:pStyle w:val="FirstParagraph"/>
      </w:pPr>
      <w:r>
        <w:t xml:space="preserve">CISA's Secure Our World guidance supports phishing awareness, strong passwords/password managers, MFA, and software updates.</w:t>
      </w:r>
    </w:p>
    <w:bookmarkEnd w:id="34"/>
    <w:bookmarkStart w:id="35" w:name="responsible-use-of-generative-ai"/>
    <w:p>
      <w:pPr>
        <w:pStyle w:val="Heading2"/>
      </w:pPr>
      <w:r>
        <w:t xml:space="preserve">Responsible use of generative AI</w:t>
      </w:r>
    </w:p>
    <w:p>
      <w:pPr>
        <w:pStyle w:val="FirstParagraph"/>
      </w:pPr>
      <w:r>
        <w:t xml:space="preserve">AI can assist with ideation, rough concepts, layout alternatives, first-pass copy, or non-sensitive practice assets when policy permits. It does not remove professional responsibility.</w:t>
      </w:r>
    </w:p>
    <w:p>
      <w:pPr>
        <w:pStyle w:val="BodyText"/>
      </w:pPr>
      <w:r>
        <w:t xml:space="preserve">Before using AI-assisted output, verify:</w:t>
      </w:r>
    </w:p>
    <w:p>
      <w:pPr>
        <w:numPr>
          <w:ilvl w:val="0"/>
          <w:numId w:val="1012"/>
        </w:numPr>
        <w:pStyle w:val="Compact"/>
      </w:pPr>
      <w:r>
        <w:t xml:space="preserve">factual claims;</w:t>
      </w:r>
    </w:p>
    <w:p>
      <w:pPr>
        <w:numPr>
          <w:ilvl w:val="0"/>
          <w:numId w:val="1012"/>
        </w:numPr>
        <w:pStyle w:val="Compact"/>
      </w:pPr>
      <w:r>
        <w:t xml:space="preserve">brand compliance;</w:t>
      </w:r>
    </w:p>
    <w:p>
      <w:pPr>
        <w:numPr>
          <w:ilvl w:val="0"/>
          <w:numId w:val="1012"/>
        </w:numPr>
        <w:pStyle w:val="Compact"/>
      </w:pPr>
      <w:r>
        <w:t xml:space="preserve">client approval;</w:t>
      </w:r>
    </w:p>
    <w:p>
      <w:pPr>
        <w:numPr>
          <w:ilvl w:val="0"/>
          <w:numId w:val="1012"/>
        </w:numPr>
        <w:pStyle w:val="Compact"/>
      </w:pPr>
      <w:r>
        <w:t xml:space="preserve">copyright and licensing implications;</w:t>
      </w:r>
    </w:p>
    <w:p>
      <w:pPr>
        <w:numPr>
          <w:ilvl w:val="0"/>
          <w:numId w:val="1012"/>
        </w:numPr>
        <w:pStyle w:val="Compact"/>
      </w:pPr>
      <w:r>
        <w:t xml:space="preserve">provenance requirements;</w:t>
      </w:r>
    </w:p>
    <w:p>
      <w:pPr>
        <w:numPr>
          <w:ilvl w:val="0"/>
          <w:numId w:val="1012"/>
        </w:numPr>
        <w:pStyle w:val="Compact"/>
      </w:pPr>
      <w:r>
        <w:t xml:space="preserve">identity or likeness concerns;</w:t>
      </w:r>
    </w:p>
    <w:p>
      <w:pPr>
        <w:numPr>
          <w:ilvl w:val="0"/>
          <w:numId w:val="1012"/>
        </w:numPr>
        <w:pStyle w:val="Compact"/>
      </w:pPr>
      <w:r>
        <w:t xml:space="preserve">accessibility;</w:t>
      </w:r>
    </w:p>
    <w:p>
      <w:pPr>
        <w:numPr>
          <w:ilvl w:val="0"/>
          <w:numId w:val="1012"/>
        </w:numPr>
        <w:pStyle w:val="Compact"/>
      </w:pPr>
      <w:r>
        <w:t xml:space="preserve">spelling and embedded text;</w:t>
      </w:r>
    </w:p>
    <w:p>
      <w:pPr>
        <w:numPr>
          <w:ilvl w:val="0"/>
          <w:numId w:val="1012"/>
        </w:numPr>
        <w:pStyle w:val="Compact"/>
      </w:pPr>
      <w:r>
        <w:t xml:space="preserve">visual artifacts;</w:t>
      </w:r>
    </w:p>
    <w:p>
      <w:pPr>
        <w:numPr>
          <w:ilvl w:val="0"/>
          <w:numId w:val="1012"/>
        </w:numPr>
        <w:pStyle w:val="Compact"/>
      </w:pPr>
      <w:r>
        <w:t xml:space="preserve">production specifications;</w:t>
      </w:r>
    </w:p>
    <w:p>
      <w:pPr>
        <w:numPr>
          <w:ilvl w:val="0"/>
          <w:numId w:val="1012"/>
        </w:numPr>
        <w:pStyle w:val="Compact"/>
      </w:pPr>
      <w:r>
        <w:t xml:space="preserve">whether disclosure is required by the employer, client, contract, or platform.</w:t>
      </w:r>
    </w:p>
    <w:p>
      <w:pPr>
        <w:pStyle w:val="FirstParagraph"/>
      </w:pPr>
      <w:r>
        <w:t xml:space="preserve">Do not upload confidential client assets, private contracts, credentials, unreleased product information, personal data, or protected business information into an unapproved AI service.</w:t>
      </w:r>
    </w:p>
    <w:p>
      <w:pPr>
        <w:pStyle w:val="BodyText"/>
      </w:pPr>
      <w:r>
        <w:t xml:space="preserve">NIST's AI Risk Management Framework and Generative AI Profile provide voluntary risk-management guidance. A practical rule for this career is:</w:t>
      </w:r>
      <w:r>
        <w:t xml:space="preserve"> </w:t>
      </w:r>
      <w:r>
        <w:rPr>
          <w:bCs/>
          <w:b/>
        </w:rPr>
        <w:t xml:space="preserve">AI may assist the process, but an authorized human must verify the final work and its rights, facts, accessibility, and production readiness.</w:t>
      </w:r>
    </w:p>
    <w:bookmarkEnd w:id="35"/>
    <w:bookmarkStart w:id="36" w:name="X2ab2b846627d466a0bfe53fbe676e36527ed6a2"/>
    <w:p>
      <w:pPr>
        <w:pStyle w:val="Heading2"/>
      </w:pPr>
      <w:r>
        <w:t xml:space="preserve">Education and entry pathways — United States</w:t>
      </w:r>
    </w:p>
    <w:p>
      <w:pPr>
        <w:pStyle w:val="FirstParagraph"/>
      </w:pPr>
      <w:r>
        <w:t xml:space="preserve">Education expectations vary. Many full graphic-designer roles prefer or require a bachelor's degree or equivalent preparation, but junior, production, prepress, marketing-design, and support roles may accept different combinations of certificates, associate-level study, portfolio quality, production experience, and demonstrated skills.</w:t>
      </w:r>
    </w:p>
    <w:p>
      <w:pPr>
        <w:pStyle w:val="BodyText"/>
      </w:pPr>
      <w:r>
        <w:t xml:space="preserve">A low-cost sequence can be:</w:t>
      </w:r>
    </w:p>
    <w:p>
      <w:pPr>
        <w:numPr>
          <w:ilvl w:val="0"/>
          <w:numId w:val="1013"/>
        </w:numPr>
        <w:pStyle w:val="Compact"/>
      </w:pPr>
      <w:r>
        <w:t xml:space="preserve">learn typography, layout, color, vector/raster, and file-format fundamentals;</w:t>
      </w:r>
    </w:p>
    <w:p>
      <w:pPr>
        <w:numPr>
          <w:ilvl w:val="0"/>
          <w:numId w:val="1013"/>
        </w:numPr>
        <w:pStyle w:val="Compact"/>
      </w:pPr>
      <w:r>
        <w:t xml:space="preserve">practice with free or low-cost software before committing to expensive subscriptions;</w:t>
      </w:r>
    </w:p>
    <w:p>
      <w:pPr>
        <w:numPr>
          <w:ilvl w:val="0"/>
          <w:numId w:val="1013"/>
        </w:numPr>
        <w:pStyle w:val="Compact"/>
      </w:pPr>
      <w:r>
        <w:t xml:space="preserve">create controlled portfolio briefs using fictional or properly licensed content;</w:t>
      </w:r>
    </w:p>
    <w:p>
      <w:pPr>
        <w:numPr>
          <w:ilvl w:val="0"/>
          <w:numId w:val="1013"/>
        </w:numPr>
        <w:pStyle w:val="Compact"/>
      </w:pPr>
      <w:r>
        <w:t xml:space="preserve">learn print and digital export requirements;</w:t>
      </w:r>
    </w:p>
    <w:p>
      <w:pPr>
        <w:numPr>
          <w:ilvl w:val="0"/>
          <w:numId w:val="1013"/>
        </w:numPr>
        <w:pStyle w:val="Compact"/>
      </w:pPr>
      <w:r>
        <w:t xml:space="preserve">add accessibility and copyright checks to every project;</w:t>
      </w:r>
    </w:p>
    <w:p>
      <w:pPr>
        <w:numPr>
          <w:ilvl w:val="0"/>
          <w:numId w:val="1013"/>
        </w:numPr>
        <w:pStyle w:val="Compact"/>
      </w:pPr>
      <w:r>
        <w:t xml:space="preserve">complete supervised, volunteer, internship, campus, nonprofit, or employer-approved projects where appropriate;</w:t>
      </w:r>
    </w:p>
    <w:p>
      <w:pPr>
        <w:numPr>
          <w:ilvl w:val="0"/>
          <w:numId w:val="1013"/>
        </w:numPr>
        <w:pStyle w:val="Compact"/>
      </w:pPr>
      <w:r>
        <w:t xml:space="preserve">apply for design assistant, junior designer, production artist, prepress, marketing-production, or digital-production roles;</w:t>
      </w:r>
    </w:p>
    <w:p>
      <w:pPr>
        <w:numPr>
          <w:ilvl w:val="0"/>
          <w:numId w:val="1013"/>
        </w:numPr>
        <w:pStyle w:val="Compact"/>
      </w:pPr>
      <w:r>
        <w:t xml:space="preserve">deepen specialization after gaining real production feedback.</w:t>
      </w:r>
    </w:p>
    <w:bookmarkEnd w:id="36"/>
    <w:bookmarkStart w:id="37" w:name="X8b9dd173ee6be587122c15b5424bfbce5324942"/>
    <w:p>
      <w:pPr>
        <w:pStyle w:val="Heading2"/>
      </w:pPr>
      <w:r>
        <w:t xml:space="preserve">Funding, free/low-cost training, scholarships, and work-based learning — United States</w:t>
      </w:r>
    </w:p>
    <w:p>
      <w:pPr>
        <w:pStyle w:val="FirstParagraph"/>
      </w:pPr>
      <w:r>
        <w:t xml:space="preserve">CareerOneStop provides a Local Training Finder and state directories of WIOA-eligible training programs. WIOA funding is not automatic; eligibility and approved providers vary. An American Job Center can explain local rules and supportive services.</w:t>
      </w:r>
    </w:p>
    <w:p>
      <w:pPr>
        <w:pStyle w:val="BodyText"/>
      </w:pPr>
      <w:r>
        <w:t xml:space="preserve">Useful search terms include graphic design, visual communication, digital media, prepress, multimedia, web design, marketing design, and production art.</w:t>
      </w:r>
    </w:p>
    <w:p>
      <w:pPr>
        <w:pStyle w:val="BodyText"/>
      </w:pPr>
      <w:r>
        <w:t xml:space="preserve">Also search CareerOneStop and local institutions for:</w:t>
      </w:r>
    </w:p>
    <w:p>
      <w:pPr>
        <w:numPr>
          <w:ilvl w:val="0"/>
          <w:numId w:val="1014"/>
        </w:numPr>
        <w:pStyle w:val="Compact"/>
      </w:pPr>
      <w:r>
        <w:t xml:space="preserve">scholarships and grants;</w:t>
      </w:r>
    </w:p>
    <w:p>
      <w:pPr>
        <w:numPr>
          <w:ilvl w:val="0"/>
          <w:numId w:val="1014"/>
        </w:numPr>
        <w:pStyle w:val="Compact"/>
      </w:pPr>
      <w:r>
        <w:t xml:space="preserve">community-college certificates;</w:t>
      </w:r>
    </w:p>
    <w:p>
      <w:pPr>
        <w:numPr>
          <w:ilvl w:val="0"/>
          <w:numId w:val="1014"/>
        </w:numPr>
        <w:pStyle w:val="Compact"/>
      </w:pPr>
      <w:r>
        <w:t xml:space="preserve">workforce-funded programs;</w:t>
      </w:r>
    </w:p>
    <w:p>
      <w:pPr>
        <w:numPr>
          <w:ilvl w:val="0"/>
          <w:numId w:val="1014"/>
        </w:numPr>
        <w:pStyle w:val="Compact"/>
      </w:pPr>
      <w:r>
        <w:t xml:space="preserve">internships;</w:t>
      </w:r>
    </w:p>
    <w:p>
      <w:pPr>
        <w:numPr>
          <w:ilvl w:val="0"/>
          <w:numId w:val="1014"/>
        </w:numPr>
        <w:pStyle w:val="Compact"/>
      </w:pPr>
      <w:r>
        <w:t xml:space="preserve">paid junior production roles;</w:t>
      </w:r>
    </w:p>
    <w:p>
      <w:pPr>
        <w:numPr>
          <w:ilvl w:val="0"/>
          <w:numId w:val="1014"/>
        </w:numPr>
        <w:pStyle w:val="Compact"/>
      </w:pPr>
      <w:r>
        <w:t xml:space="preserve">employer tuition assistance;</w:t>
      </w:r>
    </w:p>
    <w:p>
      <w:pPr>
        <w:numPr>
          <w:ilvl w:val="0"/>
          <w:numId w:val="1014"/>
        </w:numPr>
        <w:pStyle w:val="Compact"/>
      </w:pPr>
      <w:r>
        <w:t xml:space="preserve">apprenticeship discovery.</w:t>
      </w:r>
    </w:p>
    <w:p>
      <w:pPr>
        <w:pStyle w:val="FirstParagraph"/>
      </w:pPr>
      <w:r>
        <w:t xml:space="preserve">Formal Registered Apprenticeship availability for graphic design varies and should not be assumed. Internships, supervised production work, junior roles, and employer training may be more common work-based-learning routes.</w:t>
      </w:r>
    </w:p>
    <w:bookmarkEnd w:id="37"/>
    <w:bookmarkStart w:id="38" w:name="canada-pathways"/>
    <w:p>
      <w:pPr>
        <w:pStyle w:val="Heading2"/>
      </w:pPr>
      <w:r>
        <w:t xml:space="preserve">Canada pathways</w:t>
      </w:r>
    </w:p>
    <w:p>
      <w:pPr>
        <w:pStyle w:val="FirstParagraph"/>
      </w:pPr>
      <w:r>
        <w:t xml:space="preserve">Canada's Job Bank classifies</w:t>
      </w:r>
      <w:r>
        <w:t xml:space="preserve"> </w:t>
      </w:r>
      <w:r>
        <w:rPr>
          <w:bCs/>
          <w:b/>
        </w:rPr>
        <w:t xml:space="preserve">Graphic designers and illustrators</w:t>
      </w:r>
      <w:r>
        <w:t xml:space="preserve"> </w:t>
      </w:r>
      <w:r>
        <w:t xml:space="preserve">as</w:t>
      </w:r>
      <w:r>
        <w:t xml:space="preserve"> </w:t>
      </w:r>
      <w:r>
        <w:rPr>
          <w:bCs/>
          <w:b/>
        </w:rPr>
        <w:t xml:space="preserve">NOC 52120</w:t>
      </w:r>
      <w:r>
        <w:t xml:space="preserve">. Job Bank reports Canada-wide wages updated November 19, 2025 of</w:t>
      </w:r>
      <w:r>
        <w:t xml:space="preserve"> </w:t>
      </w:r>
      <w:r>
        <w:rPr>
          <w:bCs/>
          <w:b/>
        </w:rPr>
        <w:t xml:space="preserve">C$20.00/hour low, C$31.25/hour median, and C$52.88/hour high</w:t>
      </w:r>
      <w:r>
        <w:t xml:space="preserve">. The national reference period is 2023–2024.</w:t>
      </w:r>
    </w:p>
    <w:p>
      <w:pPr>
        <w:pStyle w:val="BodyText"/>
      </w:pPr>
      <w:r>
        <w:t xml:space="preserve">Education and experience expectations vary by employer and province. Before paying for training, verify:</w:t>
      </w:r>
    </w:p>
    <w:p>
      <w:pPr>
        <w:numPr>
          <w:ilvl w:val="0"/>
          <w:numId w:val="1015"/>
        </w:numPr>
        <w:pStyle w:val="Compact"/>
      </w:pPr>
      <w:r>
        <w:t xml:space="preserve">whether the program is recognized by the intended employer or pathway;</w:t>
      </w:r>
    </w:p>
    <w:p>
      <w:pPr>
        <w:numPr>
          <w:ilvl w:val="0"/>
          <w:numId w:val="1015"/>
        </w:numPr>
        <w:pStyle w:val="Compact"/>
      </w:pPr>
      <w:r>
        <w:t xml:space="preserve">portfolio requirements;</w:t>
      </w:r>
    </w:p>
    <w:p>
      <w:pPr>
        <w:numPr>
          <w:ilvl w:val="0"/>
          <w:numId w:val="1015"/>
        </w:numPr>
        <w:pStyle w:val="Compact"/>
      </w:pPr>
      <w:r>
        <w:t xml:space="preserve">software and equipment costs;</w:t>
      </w:r>
    </w:p>
    <w:p>
      <w:pPr>
        <w:numPr>
          <w:ilvl w:val="0"/>
          <w:numId w:val="1015"/>
        </w:numPr>
        <w:pStyle w:val="Compact"/>
      </w:pPr>
      <w:r>
        <w:t xml:space="preserve">internship or work-integrated-learning options;</w:t>
      </w:r>
    </w:p>
    <w:p>
      <w:pPr>
        <w:numPr>
          <w:ilvl w:val="0"/>
          <w:numId w:val="1015"/>
        </w:numPr>
        <w:pStyle w:val="Compact"/>
      </w:pPr>
      <w:r>
        <w:t xml:space="preserve">current provincial labour-market conditions.</w:t>
      </w:r>
    </w:p>
    <w:p>
      <w:pPr>
        <w:pStyle w:val="FirstParagraph"/>
      </w:pPr>
      <w:r>
        <w:t xml:space="preserve">Canada.ca provides training, student-aid, grants/loans, work-experience, and provincial/territorial support gateways. Eligibility is not guaranteed.</w:t>
      </w:r>
    </w:p>
    <w:bookmarkEnd w:id="38"/>
    <w:bookmarkStart w:id="39" w:name="colombia-pathways"/>
    <w:p>
      <w:pPr>
        <w:pStyle w:val="Heading2"/>
      </w:pPr>
      <w:r>
        <w:t xml:space="preserve">Colombia pathways</w:t>
      </w:r>
    </w:p>
    <w:p>
      <w:pPr>
        <w:pStyle w:val="FirstParagraph"/>
      </w:pPr>
      <w:r>
        <w:t xml:space="preserve">OCUPACOL includes profiles for</w:t>
      </w:r>
      <w:r>
        <w:t xml:space="preserve"> </w:t>
      </w:r>
      <w:r>
        <w:rPr>
          <w:bCs/>
          <w:b/>
        </w:rPr>
        <w:t xml:space="preserve">Diseñadores gráficos</w:t>
      </w:r>
      <w:r>
        <w:t xml:space="preserve">,</w:t>
      </w:r>
      <w:r>
        <w:t xml:space="preserve"> </w:t>
      </w:r>
      <w:r>
        <w:rPr>
          <w:bCs/>
          <w:b/>
        </w:rPr>
        <w:t xml:space="preserve">Diseñadores gráficos y multimedia</w:t>
      </w:r>
      <w:r>
        <w:t xml:space="preserve">,</w:t>
      </w:r>
      <w:r>
        <w:t xml:space="preserve"> </w:t>
      </w:r>
      <w:r>
        <w:rPr>
          <w:bCs/>
          <w:b/>
        </w:rPr>
        <w:t xml:space="preserve">Auxiliar de diseño gráfico</w:t>
      </w:r>
      <w:r>
        <w:t xml:space="preserve">, and</w:t>
      </w:r>
      <w:r>
        <w:t xml:space="preserve"> </w:t>
      </w:r>
      <w:r>
        <w:rPr>
          <w:bCs/>
          <w:b/>
        </w:rPr>
        <w:t xml:space="preserve">Auxiliar de producción gráfica</w:t>
      </w:r>
      <w:r>
        <w:t xml:space="preserve">. These profiles help learners compare designer and production-support responsibilities.</w:t>
      </w:r>
    </w:p>
    <w:p>
      <w:pPr>
        <w:pStyle w:val="BodyText"/>
      </w:pPr>
      <w:r>
        <w:t xml:space="preserve">SENA Betowa provides current learning options that can include:</w:t>
      </w:r>
    </w:p>
    <w:p>
      <w:pPr>
        <w:numPr>
          <w:ilvl w:val="0"/>
          <w:numId w:val="1016"/>
        </w:numPr>
        <w:pStyle w:val="Compact"/>
      </w:pPr>
      <w:r>
        <w:rPr>
          <w:bCs/>
          <w:b/>
        </w:rPr>
        <w:t xml:space="preserve">Desarrollo de Medios Gráficos Visuales</w:t>
      </w:r>
      <w:r>
        <w:t xml:space="preserve"> </w:t>
      </w:r>
      <w:r>
        <w:t xml:space="preserve">— listed as a Tecnólogo program with 3,984 hours;</w:t>
      </w:r>
    </w:p>
    <w:p>
      <w:pPr>
        <w:numPr>
          <w:ilvl w:val="0"/>
          <w:numId w:val="1016"/>
        </w:numPr>
        <w:pStyle w:val="Compact"/>
      </w:pPr>
      <w:r>
        <w:rPr>
          <w:bCs/>
          <w:b/>
        </w:rPr>
        <w:t xml:space="preserve">Producción de Imágenes Digitales</w:t>
      </w:r>
      <w:r>
        <w:t xml:space="preserve">;</w:t>
      </w:r>
    </w:p>
    <w:p>
      <w:pPr>
        <w:numPr>
          <w:ilvl w:val="0"/>
          <w:numId w:val="1016"/>
        </w:numPr>
        <w:pStyle w:val="Compact"/>
      </w:pPr>
      <w:r>
        <w:rPr>
          <w:bCs/>
          <w:b/>
        </w:rPr>
        <w:t xml:space="preserve">Fundamentos de Diseño</w:t>
      </w:r>
      <w:r>
        <w:t xml:space="preserve"> </w:t>
      </w:r>
      <w:r>
        <w:t xml:space="preserve">and other complementary offerings.</w:t>
      </w:r>
    </w:p>
    <w:p>
      <w:pPr>
        <w:pStyle w:val="FirstParagraph"/>
      </w:pPr>
      <w:r>
        <w:t xml:space="preserve">Cohorts, modality, city, dates, seats, and admission conditions change. Verify live Betowa listings before relying on a specific course.</w:t>
      </w:r>
    </w:p>
    <w:p>
      <w:pPr>
        <w:pStyle w:val="BodyText"/>
      </w:pPr>
      <w:r>
        <w:t xml:space="preserve">For Colombia compensation, avoid treating old occupational-profile salary ranges as a current representative benchmark unless the methodology and reference period are confirmed.</w:t>
      </w:r>
    </w:p>
    <w:bookmarkEnd w:id="39"/>
    <w:bookmarkStart w:id="40" w:name="latin-america-and-the-caribbean"/>
    <w:p>
      <w:pPr>
        <w:pStyle w:val="Heading2"/>
      </w:pPr>
      <w:r>
        <w:t xml:space="preserve">Latin America and the Caribbean</w:t>
      </w:r>
    </w:p>
    <w:p>
      <w:pPr>
        <w:pStyle w:val="FirstParagraph"/>
      </w:pPr>
      <w:r>
        <w:t xml:space="preserve">OIT/Cinterfor provides a regional directory and network of vocational-training institutions. Use it to identify the appropriate national institution, then verify the current course catalogue, cost, eligibility, modality, credential, and application process directly with that institution.</w:t>
      </w:r>
    </w:p>
    <w:p>
      <w:pPr>
        <w:pStyle w:val="BodyText"/>
      </w:pPr>
      <w:r>
        <w:t xml:space="preserve">The directory is a locator, not a promise that a graphic-design course, scholarship, or subsidy exists in every country.</w:t>
      </w:r>
    </w:p>
    <w:bookmarkEnd w:id="40"/>
    <w:bookmarkStart w:id="44" w:name="income-research"/>
    <w:p>
      <w:pPr>
        <w:pStyle w:val="Heading2"/>
      </w:pPr>
      <w:r>
        <w:t xml:space="preserve">Income research</w:t>
      </w:r>
    </w:p>
    <w:bookmarkStart w:id="41" w:name="united-states--official-benchmark"/>
    <w:p>
      <w:pPr>
        <w:pStyle w:val="Heading3"/>
      </w:pPr>
      <w:r>
        <w:t xml:space="preserve">United States — official benchmark</w:t>
      </w:r>
    </w:p>
    <w:p>
      <w:pPr>
        <w:pStyle w:val="FirstParagraph"/>
      </w:pPr>
      <w:r>
        <w:t xml:space="preserve">O*NET/BLS 2025 national wage data for Graphic Designers:</w:t>
      </w:r>
    </w:p>
    <w:p>
      <w:pPr>
        <w:numPr>
          <w:ilvl w:val="0"/>
          <w:numId w:val="1017"/>
        </w:numPr>
        <w:pStyle w:val="Compact"/>
      </w:pPr>
      <w:r>
        <w:t xml:space="preserve">10th percentile:</w:t>
      </w:r>
      <w:r>
        <w:t xml:space="preserve"> </w:t>
      </w:r>
      <w:r>
        <w:rPr>
          <w:bCs/>
          <w:b/>
        </w:rPr>
        <w:t xml:space="preserve">$39,520/year</w:t>
      </w:r>
      <w:r>
        <w:t xml:space="preserve">;</w:t>
      </w:r>
    </w:p>
    <w:p>
      <w:pPr>
        <w:numPr>
          <w:ilvl w:val="0"/>
          <w:numId w:val="1017"/>
        </w:numPr>
        <w:pStyle w:val="Compact"/>
      </w:pPr>
      <w:r>
        <w:t xml:space="preserve">median:</w:t>
      </w:r>
      <w:r>
        <w:t xml:space="preserve"> </w:t>
      </w:r>
      <w:r>
        <w:rPr>
          <w:bCs/>
          <w:b/>
        </w:rPr>
        <w:t xml:space="preserve">$62,960/year</w:t>
      </w:r>
      <w:r>
        <w:t xml:space="preserve"> </w:t>
      </w:r>
      <w:r>
        <w:t xml:space="preserve">or</w:t>
      </w:r>
      <w:r>
        <w:t xml:space="preserve"> </w:t>
      </w:r>
      <w:r>
        <w:rPr>
          <w:bCs/>
          <w:b/>
        </w:rPr>
        <w:t xml:space="preserve">$30.27/hour</w:t>
      </w:r>
      <w:r>
        <w:t xml:space="preserve">;</w:t>
      </w:r>
    </w:p>
    <w:p>
      <w:pPr>
        <w:numPr>
          <w:ilvl w:val="0"/>
          <w:numId w:val="1017"/>
        </w:numPr>
        <w:pStyle w:val="Compact"/>
      </w:pPr>
      <w:r>
        <w:t xml:space="preserve">90th percentile:</w:t>
      </w:r>
      <w:r>
        <w:t xml:space="preserve"> </w:t>
      </w:r>
      <w:r>
        <w:rPr>
          <w:bCs/>
          <w:b/>
        </w:rPr>
        <w:t xml:space="preserve">$104,910/year</w:t>
      </w:r>
      <w:r>
        <w:t xml:space="preserve">.</w:t>
      </w:r>
    </w:p>
    <w:p>
      <w:pPr>
        <w:pStyle w:val="FirstParagraph"/>
      </w:pPr>
      <w:r>
        <w:t xml:space="preserve">Pay varies by geography, industry, specialty, portfolio, employment type, experience, and scope.</w:t>
      </w:r>
    </w:p>
    <w:bookmarkEnd w:id="41"/>
    <w:bookmarkStart w:id="42" w:name="Xef328c096234e0b4367b4d7ff80d04243d30909"/>
    <w:p>
      <w:pPr>
        <w:pStyle w:val="Heading3"/>
      </w:pPr>
      <w:r>
        <w:t xml:space="preserve">United States — current non-government estimate</w:t>
      </w:r>
    </w:p>
    <w:p>
      <w:pPr>
        <w:pStyle w:val="FirstParagraph"/>
      </w:pPr>
      <w:r>
        <w:t xml:space="preserve">Indeed reported an average base salary of approximately</w:t>
      </w:r>
      <w:r>
        <w:t xml:space="preserve"> </w:t>
      </w:r>
      <w:r>
        <w:rPr>
          <w:bCs/>
          <w:b/>
        </w:rPr>
        <w:t xml:space="preserve">$23.41/hour</w:t>
      </w:r>
      <w:r>
        <w:t xml:space="preserve"> </w:t>
      </w:r>
      <w:r>
        <w:t xml:space="preserve">for U.S. Graphic Designers, updated August 2, 2026, with a displayed range of roughly</w:t>
      </w:r>
      <w:r>
        <w:t xml:space="preserve"> </w:t>
      </w:r>
      <w:r>
        <w:rPr>
          <w:bCs/>
          <w:b/>
        </w:rPr>
        <w:t xml:space="preserve">$13.25 to $41.36/hour</w:t>
      </w:r>
      <w:r>
        <w:t xml:space="preserve"> </w:t>
      </w:r>
      <w:r>
        <w:t xml:space="preserve">and about 6.1k salary observations from job postings over the prior 36 months.</w:t>
      </w:r>
    </w:p>
    <w:p>
      <w:pPr>
        <w:pStyle w:val="BodyText"/>
      </w:pPr>
      <w:r>
        <w:t xml:space="preserve">This is a market estimate, not government wage statistics or guaranteed compensation.</w:t>
      </w:r>
    </w:p>
    <w:bookmarkEnd w:id="42"/>
    <w:bookmarkStart w:id="43" w:name="Xc654f671bf87f17a5f0c00ccc50af41d32ed6fb"/>
    <w:p>
      <w:pPr>
        <w:pStyle w:val="Heading3"/>
      </w:pPr>
      <w:r>
        <w:t xml:space="preserve">Colombia — current non-government junior estimate</w:t>
      </w:r>
    </w:p>
    <w:p>
      <w:pPr>
        <w:pStyle w:val="FirstParagraph"/>
      </w:pPr>
      <w:r>
        <w:t xml:space="preserve">Indeed reported approximately</w:t>
      </w:r>
      <w:r>
        <w:t xml:space="preserve"> </w:t>
      </w:r>
      <w:r>
        <w:rPr>
          <w:bCs/>
          <w:b/>
        </w:rPr>
        <w:t xml:space="preserve">COP 1,902,446/month</w:t>
      </w:r>
      <w:r>
        <w:t xml:space="preserve"> </w:t>
      </w:r>
      <w:r>
        <w:t xml:space="preserve">for</w:t>
      </w:r>
      <w:r>
        <w:t xml:space="preserve"> </w:t>
      </w:r>
      <w:r>
        <w:rPr>
          <w:bCs/>
          <w:b/>
        </w:rPr>
        <w:t xml:space="preserve">Diseñador/a gráfico/a junior</w:t>
      </w:r>
      <w:r>
        <w:t xml:space="preserve"> </w:t>
      </w:r>
      <w:r>
        <w:t xml:space="preserve">in Colombia, based on 26 reported salaries and updated July 29, 2026.</w:t>
      </w:r>
    </w:p>
    <w:p>
      <w:pPr>
        <w:pStyle w:val="BodyText"/>
      </w:pPr>
      <w:r>
        <w:t xml:space="preserve">This is a small-sample junior-title estimate, not a benchmark for all designers or production artists.</w:t>
      </w:r>
    </w:p>
    <w:bookmarkEnd w:id="43"/>
    <w:bookmarkEnd w:id="44"/>
    <w:bookmarkStart w:id="45" w:name="building-a-portfolio-ethically"/>
    <w:p>
      <w:pPr>
        <w:pStyle w:val="Heading2"/>
      </w:pPr>
      <w:r>
        <w:t xml:space="preserve">Building a portfolio ethically</w:t>
      </w:r>
    </w:p>
    <w:p>
      <w:pPr>
        <w:pStyle w:val="FirstParagraph"/>
      </w:pPr>
      <w:r>
        <w:t xml:space="preserve">A good entry portfolio should prove process, judgment, and production quality rather than simply show attractive images.</w:t>
      </w:r>
    </w:p>
    <w:p>
      <w:pPr>
        <w:pStyle w:val="BodyText"/>
      </w:pPr>
      <w:r>
        <w:t xml:space="preserve">Include a small number of strong projects. For each project, explain:</w:t>
      </w:r>
    </w:p>
    <w:p>
      <w:pPr>
        <w:numPr>
          <w:ilvl w:val="0"/>
          <w:numId w:val="1018"/>
        </w:numPr>
        <w:pStyle w:val="Compact"/>
      </w:pPr>
      <w:r>
        <w:t xml:space="preserve">the brief or problem;</w:t>
      </w:r>
    </w:p>
    <w:p>
      <w:pPr>
        <w:numPr>
          <w:ilvl w:val="0"/>
          <w:numId w:val="1018"/>
        </w:numPr>
        <w:pStyle w:val="Compact"/>
      </w:pPr>
      <w:r>
        <w:t xml:space="preserve">intended audience;</w:t>
      </w:r>
    </w:p>
    <w:p>
      <w:pPr>
        <w:numPr>
          <w:ilvl w:val="0"/>
          <w:numId w:val="1018"/>
        </w:numPr>
        <w:pStyle w:val="Compact"/>
      </w:pPr>
      <w:r>
        <w:t xml:space="preserve">constraints;</w:t>
      </w:r>
    </w:p>
    <w:p>
      <w:pPr>
        <w:numPr>
          <w:ilvl w:val="0"/>
          <w:numId w:val="1018"/>
        </w:numPr>
        <w:pStyle w:val="Compact"/>
      </w:pPr>
      <w:r>
        <w:t xml:space="preserve">your role;</w:t>
      </w:r>
    </w:p>
    <w:p>
      <w:pPr>
        <w:numPr>
          <w:ilvl w:val="0"/>
          <w:numId w:val="1018"/>
        </w:numPr>
        <w:pStyle w:val="Compact"/>
      </w:pPr>
      <w:r>
        <w:t xml:space="preserve">tools used;</w:t>
      </w:r>
    </w:p>
    <w:p>
      <w:pPr>
        <w:numPr>
          <w:ilvl w:val="0"/>
          <w:numId w:val="1018"/>
        </w:numPr>
        <w:pStyle w:val="Compact"/>
      </w:pPr>
      <w:r>
        <w:t xml:space="preserve">accessibility considerations;</w:t>
      </w:r>
    </w:p>
    <w:p>
      <w:pPr>
        <w:numPr>
          <w:ilvl w:val="0"/>
          <w:numId w:val="1018"/>
        </w:numPr>
        <w:pStyle w:val="Compact"/>
      </w:pPr>
      <w:r>
        <w:t xml:space="preserve">licensing/source approach;</w:t>
      </w:r>
    </w:p>
    <w:p>
      <w:pPr>
        <w:numPr>
          <w:ilvl w:val="0"/>
          <w:numId w:val="1018"/>
        </w:numPr>
        <w:pStyle w:val="Compact"/>
      </w:pPr>
      <w:r>
        <w:t xml:space="preserve">design decisions;</w:t>
      </w:r>
    </w:p>
    <w:p>
      <w:pPr>
        <w:numPr>
          <w:ilvl w:val="0"/>
          <w:numId w:val="1018"/>
        </w:numPr>
        <w:pStyle w:val="Compact"/>
      </w:pPr>
      <w:r>
        <w:t xml:space="preserve">production specifications;</w:t>
      </w:r>
    </w:p>
    <w:p>
      <w:pPr>
        <w:numPr>
          <w:ilvl w:val="0"/>
          <w:numId w:val="1018"/>
        </w:numPr>
        <w:pStyle w:val="Compact"/>
      </w:pPr>
      <w:r>
        <w:t xml:space="preserve">what changed after feedback;</w:t>
      </w:r>
    </w:p>
    <w:p>
      <w:pPr>
        <w:numPr>
          <w:ilvl w:val="0"/>
          <w:numId w:val="1018"/>
        </w:numPr>
        <w:pStyle w:val="Compact"/>
      </w:pPr>
      <w:r>
        <w:t xml:space="preserve">final deliverables.</w:t>
      </w:r>
    </w:p>
    <w:p>
      <w:pPr>
        <w:pStyle w:val="FirstParagraph"/>
      </w:pPr>
      <w:r>
        <w:t xml:space="preserve">Use fictional brands, your own assets, public-domain material, or properly licensed resources for self-directed projects. Do not present client work publicly without permission. Never present someone else's design as your own.</w:t>
      </w:r>
    </w:p>
    <w:bookmarkEnd w:id="45"/>
    <w:bookmarkStart w:id="50" w:name="a-repaired-30-day-action-plan"/>
    <w:p>
      <w:pPr>
        <w:pStyle w:val="Heading2"/>
      </w:pPr>
      <w:r>
        <w:t xml:space="preserve">A repaired 30-day action plan</w:t>
      </w:r>
    </w:p>
    <w:p>
      <w:pPr>
        <w:pStyle w:val="FirstParagraph"/>
      </w:pPr>
      <w:r>
        <w:t xml:space="preserve">This action plan replaces the unusable legacy action-plan condition recorded as</w:t>
      </w:r>
      <w:r>
        <w:t xml:space="preserve"> </w:t>
      </w:r>
      <w:r>
        <w:rPr>
          <w:rStyle w:val="VerbatimChar"/>
        </w:rPr>
        <w:t xml:space="preserve">action_plan_ok: False</w:t>
      </w:r>
      <w:r>
        <w:t xml:space="preserve">.</w:t>
      </w:r>
    </w:p>
    <w:bookmarkStart w:id="46" w:name="week-1--fundamentals-and-setup"/>
    <w:p>
      <w:pPr>
        <w:pStyle w:val="Heading3"/>
      </w:pPr>
      <w:r>
        <w:t xml:space="preserve">Week 1 — Fundamentals and setup</w:t>
      </w:r>
    </w:p>
    <w:p>
      <w:pPr>
        <w:numPr>
          <w:ilvl w:val="0"/>
          <w:numId w:val="1019"/>
        </w:numPr>
        <w:pStyle w:val="Compact"/>
      </w:pPr>
      <w:r>
        <w:t xml:space="preserve">Choose one vector tool and one raster/image tool you can legally access.</w:t>
      </w:r>
    </w:p>
    <w:p>
      <w:pPr>
        <w:numPr>
          <w:ilvl w:val="0"/>
          <w:numId w:val="1019"/>
        </w:numPr>
        <w:pStyle w:val="Compact"/>
      </w:pPr>
      <w:r>
        <w:t xml:space="preserve">Practice hierarchy, alignment, typography, spacing, color, and file naming.</w:t>
      </w:r>
    </w:p>
    <w:p>
      <w:pPr>
        <w:numPr>
          <w:ilvl w:val="0"/>
          <w:numId w:val="1019"/>
        </w:numPr>
        <w:pStyle w:val="Compact"/>
      </w:pPr>
      <w:r>
        <w:t xml:space="preserve">Learn the difference between vector and raster output.</w:t>
      </w:r>
    </w:p>
    <w:p>
      <w:pPr>
        <w:numPr>
          <w:ilvl w:val="0"/>
          <w:numId w:val="1019"/>
        </w:numPr>
        <w:pStyle w:val="Compact"/>
      </w:pPr>
      <w:r>
        <w:t xml:space="preserve">Build a folder structure with source, linked assets, proofs, and finals.</w:t>
      </w:r>
    </w:p>
    <w:p>
      <w:pPr>
        <w:numPr>
          <w:ilvl w:val="0"/>
          <w:numId w:val="1019"/>
        </w:numPr>
        <w:pStyle w:val="Compact"/>
      </w:pPr>
      <w:r>
        <w:t xml:space="preserve">Run a contrast check on one practice layout.</w:t>
      </w:r>
    </w:p>
    <w:bookmarkEnd w:id="46"/>
    <w:bookmarkStart w:id="47" w:name="week-2--production-practice"/>
    <w:p>
      <w:pPr>
        <w:pStyle w:val="Heading3"/>
      </w:pPr>
      <w:r>
        <w:t xml:space="preserve">Week 2 — Production practice</w:t>
      </w:r>
    </w:p>
    <w:p>
      <w:pPr>
        <w:numPr>
          <w:ilvl w:val="0"/>
          <w:numId w:val="1020"/>
        </w:numPr>
        <w:pStyle w:val="Compact"/>
      </w:pPr>
      <w:r>
        <w:t xml:space="preserve">Create one fictional campaign with at least three sizes or channels.</w:t>
      </w:r>
    </w:p>
    <w:p>
      <w:pPr>
        <w:numPr>
          <w:ilvl w:val="0"/>
          <w:numId w:val="1020"/>
        </w:numPr>
        <w:pStyle w:val="Compact"/>
      </w:pPr>
      <w:r>
        <w:t xml:space="preserve">Produce one print-ready file with bleed and one optimized digital asset.</w:t>
      </w:r>
    </w:p>
    <w:p>
      <w:pPr>
        <w:numPr>
          <w:ilvl w:val="0"/>
          <w:numId w:val="1020"/>
        </w:numPr>
        <w:pStyle w:val="Compact"/>
      </w:pPr>
      <w:r>
        <w:t xml:space="preserve">Keep a version log and approval-style checklist.</w:t>
      </w:r>
    </w:p>
    <w:p>
      <w:pPr>
        <w:numPr>
          <w:ilvl w:val="0"/>
          <w:numId w:val="1020"/>
        </w:numPr>
        <w:pStyle w:val="Compact"/>
      </w:pPr>
      <w:r>
        <w:t xml:space="preserve">Record the source/license for every external font, image, or icon.</w:t>
      </w:r>
    </w:p>
    <w:bookmarkEnd w:id="47"/>
    <w:bookmarkStart w:id="48" w:name="week-3--portfolio-and-feedback"/>
    <w:p>
      <w:pPr>
        <w:pStyle w:val="Heading3"/>
      </w:pPr>
      <w:r>
        <w:t xml:space="preserve">Week 3 — Portfolio and feedback</w:t>
      </w:r>
    </w:p>
    <w:p>
      <w:pPr>
        <w:numPr>
          <w:ilvl w:val="0"/>
          <w:numId w:val="1021"/>
        </w:numPr>
        <w:pStyle w:val="Compact"/>
      </w:pPr>
      <w:r>
        <w:t xml:space="preserve">Select two or three strongest projects.</w:t>
      </w:r>
    </w:p>
    <w:p>
      <w:pPr>
        <w:numPr>
          <w:ilvl w:val="0"/>
          <w:numId w:val="1021"/>
        </w:numPr>
        <w:pStyle w:val="Compact"/>
      </w:pPr>
      <w:r>
        <w:t xml:space="preserve">Write a short case note for each: brief, role, decisions, accessibility, rights, production checks, and outcome.</w:t>
      </w:r>
    </w:p>
    <w:p>
      <w:pPr>
        <w:numPr>
          <w:ilvl w:val="0"/>
          <w:numId w:val="1021"/>
        </w:numPr>
        <w:pStyle w:val="Compact"/>
      </w:pPr>
      <w:r>
        <w:t xml:space="preserve">Ask a qualified peer, instructor, mentor, or supervisor for feedback.</w:t>
      </w:r>
    </w:p>
    <w:p>
      <w:pPr>
        <w:numPr>
          <w:ilvl w:val="0"/>
          <w:numId w:val="1021"/>
        </w:numPr>
        <w:pStyle w:val="Compact"/>
      </w:pPr>
      <w:r>
        <w:t xml:space="preserve">Correct obvious production and proofreading defects.</w:t>
      </w:r>
    </w:p>
    <w:bookmarkEnd w:id="48"/>
    <w:bookmarkStart w:id="49" w:name="week-4--job-readiness"/>
    <w:p>
      <w:pPr>
        <w:pStyle w:val="Heading3"/>
      </w:pPr>
      <w:r>
        <w:t xml:space="preserve">Week 4 — Job-readiness</w:t>
      </w:r>
    </w:p>
    <w:p>
      <w:pPr>
        <w:numPr>
          <w:ilvl w:val="0"/>
          <w:numId w:val="1022"/>
        </w:numPr>
        <w:pStyle w:val="Compact"/>
      </w:pPr>
      <w:r>
        <w:t xml:space="preserve">Search at least 10 real postings for junior designer, production artist, design assistant, marketing designer, prepress, or graphic production roles.</w:t>
      </w:r>
    </w:p>
    <w:p>
      <w:pPr>
        <w:numPr>
          <w:ilvl w:val="0"/>
          <w:numId w:val="1022"/>
        </w:numPr>
        <w:pStyle w:val="Compact"/>
      </w:pPr>
      <w:r>
        <w:t xml:space="preserve">Build a skills-gap table from repeated requirements.</w:t>
      </w:r>
    </w:p>
    <w:p>
      <w:pPr>
        <w:numPr>
          <w:ilvl w:val="0"/>
          <w:numId w:val="1022"/>
        </w:numPr>
        <w:pStyle w:val="Compact"/>
      </w:pPr>
      <w:r>
        <w:t xml:space="preserve">Update résumé and portfolio language to match only skills you can demonstrate.</w:t>
      </w:r>
    </w:p>
    <w:p>
      <w:pPr>
        <w:numPr>
          <w:ilvl w:val="0"/>
          <w:numId w:val="1022"/>
        </w:numPr>
        <w:pStyle w:val="Compact"/>
      </w:pPr>
      <w:r>
        <w:t xml:space="preserve">Apply selectively and continue one targeted learning gap each week.</w:t>
      </w:r>
    </w:p>
    <w:bookmarkEnd w:id="49"/>
    <w:bookmarkEnd w:id="50"/>
    <w:bookmarkStart w:id="51" w:name="before-submitting-any-final-design"/>
    <w:p>
      <w:pPr>
        <w:pStyle w:val="Heading2"/>
      </w:pPr>
      <w:r>
        <w:t xml:space="preserve">Before submitting any final design</w:t>
      </w:r>
    </w:p>
    <w:p>
      <w:pPr>
        <w:pStyle w:val="FirstParagraph"/>
      </w:pPr>
      <w:r>
        <w:t xml:space="preserve">Check:</w:t>
      </w:r>
    </w:p>
    <w:p>
      <w:pPr>
        <w:numPr>
          <w:ilvl w:val="0"/>
          <w:numId w:val="1023"/>
        </w:numPr>
        <w:pStyle w:val="Compact"/>
      </w:pPr>
      <w:r>
        <w:t xml:space="preserve">correct brief and approved version;</w:t>
      </w:r>
    </w:p>
    <w:p>
      <w:pPr>
        <w:numPr>
          <w:ilvl w:val="0"/>
          <w:numId w:val="1023"/>
        </w:numPr>
        <w:pStyle w:val="Compact"/>
      </w:pPr>
      <w:r>
        <w:t xml:space="preserve">spelling, names, dates, prices, and legal copy verified by the responsible owner;</w:t>
      </w:r>
    </w:p>
    <w:p>
      <w:pPr>
        <w:numPr>
          <w:ilvl w:val="0"/>
          <w:numId w:val="1023"/>
        </w:numPr>
        <w:pStyle w:val="Compact"/>
      </w:pPr>
      <w:r>
        <w:t xml:space="preserve">correct dimensions and format;</w:t>
      </w:r>
    </w:p>
    <w:p>
      <w:pPr>
        <w:numPr>
          <w:ilvl w:val="0"/>
          <w:numId w:val="1023"/>
        </w:numPr>
        <w:pStyle w:val="Compact"/>
      </w:pPr>
      <w:r>
        <w:t xml:space="preserve">images are not visibly low resolution or distorted;</w:t>
      </w:r>
    </w:p>
    <w:p>
      <w:pPr>
        <w:numPr>
          <w:ilvl w:val="0"/>
          <w:numId w:val="1023"/>
        </w:numPr>
        <w:pStyle w:val="Compact"/>
      </w:pPr>
      <w:r>
        <w:t xml:space="preserve">fonts and linked assets are complete;</w:t>
      </w:r>
    </w:p>
    <w:p>
      <w:pPr>
        <w:numPr>
          <w:ilvl w:val="0"/>
          <w:numId w:val="1023"/>
        </w:numPr>
        <w:pStyle w:val="Compact"/>
      </w:pPr>
      <w:r>
        <w:t xml:space="preserve">color/export settings match the destination;</w:t>
      </w:r>
    </w:p>
    <w:p>
      <w:pPr>
        <w:numPr>
          <w:ilvl w:val="0"/>
          <w:numId w:val="1023"/>
        </w:numPr>
        <w:pStyle w:val="Compact"/>
      </w:pPr>
      <w:r>
        <w:t xml:space="preserve">bleed/safe areas where relevant;</w:t>
      </w:r>
    </w:p>
    <w:p>
      <w:pPr>
        <w:numPr>
          <w:ilvl w:val="0"/>
          <w:numId w:val="1023"/>
        </w:numPr>
        <w:pStyle w:val="Compact"/>
      </w:pPr>
      <w:r>
        <w:t xml:space="preserve">contrast and accessibility considerations reviewed;</w:t>
      </w:r>
    </w:p>
    <w:p>
      <w:pPr>
        <w:numPr>
          <w:ilvl w:val="0"/>
          <w:numId w:val="1023"/>
        </w:numPr>
        <w:pStyle w:val="Compact"/>
      </w:pPr>
      <w:r>
        <w:t xml:space="preserve">rights/licensing/provenance recorded where required;</w:t>
      </w:r>
    </w:p>
    <w:p>
      <w:pPr>
        <w:numPr>
          <w:ilvl w:val="0"/>
          <w:numId w:val="1023"/>
        </w:numPr>
        <w:pStyle w:val="Compact"/>
      </w:pPr>
      <w:r>
        <w:t xml:space="preserve">no confidential information is exposed;</w:t>
      </w:r>
    </w:p>
    <w:p>
      <w:pPr>
        <w:numPr>
          <w:ilvl w:val="0"/>
          <w:numId w:val="1023"/>
        </w:numPr>
        <w:pStyle w:val="Compact"/>
      </w:pPr>
      <w:r>
        <w:t xml:space="preserve">final filename and version are unambiguous;</w:t>
      </w:r>
    </w:p>
    <w:p>
      <w:pPr>
        <w:numPr>
          <w:ilvl w:val="0"/>
          <w:numId w:val="1023"/>
        </w:numPr>
        <w:pStyle w:val="Compact"/>
      </w:pPr>
      <w:r>
        <w:t xml:space="preserve">client/employer approval process is followed.</w:t>
      </w:r>
    </w:p>
    <w:bookmarkEnd w:id="51"/>
    <w:bookmarkStart w:id="65" w:name="X288966faf1d7bed9dc199858708aa66274a1ac8"/>
    <w:p>
      <w:pPr>
        <w:pStyle w:val="Heading2"/>
      </w:pPr>
      <w:r>
        <w:t xml:space="preserve">Sources to verify before important decisions</w:t>
      </w:r>
    </w:p>
    <w:p>
      <w:pPr>
        <w:numPr>
          <w:ilvl w:val="0"/>
          <w:numId w:val="1024"/>
        </w:numPr>
        <w:pStyle w:val="Compact"/>
      </w:pPr>
      <w:r>
        <w:t xml:space="preserve">O*NET Graphic Designers:</w:t>
      </w:r>
      <w:r>
        <w:t xml:space="preserve"> </w:t>
      </w:r>
      <w:hyperlink r:id="rId52">
        <w:hyperlink r:id="rId52">
          <w:r>
            <w:rPr>
              <w:rStyle w:val="Hyperlink"/>
            </w:rPr>
            <w:t xml:space="preserve">Source link</w:t>
          </w:r>
        </w:hyperlink>
      </w:hyperlink>
    </w:p>
    <w:p>
      <w:pPr>
        <w:numPr>
          <w:ilvl w:val="0"/>
          <w:numId w:val="1024"/>
        </w:numPr>
        <w:pStyle w:val="Compact"/>
      </w:pPr>
      <w:r>
        <w:t xml:space="preserve">O*NET/BLS wages:</w:t>
      </w:r>
      <w:r>
        <w:t xml:space="preserve"> </w:t>
      </w:r>
      <w:hyperlink r:id="rId53">
        <w:hyperlink r:id="rId53">
          <w:r>
            <w:rPr>
              <w:rStyle w:val="Hyperlink"/>
            </w:rPr>
            <w:t xml:space="preserve">Source link</w:t>
          </w:r>
        </w:hyperlink>
      </w:hyperlink>
    </w:p>
    <w:p>
      <w:pPr>
        <w:numPr>
          <w:ilvl w:val="0"/>
          <w:numId w:val="1024"/>
        </w:numPr>
        <w:pStyle w:val="Compact"/>
      </w:pPr>
      <w:r>
        <w:t xml:space="preserve">CareerOneStop WIOA finder:</w:t>
      </w:r>
      <w:r>
        <w:t xml:space="preserve"> </w:t>
      </w:r>
      <w:hyperlink r:id="rId54">
        <w:hyperlink r:id="rId54">
          <w:r>
            <w:rPr>
              <w:rStyle w:val="Hyperlink"/>
            </w:rPr>
            <w:t xml:space="preserve">Source link</w:t>
          </w:r>
        </w:hyperlink>
      </w:hyperlink>
    </w:p>
    <w:p>
      <w:pPr>
        <w:numPr>
          <w:ilvl w:val="0"/>
          <w:numId w:val="1024"/>
        </w:numPr>
        <w:pStyle w:val="Compact"/>
      </w:pPr>
      <w:r>
        <w:t xml:space="preserve">CareerOneStop training finder:</w:t>
      </w:r>
      <w:r>
        <w:t xml:space="preserve"> </w:t>
      </w:r>
      <w:hyperlink r:id="rId55">
        <w:hyperlink r:id="rId55">
          <w:r>
            <w:rPr>
              <w:rStyle w:val="Hyperlink"/>
            </w:rPr>
            <w:t xml:space="preserve">Source link</w:t>
          </w:r>
        </w:hyperlink>
      </w:hyperlink>
    </w:p>
    <w:p>
      <w:pPr>
        <w:numPr>
          <w:ilvl w:val="0"/>
          <w:numId w:val="1024"/>
        </w:numPr>
        <w:pStyle w:val="Compact"/>
      </w:pPr>
      <w:r>
        <w:t xml:space="preserve">Canada Job Bank:</w:t>
      </w:r>
      <w:r>
        <w:t xml:space="preserve"> </w:t>
      </w:r>
      <w:hyperlink r:id="rId56">
        <w:hyperlink r:id="rId56">
          <w:r>
            <w:rPr>
              <w:rStyle w:val="Hyperlink"/>
            </w:rPr>
            <w:t xml:space="preserve">Source link</w:t>
          </w:r>
        </w:hyperlink>
      </w:hyperlink>
    </w:p>
    <w:p>
      <w:pPr>
        <w:numPr>
          <w:ilvl w:val="0"/>
          <w:numId w:val="1024"/>
        </w:numPr>
        <w:pStyle w:val="Compact"/>
      </w:pPr>
      <w:r>
        <w:t xml:space="preserve">Canada training gateway:</w:t>
      </w:r>
      <w:r>
        <w:t xml:space="preserve"> </w:t>
      </w:r>
      <w:hyperlink r:id="rId57">
        <w:hyperlink r:id="rId57">
          <w:r>
            <w:rPr>
              <w:rStyle w:val="Hyperlink"/>
            </w:rPr>
            <w:t xml:space="preserve">Source link</w:t>
          </w:r>
        </w:hyperlink>
      </w:hyperlink>
    </w:p>
    <w:p>
      <w:pPr>
        <w:numPr>
          <w:ilvl w:val="0"/>
          <w:numId w:val="1024"/>
        </w:numPr>
        <w:pStyle w:val="Compact"/>
      </w:pPr>
      <w:r>
        <w:t xml:space="preserve">Colombia OCUPACOL:</w:t>
      </w:r>
      <w:r>
        <w:t xml:space="preserve"> </w:t>
      </w:r>
      <w:hyperlink r:id="rId58">
        <w:r>
          <w:rPr>
            <w:rStyle w:val="Hyperlink"/>
          </w:rPr>
          <w:t xml:space="preserve">https://ocupacol.mintrabajo.gov.co/</w:t>
        </w:r>
      </w:hyperlink>
    </w:p>
    <w:p>
      <w:pPr>
        <w:numPr>
          <w:ilvl w:val="0"/>
          <w:numId w:val="1024"/>
        </w:numPr>
        <w:pStyle w:val="Compact"/>
      </w:pPr>
      <w:r>
        <w:t xml:space="preserve">SENA Betowa:</w:t>
      </w:r>
      <w:r>
        <w:t xml:space="preserve"> </w:t>
      </w:r>
      <w:hyperlink r:id="rId59">
        <w:r>
          <w:rPr>
            <w:rStyle w:val="Hyperlink"/>
          </w:rPr>
          <w:t xml:space="preserve">https://betowa.sena.edu.co/</w:t>
        </w:r>
      </w:hyperlink>
    </w:p>
    <w:p>
      <w:pPr>
        <w:numPr>
          <w:ilvl w:val="0"/>
          <w:numId w:val="1024"/>
        </w:numPr>
        <w:pStyle w:val="Compact"/>
      </w:pPr>
      <w:r>
        <w:t xml:space="preserve">OIT/Cinterfor:</w:t>
      </w:r>
      <w:r>
        <w:t xml:space="preserve"> </w:t>
      </w:r>
      <w:hyperlink r:id="rId60">
        <w:r>
          <w:rPr>
            <w:rStyle w:val="Hyperlink"/>
          </w:rPr>
          <w:t xml:space="preserve">https://www.oitcinterfor.org/statsfp/paises</w:t>
        </w:r>
      </w:hyperlink>
    </w:p>
    <w:p>
      <w:pPr>
        <w:numPr>
          <w:ilvl w:val="0"/>
          <w:numId w:val="1024"/>
        </w:numPr>
        <w:pStyle w:val="Compact"/>
      </w:pPr>
      <w:r>
        <w:t xml:space="preserve">U.S. Copyright Office for visual artists:</w:t>
      </w:r>
      <w:r>
        <w:t xml:space="preserve"> </w:t>
      </w:r>
      <w:hyperlink r:id="rId61">
        <w:hyperlink r:id="rId61">
          <w:r>
            <w:rPr>
              <w:rStyle w:val="Hyperlink"/>
            </w:rPr>
            <w:t xml:space="preserve">Source link</w:t>
          </w:r>
        </w:hyperlink>
      </w:hyperlink>
    </w:p>
    <w:p>
      <w:pPr>
        <w:numPr>
          <w:ilvl w:val="0"/>
          <w:numId w:val="1024"/>
        </w:numPr>
        <w:pStyle w:val="Compact"/>
      </w:pPr>
      <w:r>
        <w:t xml:space="preserve">WCAG 2.2:</w:t>
      </w:r>
      <w:r>
        <w:t xml:space="preserve"> </w:t>
      </w:r>
      <w:hyperlink r:id="rId62">
        <w:r>
          <w:rPr>
            <w:rStyle w:val="Hyperlink"/>
          </w:rPr>
          <w:t xml:space="preserve">https://www.w3.org/TR/WCAG22/</w:t>
        </w:r>
      </w:hyperlink>
    </w:p>
    <w:p>
      <w:pPr>
        <w:numPr>
          <w:ilvl w:val="0"/>
          <w:numId w:val="1024"/>
        </w:numPr>
        <w:pStyle w:val="Compact"/>
      </w:pPr>
      <w:r>
        <w:t xml:space="preserve">CISA Secure Our World:</w:t>
      </w:r>
      <w:r>
        <w:t xml:space="preserve"> </w:t>
      </w:r>
      <w:hyperlink r:id="rId63">
        <w:r>
          <w:rPr>
            <w:rStyle w:val="Hyperlink"/>
          </w:rPr>
          <w:t xml:space="preserve">https://www.cisa.gov/secure-our-world</w:t>
        </w:r>
      </w:hyperlink>
    </w:p>
    <w:p>
      <w:pPr>
        <w:numPr>
          <w:ilvl w:val="0"/>
          <w:numId w:val="1024"/>
        </w:numPr>
        <w:pStyle w:val="Compact"/>
      </w:pPr>
      <w:r>
        <w:t xml:space="preserve">NIST AI RMF:</w:t>
      </w:r>
      <w:r>
        <w:t xml:space="preserve"> </w:t>
      </w:r>
      <w:hyperlink r:id="rId64">
        <w:hyperlink r:id="rId64">
          <w:r>
            <w:rPr>
              <w:rStyle w:val="Hyperlink"/>
            </w:rPr>
            <w:t xml:space="preserve">Source link</w:t>
          </w:r>
        </w:hyperlink>
      </w:hyperlink>
    </w:p>
    <w:bookmarkEnd w:id="65"/>
    <w:bookmarkStart w:id="66"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funding, licensing, certification, apprenticeship placement, freelance work, client acquisition, or any other outcome. Requirements and opportunities change by employer, jurisdiction, provider, and time.</w:t>
      </w:r>
    </w:p>
    <w:p>
      <w:pPr>
        <w:pStyle w:val="BodyText"/>
      </w:pPr>
      <w:r>
        <w:t xml:space="preserve">This guide does not provide legal advice, copyright clearance, accessibility certification, cybersecurity certification, financial advice, or professional accreditation. Verify consequential decisions through current official sources and qualified professionals.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betowa.sena.edu.co/" TargetMode="External" /><Relationship Type="http://schemas.openxmlformats.org/officeDocument/2006/relationships/hyperlink" Id="rId58" Target="https://ocupacol.mintrabajo.gov.co/" TargetMode="External" /><Relationship Type="http://schemas.openxmlformats.org/officeDocument/2006/relationships/hyperlink" Id="rId57" Target="https://www.canada.ca/en/services/jobs/training.html"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3" Target="https://www.cisa.gov/secure-our-world" TargetMode="External" /><Relationship Type="http://schemas.openxmlformats.org/officeDocument/2006/relationships/hyperlink" Id="rId61" Target="https://www.copyright.gov/engage/visual-artists/" TargetMode="External" /><Relationship Type="http://schemas.openxmlformats.org/officeDocument/2006/relationships/hyperlink" Id="rId56" Target="https://www.jobbank.gc.ca/marketreport/summary-occupation/5688/ca" TargetMode="External" /><Relationship Type="http://schemas.openxmlformats.org/officeDocument/2006/relationships/hyperlink" Id="rId64" Target="https://www.nist.gov/itl/ai-risk-management-framework" TargetMode="External" /><Relationship Type="http://schemas.openxmlformats.org/officeDocument/2006/relationships/hyperlink" Id="rId60" Target="https://www.oitcinterfor.org/statsfp/paises" TargetMode="External" /><Relationship Type="http://schemas.openxmlformats.org/officeDocument/2006/relationships/hyperlink" Id="rId52" Target="https://www.onetonline.org/link/details/27-1024.00" TargetMode="External" /><Relationship Type="http://schemas.openxmlformats.org/officeDocument/2006/relationships/hyperlink" Id="rId53" Target="https://www.onetonline.org/link/localwages/27-1024.00" TargetMode="External" /><Relationship Type="http://schemas.openxmlformats.org/officeDocument/2006/relationships/hyperlink" Id="rId62"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59" Target="https://betowa.sena.edu.co/" TargetMode="External" /><Relationship Type="http://schemas.openxmlformats.org/officeDocument/2006/relationships/hyperlink" Id="rId58" Target="https://ocupacol.mintrabajo.gov.co/" TargetMode="External" /><Relationship Type="http://schemas.openxmlformats.org/officeDocument/2006/relationships/hyperlink" Id="rId57" Target="https://www.canada.ca/en/services/jobs/training.html"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3" Target="https://www.cisa.gov/secure-our-world" TargetMode="External" /><Relationship Type="http://schemas.openxmlformats.org/officeDocument/2006/relationships/hyperlink" Id="rId61" Target="https://www.copyright.gov/engage/visual-artists/" TargetMode="External" /><Relationship Type="http://schemas.openxmlformats.org/officeDocument/2006/relationships/hyperlink" Id="rId56" Target="https://www.jobbank.gc.ca/marketreport/summary-occupation/5688/ca" TargetMode="External" /><Relationship Type="http://schemas.openxmlformats.org/officeDocument/2006/relationships/hyperlink" Id="rId64" Target="https://www.nist.gov/itl/ai-risk-management-framework" TargetMode="External" /><Relationship Type="http://schemas.openxmlformats.org/officeDocument/2006/relationships/hyperlink" Id="rId60" Target="https://www.oitcinterfor.org/statsfp/paises" TargetMode="External" /><Relationship Type="http://schemas.openxmlformats.org/officeDocument/2006/relationships/hyperlink" Id="rId52" Target="https://www.onetonline.org/link/details/27-1024.00" TargetMode="External" /><Relationship Type="http://schemas.openxmlformats.org/officeDocument/2006/relationships/hyperlink" Id="rId53" Target="https://www.onetonline.org/link/localwages/27-1024.00" TargetMode="External" /><Relationship Type="http://schemas.openxmlformats.org/officeDocument/2006/relationships/hyperlink" Id="rId62"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2026-08-21T23:26:39Z</dcterms:created>
  <dcterms:modified xsi:type="dcterms:W3CDTF">2026-08-21T23:26:39Z</dcterms:modified>
</cp:coreProperties>
</file>

<file path=docProps/custom.xml><?xml version="1.0" encoding="utf-8"?>
<Properties xmlns="http://schemas.openxmlformats.org/officeDocument/2006/custom-properties" xmlns:vt="http://schemas.openxmlformats.org/officeDocument/2006/docPropsVTypes"/>
</file>