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5df5725215056ae331c283e8f6321727ca22fad"/>
    <w:p>
      <w:pPr>
        <w:pStyle w:val="Heading1"/>
      </w:pPr>
      <w:r>
        <w:t xml:space="preserve">Guía de Oportunidades para Toda la Vida 79 — Especialista en redacción técnica y documentación</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(es-419)</w:t>
      </w:r>
      <w:r>
        <w:br/>
      </w:r>
      <w:r>
        <w:rPr>
          <w:bCs/>
          <w:b/>
        </w:rPr>
        <w:t xml:space="preserve">Fuente inglesa congelada:</w:t>
      </w:r>
      <w:r>
        <w:t xml:space="preserve"> </w:t>
      </w:r>
      <w:r>
        <w:t xml:space="preserve">blob</w:t>
      </w:r>
      <w:r>
        <w:t xml:space="preserve"> </w:t>
      </w:r>
      <w:r>
        <w:rPr>
          <w:rStyle w:val="VerbatimChar"/>
        </w:rPr>
        <w:t xml:space="preserve">2163c5b3b3372a6f2518f7e9e83cfd9801aa82e2</w:t>
      </w:r>
      <w:r>
        <w:br/>
      </w:r>
      <w:r>
        <w:rPr>
          <w:bCs/>
          <w:b/>
        </w:rPr>
        <w:t xml:space="preserve">Referencia ocupacional de EE. UU.:</w:t>
      </w:r>
      <w:r>
        <w:t xml:space="preserve"> </w:t>
      </w:r>
      <w:r>
        <w:t xml:space="preserve">O*NET-SOC 27-3042.00 — Technical Writers</w:t>
      </w:r>
      <w:r>
        <w:br/>
      </w:r>
      <w:r>
        <w:rPr>
          <w:bCs/>
          <w:b/>
        </w:rPr>
        <w:t xml:space="preserve">Comparación de Canadá:</w:t>
      </w:r>
      <w:r>
        <w:t xml:space="preserve"> </w:t>
      </w:r>
      <w:r>
        <w:t xml:space="preserve">NOC 51112 — Technical writers</w:t>
      </w:r>
      <w:r>
        <w:br/>
      </w:r>
      <w:r>
        <w:rPr>
          <w:bCs/>
          <w:b/>
        </w:rPr>
        <w:t xml:space="preserve">Comparación de Colombia:</w:t>
      </w:r>
      <w:r>
        <w:t xml:space="preserve"> </w:t>
      </w:r>
      <w:r>
        <w:t xml:space="preserve">CUOC 26410 — Autores y otros escritores, incluidos títulos de redacción técnica/documentación</w:t>
      </w:r>
      <w:r>
        <w:br/>
      </w:r>
      <w:r>
        <w:rPr>
          <w:bCs/>
          <w:b/>
        </w:rPr>
        <w:t xml:space="preserve">Fecha de revisión:</w:t>
      </w:r>
      <w:r>
        <w:t xml:space="preserve"> </w:t>
      </w:r>
      <w:r>
        <w:t xml:space="preserve">2026-08-21</w:t>
      </w:r>
    </w:p>
    <w:bookmarkStart w:id="20" w:name="qué-es-esta-carrera"/>
    <w:p>
      <w:pPr>
        <w:pStyle w:val="Heading2"/>
      </w:pPr>
      <w:r>
        <w:t xml:space="preserve">Qué es esta carrera</w:t>
      </w:r>
    </w:p>
    <w:p>
      <w:pPr>
        <w:pStyle w:val="FirstParagraph"/>
      </w:pPr>
      <w:r>
        <w:t xml:space="preserve">Las personas que trabajan en redacción técnica y documentación convierten información compleja y especializada en materiales que una audiencia determinada puede usar con precisión y seguridad. Pueden crear manuales de equipos, procedimientos, instrucciones de operación y mantenimiento, documentación de productos, ayuda en línea, artículos de bases de conocimiento, especificaciones, guías de instalación, información de solución de problemas, documentación para desarrolladores y API, notas de versión, materiales de apoyo para capacitación, documentación de políticas y procesos u otro contenido técnico controlado.</w:t>
      </w:r>
    </w:p>
    <w:p>
      <w:pPr>
        <w:pStyle w:val="BodyText"/>
      </w:pPr>
      <w:r>
        <w:t xml:space="preserve">Este trabajo es más que “escribir bien”. Una buena persona redactora técnica identifica la fuente autorizada, entiende a la audiencia y la tarea, formula preguntas precisas, registra supuestos, organiza la información, gestiona revisiones, coordina la revisión de especialistas en la materia, publica mediante el sistema aprobado y actualiza la documentación cuando cambia el producto o proceso.</w:t>
      </w:r>
    </w:p>
    <w:p>
      <w:pPr>
        <w:pStyle w:val="BodyText"/>
      </w:pPr>
      <w:r>
        <w:t xml:space="preserve">Esta guía usa</w:t>
      </w:r>
      <w:r>
        <w:t xml:space="preserve"> </w:t>
      </w:r>
      <w:r>
        <w:rPr>
          <w:bCs/>
          <w:b/>
        </w:rPr>
        <w:t xml:space="preserve">O*NET-SOC 27-3042.00 — Technical Writers</w:t>
      </w:r>
      <w:r>
        <w:t xml:space="preserve"> </w:t>
      </w:r>
      <w:r>
        <w:t xml:space="preserve">como referencia principal de Estados Unidos. El perfil de O*NET de 2026 incluye organizar material para lograr claridad y consistencia terminológica, mantener registros de revisiones, editar material preparado por otras personas, seleccionar ilustraciones, entrevistar a personal técnico, desarrollar ayuda en línea, estudiar planos/especificaciones/muestras de productos y revisar material publicado para identificar cambios necesarios.</w:t>
      </w:r>
    </w:p>
    <w:bookmarkEnd w:id="20"/>
    <w:bookmarkStart w:id="21" w:name="X346acdf6c862651f65994ba8236d11aa18a322c"/>
    <w:p>
      <w:pPr>
        <w:pStyle w:val="Heading2"/>
      </w:pPr>
      <w:r>
        <w:t xml:space="preserve">Por qué este rol puede ser una oportunidad</w:t>
      </w:r>
    </w:p>
    <w:p>
      <w:pPr>
        <w:pStyle w:val="FirstParagraph"/>
      </w:pPr>
      <w:r>
        <w:t xml:space="preserve">La documentación técnica existe donde sea necesario entender un producto, sistema, proceso o campo especializado. Los empleadores pueden incluir empresas de software y tecnología, manufactura, ingeniería, organismos públicos, firmas de consultoría, organizaciones médicas o científicas, entidades financieras, telecomunicaciones, defensa/aeroespacial, servicios públicos, capacitación y editoriales.</w:t>
      </w:r>
    </w:p>
    <w:p>
      <w:pPr>
        <w:pStyle w:val="BodyText"/>
      </w:pPr>
      <w:r>
        <w:t xml:space="preserve">La experiencia transferible puede venir de ingeniería u operaciones técnicas, soporte de TI y administración de sistemas, desarrollo o QA de software, atención al cliente, manufactura y mantenimiento, salud o ciencia, coordinación de proyectos, cumplimiento o sistemas de calidad, diseño instruccional, periodismo o escritura profesional, edición, gestión del conocimiento, análisis de negocios, servicio de campo y capacitación.</w:t>
      </w:r>
    </w:p>
    <w:p>
      <w:pPr>
        <w:pStyle w:val="BodyText"/>
      </w:pPr>
      <w:r>
        <w:t xml:space="preserve">El conocimiento especializado puede ser una ventaja importante porque quien redacta debe detectar cuándo una afirmación técnica está incompleta o requiere escalamiento. Sin embargo, conocer el dominio no reemplaza la aprobación formal de quienes son responsables de ingeniería, seguridad, asuntos legales, medicina, regulación o ciberseguridad.</w:t>
      </w:r>
    </w:p>
    <w:bookmarkEnd w:id="21"/>
    <w:bookmarkStart w:id="26" w:name="X6681cbb76d224a8ccfa468691dbcf301a8eed10"/>
    <w:p>
      <w:pPr>
        <w:pStyle w:val="Heading2"/>
      </w:pPr>
      <w:r>
        <w:t xml:space="preserve">Redactor técnico, especialista en documentación, editor técnico y especialista en la materia no son el mismo rol</w:t>
      </w:r>
    </w:p>
    <w:p>
      <w:pPr>
        <w:pStyle w:val="FirstParagraph"/>
      </w:pPr>
      <w:r>
        <w:t xml:space="preserve">Los títulos cambian según el empleador, pero estas diferencias son útiles.</w:t>
      </w:r>
    </w:p>
    <w:bookmarkStart w:id="22" w:name="redactor-o-redactora-técnica"/>
    <w:p>
      <w:pPr>
        <w:pStyle w:val="Heading3"/>
      </w:pPr>
      <w:r>
        <w:t xml:space="preserve">Redactor o redactora técnica</w:t>
      </w:r>
    </w:p>
    <w:p>
      <w:pPr>
        <w:pStyle w:val="FirstParagraph"/>
      </w:pPr>
      <w:r>
        <w:t xml:space="preserve">Puede:</w:t>
      </w:r>
    </w:p>
    <w:p>
      <w:pPr>
        <w:numPr>
          <w:ilvl w:val="0"/>
          <w:numId w:val="1001"/>
        </w:numPr>
        <w:pStyle w:val="Compact"/>
      </w:pPr>
      <w:r>
        <w:t xml:space="preserve">investigar un tema técnico;</w:t>
      </w:r>
    </w:p>
    <w:p>
      <w:pPr>
        <w:numPr>
          <w:ilvl w:val="0"/>
          <w:numId w:val="1001"/>
        </w:numPr>
        <w:pStyle w:val="Compact"/>
      </w:pPr>
      <w:r>
        <w:t xml:space="preserve">entrevistar a especialistas en la materia (SME);</w:t>
      </w:r>
    </w:p>
    <w:p>
      <w:pPr>
        <w:numPr>
          <w:ilvl w:val="0"/>
          <w:numId w:val="1001"/>
        </w:numPr>
        <w:pStyle w:val="Compact"/>
      </w:pPr>
      <w:r>
        <w:t xml:space="preserve">redactar y revisar instrucciones o explicaciones;</w:t>
      </w:r>
    </w:p>
    <w:p>
      <w:pPr>
        <w:numPr>
          <w:ilvl w:val="0"/>
          <w:numId w:val="1001"/>
        </w:numPr>
        <w:pStyle w:val="Compact"/>
      </w:pPr>
      <w:r>
        <w:t xml:space="preserve">organizar contenido y terminología;</w:t>
      </w:r>
    </w:p>
    <w:p>
      <w:pPr>
        <w:numPr>
          <w:ilvl w:val="0"/>
          <w:numId w:val="1001"/>
        </w:numPr>
        <w:pStyle w:val="Compact"/>
      </w:pPr>
      <w:r>
        <w:t xml:space="preserve">crear diagramas o seleccionar ilustraciones;</w:t>
      </w:r>
    </w:p>
    <w:p>
      <w:pPr>
        <w:numPr>
          <w:ilvl w:val="0"/>
          <w:numId w:val="1001"/>
        </w:numPr>
        <w:pStyle w:val="Compact"/>
      </w:pPr>
      <w:r>
        <w:t xml:space="preserve">comprobar si las instrucciones son comprensibles;</w:t>
      </w:r>
    </w:p>
    <w:p>
      <w:pPr>
        <w:numPr>
          <w:ilvl w:val="0"/>
          <w:numId w:val="1001"/>
        </w:numPr>
        <w:pStyle w:val="Compact"/>
      </w:pPr>
      <w:r>
        <w:t xml:space="preserve">coordinar revisiones;</w:t>
      </w:r>
    </w:p>
    <w:p>
      <w:pPr>
        <w:numPr>
          <w:ilvl w:val="0"/>
          <w:numId w:val="1001"/>
        </w:numPr>
        <w:pStyle w:val="Compact"/>
      </w:pPr>
      <w:r>
        <w:t xml:space="preserve">mantener archivos fuente e historial de revisiones;</w:t>
      </w:r>
    </w:p>
    <w:p>
      <w:pPr>
        <w:numPr>
          <w:ilvl w:val="0"/>
          <w:numId w:val="1001"/>
        </w:numPr>
        <w:pStyle w:val="Compact"/>
      </w:pPr>
      <w:r>
        <w:t xml:space="preserve">publicar mediante sistemas aprobados.</w:t>
      </w:r>
    </w:p>
    <w:bookmarkEnd w:id="22"/>
    <w:bookmarkStart w:id="23" w:name="especialista-en-documentación"/>
    <w:p>
      <w:pPr>
        <w:pStyle w:val="Heading3"/>
      </w:pPr>
      <w:r>
        <w:t xml:space="preserve">Especialista en documentación</w:t>
      </w:r>
    </w:p>
    <w:p>
      <w:pPr>
        <w:pStyle w:val="FirstParagraph"/>
      </w:pPr>
      <w:r>
        <w:t xml:space="preserve">Puede además enfocarse en:</w:t>
      </w:r>
    </w:p>
    <w:p>
      <w:pPr>
        <w:numPr>
          <w:ilvl w:val="0"/>
          <w:numId w:val="1002"/>
        </w:numPr>
        <w:pStyle w:val="Compact"/>
      </w:pPr>
      <w:r>
        <w:t xml:space="preserve">plantillas y estándares;</w:t>
      </w:r>
    </w:p>
    <w:p>
      <w:pPr>
        <w:numPr>
          <w:ilvl w:val="0"/>
          <w:numId w:val="1002"/>
        </w:numPr>
        <w:pStyle w:val="Compact"/>
      </w:pPr>
      <w:r>
        <w:t xml:space="preserve">control documental;</w:t>
      </w:r>
    </w:p>
    <w:p>
      <w:pPr>
        <w:numPr>
          <w:ilvl w:val="0"/>
          <w:numId w:val="1002"/>
        </w:numPr>
        <w:pStyle w:val="Compact"/>
      </w:pPr>
      <w:r>
        <w:t xml:space="preserve">metadatos;</w:t>
      </w:r>
    </w:p>
    <w:p>
      <w:pPr>
        <w:numPr>
          <w:ilvl w:val="0"/>
          <w:numId w:val="1002"/>
        </w:numPr>
        <w:pStyle w:val="Compact"/>
      </w:pPr>
      <w:r>
        <w:t xml:space="preserve">repositorios de contenido;</w:t>
      </w:r>
    </w:p>
    <w:p>
      <w:pPr>
        <w:numPr>
          <w:ilvl w:val="0"/>
          <w:numId w:val="1002"/>
        </w:numPr>
        <w:pStyle w:val="Compact"/>
      </w:pPr>
      <w:r>
        <w:t xml:space="preserve">paquetes de documentos o entregables de versión;</w:t>
      </w:r>
    </w:p>
    <w:p>
      <w:pPr>
        <w:numPr>
          <w:ilvl w:val="0"/>
          <w:numId w:val="1002"/>
        </w:numPr>
        <w:pStyle w:val="Compact"/>
      </w:pPr>
      <w:r>
        <w:t xml:space="preserve">registros de revisión;</w:t>
      </w:r>
    </w:p>
    <w:p>
      <w:pPr>
        <w:numPr>
          <w:ilvl w:val="0"/>
          <w:numId w:val="1002"/>
        </w:numPr>
        <w:pStyle w:val="Compact"/>
      </w:pPr>
      <w:r>
        <w:t xml:space="preserve">permisos;</w:t>
      </w:r>
    </w:p>
    <w:p>
      <w:pPr>
        <w:numPr>
          <w:ilvl w:val="0"/>
          <w:numId w:val="1002"/>
        </w:numPr>
        <w:pStyle w:val="Compact"/>
      </w:pPr>
      <w:r>
        <w:t xml:space="preserve">rutas de revisión y aprobación;</w:t>
      </w:r>
    </w:p>
    <w:p>
      <w:pPr>
        <w:numPr>
          <w:ilvl w:val="0"/>
          <w:numId w:val="1002"/>
        </w:numPr>
        <w:pStyle w:val="Compact"/>
      </w:pPr>
      <w:r>
        <w:t xml:space="preserve">archivo o retención según políticas asignadas;</w:t>
      </w:r>
    </w:p>
    <w:p>
      <w:pPr>
        <w:numPr>
          <w:ilvl w:val="0"/>
          <w:numId w:val="1002"/>
        </w:numPr>
        <w:pStyle w:val="Compact"/>
      </w:pPr>
      <w:r>
        <w:t xml:space="preserve">distribución controlada.</w:t>
      </w:r>
    </w:p>
    <w:bookmarkEnd w:id="23"/>
    <w:bookmarkStart w:id="24" w:name="editor-o-editora-técnica"/>
    <w:p>
      <w:pPr>
        <w:pStyle w:val="Heading3"/>
      </w:pPr>
      <w:r>
        <w:t xml:space="preserve">Editor o editora técnica</w:t>
      </w:r>
    </w:p>
    <w:p>
      <w:pPr>
        <w:pStyle w:val="FirstParagraph"/>
      </w:pPr>
      <w:r>
        <w:t xml:space="preserve">Puede enfocarse en:</w:t>
      </w:r>
    </w:p>
    <w:p>
      <w:pPr>
        <w:numPr>
          <w:ilvl w:val="0"/>
          <w:numId w:val="1003"/>
        </w:numPr>
        <w:pStyle w:val="Compact"/>
      </w:pPr>
      <w:r>
        <w:t xml:space="preserve">consistencia;</w:t>
      </w:r>
    </w:p>
    <w:p>
      <w:pPr>
        <w:numPr>
          <w:ilvl w:val="0"/>
          <w:numId w:val="1003"/>
        </w:numPr>
        <w:pStyle w:val="Compact"/>
      </w:pPr>
      <w:r>
        <w:t xml:space="preserve">gramática y uso;</w:t>
      </w:r>
    </w:p>
    <w:p>
      <w:pPr>
        <w:numPr>
          <w:ilvl w:val="0"/>
          <w:numId w:val="1003"/>
        </w:numPr>
        <w:pStyle w:val="Compact"/>
      </w:pPr>
      <w:r>
        <w:t xml:space="preserve">terminología;</w:t>
      </w:r>
    </w:p>
    <w:p>
      <w:pPr>
        <w:numPr>
          <w:ilvl w:val="0"/>
          <w:numId w:val="1003"/>
        </w:numPr>
        <w:pStyle w:val="Compact"/>
      </w:pPr>
      <w:r>
        <w:t xml:space="preserve">estructura;</w:t>
      </w:r>
    </w:p>
    <w:p>
      <w:pPr>
        <w:numPr>
          <w:ilvl w:val="0"/>
          <w:numId w:val="1003"/>
        </w:numPr>
        <w:pStyle w:val="Compact"/>
      </w:pPr>
      <w:r>
        <w:t xml:space="preserve">cumplimiento de guías de estilo;</w:t>
      </w:r>
    </w:p>
    <w:p>
      <w:pPr>
        <w:numPr>
          <w:ilvl w:val="0"/>
          <w:numId w:val="1003"/>
        </w:numPr>
        <w:pStyle w:val="Compact"/>
      </w:pPr>
      <w:r>
        <w:t xml:space="preserve">preguntas factuales que requieren resolución por un SME;</w:t>
      </w:r>
    </w:p>
    <w:p>
      <w:pPr>
        <w:numPr>
          <w:ilvl w:val="0"/>
          <w:numId w:val="1003"/>
        </w:numPr>
        <w:pStyle w:val="Compact"/>
      </w:pPr>
      <w:r>
        <w:t xml:space="preserve">consistencia entre documentos.</w:t>
      </w:r>
    </w:p>
    <w:bookmarkEnd w:id="24"/>
    <w:bookmarkStart w:id="25" w:name="especialista-en-la-materia"/>
    <w:p>
      <w:pPr>
        <w:pStyle w:val="Heading3"/>
      </w:pPr>
      <w:r>
        <w:t xml:space="preserve">Especialista en la materia</w:t>
      </w:r>
    </w:p>
    <w:p>
      <w:pPr>
        <w:pStyle w:val="FirstParagraph"/>
      </w:pPr>
      <w:r>
        <w:t xml:space="preserve">El SME posee o aporta el conocimiento técnico especializado. Quien redacta debe cuestionar ambigüedades y solicitar evidencia, pero no debe sustituir silenciosamente al ingeniero, científico, clínico, abogado, profesional de seguridad, dueño del producto u otra autoridad responsable.</w:t>
      </w:r>
    </w:p>
    <w:bookmarkEnd w:id="25"/>
    <w:bookmarkEnd w:id="26"/>
    <w:bookmarkStart w:id="27" w:name="autoridad-y-límites-profesionales"/>
    <w:p>
      <w:pPr>
        <w:pStyle w:val="Heading2"/>
      </w:pPr>
      <w:r>
        <w:t xml:space="preserve">Autoridad y límites profesionales</w:t>
      </w:r>
    </w:p>
    <w:p>
      <w:pPr>
        <w:pStyle w:val="FirstParagraph"/>
      </w:pPr>
      <w:r>
        <w:t xml:space="preserve">Un cargo de documentación</w:t>
      </w:r>
      <w:r>
        <w:t xml:space="preserve"> </w:t>
      </w:r>
      <w:r>
        <w:rPr>
          <w:bCs/>
          <w:b/>
        </w:rPr>
        <w:t xml:space="preserve">no</w:t>
      </w:r>
      <w:r>
        <w:t xml:space="preserve"> </w:t>
      </w:r>
      <w:r>
        <w:t xml:space="preserve">autoriza automáticamente a una persona para:</w:t>
      </w:r>
    </w:p>
    <w:p>
      <w:pPr>
        <w:numPr>
          <w:ilvl w:val="0"/>
          <w:numId w:val="1004"/>
        </w:numPr>
        <w:pStyle w:val="Compact"/>
      </w:pPr>
      <w:r>
        <w:t xml:space="preserve">aprobar un diseño de ingeniería;</w:t>
      </w:r>
    </w:p>
    <w:p>
      <w:pPr>
        <w:numPr>
          <w:ilvl w:val="0"/>
          <w:numId w:val="1004"/>
        </w:numPr>
        <w:pStyle w:val="Compact"/>
      </w:pPr>
      <w:r>
        <w:t xml:space="preserve">certificar que un producto o proceso es seguro;</w:t>
      </w:r>
    </w:p>
    <w:p>
      <w:pPr>
        <w:numPr>
          <w:ilvl w:val="0"/>
          <w:numId w:val="1004"/>
        </w:numPr>
        <w:pStyle w:val="Compact"/>
      </w:pPr>
      <w:r>
        <w:t xml:space="preserve">determinar cumplimiento legal o regulatorio;</w:t>
      </w:r>
    </w:p>
    <w:p>
      <w:pPr>
        <w:numPr>
          <w:ilvl w:val="0"/>
          <w:numId w:val="1004"/>
        </w:numPr>
        <w:pStyle w:val="Compact"/>
      </w:pPr>
      <w:r>
        <w:t xml:space="preserve">prescribir tratamiento médico;</w:t>
      </w:r>
    </w:p>
    <w:p>
      <w:pPr>
        <w:numPr>
          <w:ilvl w:val="0"/>
          <w:numId w:val="1004"/>
        </w:numPr>
        <w:pStyle w:val="Compact"/>
      </w:pPr>
      <w:r>
        <w:t xml:space="preserve">aprobar arquitectura de seguridad o divulgar información restringida de seguridad;</w:t>
      </w:r>
    </w:p>
    <w:p>
      <w:pPr>
        <w:numPr>
          <w:ilvl w:val="0"/>
          <w:numId w:val="1004"/>
        </w:numPr>
        <w:pStyle w:val="Compact"/>
      </w:pPr>
      <w:r>
        <w:t xml:space="preserve">cambiar un procedimiento controlado sin la aprobación requerida;</w:t>
      </w:r>
    </w:p>
    <w:p>
      <w:pPr>
        <w:numPr>
          <w:ilvl w:val="0"/>
          <w:numId w:val="1004"/>
        </w:numPr>
        <w:pStyle w:val="Compact"/>
      </w:pPr>
      <w:r>
        <w:t xml:space="preserve">inventar resultados de pruebas, especificaciones, tolerancias, advertencias o intervalos de mantenimiento;</w:t>
      </w:r>
    </w:p>
    <w:p>
      <w:pPr>
        <w:numPr>
          <w:ilvl w:val="0"/>
          <w:numId w:val="1004"/>
        </w:numPr>
        <w:pStyle w:val="Compact"/>
      </w:pPr>
      <w:r>
        <w:t xml:space="preserve">eliminar una advertencia porque dificulta la lectura;</w:t>
      </w:r>
    </w:p>
    <w:p>
      <w:pPr>
        <w:numPr>
          <w:ilvl w:val="0"/>
          <w:numId w:val="1004"/>
        </w:numPr>
        <w:pStyle w:val="Compact"/>
      </w:pPr>
      <w:r>
        <w:t xml:space="preserve">aprobar una versión de software;</w:t>
      </w:r>
    </w:p>
    <w:p>
      <w:pPr>
        <w:numPr>
          <w:ilvl w:val="0"/>
          <w:numId w:val="1004"/>
        </w:numPr>
        <w:pStyle w:val="Compact"/>
      </w:pPr>
      <w:r>
        <w:t xml:space="preserve">definir por cuenta propia reglas de retención de registros;</w:t>
      </w:r>
    </w:p>
    <w:p>
      <w:pPr>
        <w:numPr>
          <w:ilvl w:val="0"/>
          <w:numId w:val="1004"/>
        </w:numPr>
        <w:pStyle w:val="Compact"/>
      </w:pPr>
      <w:r>
        <w:t xml:space="preserve">divulgar información confidencial, de exportación controlada, clasificada, de clientes, empleados o propietaria;</w:t>
      </w:r>
    </w:p>
    <w:p>
      <w:pPr>
        <w:numPr>
          <w:ilvl w:val="0"/>
          <w:numId w:val="1004"/>
        </w:numPr>
        <w:pStyle w:val="Compact"/>
      </w:pPr>
      <w:r>
        <w:t xml:space="preserve">presentar una revisión automatizada de accesibilidad como certificación legal completa;</w:t>
      </w:r>
    </w:p>
    <w:p>
      <w:pPr>
        <w:numPr>
          <w:ilvl w:val="0"/>
          <w:numId w:val="1004"/>
        </w:numPr>
        <w:pStyle w:val="Compact"/>
      </w:pPr>
      <w:r>
        <w:t xml:space="preserve">tratar contenido técnico generado por IA como autoridad sin verificación;</w:t>
      </w:r>
    </w:p>
    <w:p>
      <w:pPr>
        <w:numPr>
          <w:ilvl w:val="0"/>
          <w:numId w:val="1004"/>
        </w:numPr>
        <w:pStyle w:val="Compact"/>
      </w:pPr>
      <w:r>
        <w:t xml:space="preserve">traducir contenido regulado o crítico para la seguridad y llamarlo traducción certificada sin revisión calificada apropiada.</w:t>
      </w:r>
    </w:p>
    <w:p>
      <w:pPr>
        <w:pStyle w:val="FirstParagraph"/>
      </w:pPr>
      <w:r>
        <w:t xml:space="preserve">Cuando la información sea relevante para seguridad, operación, cumplimiento o exista una disputa, documente la pregunta y remítala a la persona autorizada. Una frase bien escrita no sustituye un hecho aprobado.</w:t>
      </w:r>
    </w:p>
    <w:bookmarkEnd w:id="27"/>
    <w:bookmarkStart w:id="28" w:name="responsabilidades-habituales"/>
    <w:p>
      <w:pPr>
        <w:pStyle w:val="Heading2"/>
      </w:pPr>
      <w:r>
        <w:t xml:space="preserve">Responsabilidades habituales</w:t>
      </w:r>
    </w:p>
    <w:p>
      <w:pPr>
        <w:pStyle w:val="FirstParagraph"/>
      </w:pPr>
      <w:r>
        <w:t xml:space="preserve">Según la organización, una persona redactora técnica o especialista en documentación puede:</w:t>
      </w:r>
    </w:p>
    <w:p>
      <w:pPr>
        <w:numPr>
          <w:ilvl w:val="0"/>
          <w:numId w:val="1005"/>
        </w:numPr>
        <w:pStyle w:val="Compact"/>
      </w:pPr>
      <w:r>
        <w:t xml:space="preserve">identificar audiencia y propósito;</w:t>
      </w:r>
    </w:p>
    <w:p>
      <w:pPr>
        <w:numPr>
          <w:ilvl w:val="0"/>
          <w:numId w:val="1005"/>
        </w:numPr>
        <w:pStyle w:val="Compact"/>
      </w:pPr>
      <w:r>
        <w:t xml:space="preserve">recopilar material fuente aprobado;</w:t>
      </w:r>
    </w:p>
    <w:p>
      <w:pPr>
        <w:numPr>
          <w:ilvl w:val="0"/>
          <w:numId w:val="1005"/>
        </w:numPr>
        <w:pStyle w:val="Compact"/>
      </w:pPr>
      <w:r>
        <w:t xml:space="preserve">entrevistar ingenieros, desarrolladores, técnicos, gerentes de producto, analistas, científicos u otros SME;</w:t>
      </w:r>
    </w:p>
    <w:p>
      <w:pPr>
        <w:numPr>
          <w:ilvl w:val="0"/>
          <w:numId w:val="1005"/>
        </w:numPr>
        <w:pStyle w:val="Compact"/>
      </w:pPr>
      <w:r>
        <w:t xml:space="preserve">observar un proceso o demostración;</w:t>
      </w:r>
    </w:p>
    <w:p>
      <w:pPr>
        <w:numPr>
          <w:ilvl w:val="0"/>
          <w:numId w:val="1005"/>
        </w:numPr>
        <w:pStyle w:val="Compact"/>
      </w:pPr>
      <w:r>
        <w:t xml:space="preserve">estudiar planos, especificaciones, tickets, requisitos, código fuente, resultados de pruebas o manuales existentes dentro del acceso autorizado;</w:t>
      </w:r>
    </w:p>
    <w:p>
      <w:pPr>
        <w:numPr>
          <w:ilvl w:val="0"/>
          <w:numId w:val="1005"/>
        </w:numPr>
        <w:pStyle w:val="Compact"/>
      </w:pPr>
      <w:r>
        <w:t xml:space="preserve">crear esquemas y arquitecturas de información;</w:t>
      </w:r>
    </w:p>
    <w:p>
      <w:pPr>
        <w:numPr>
          <w:ilvl w:val="0"/>
          <w:numId w:val="1005"/>
        </w:numPr>
        <w:pStyle w:val="Compact"/>
      </w:pPr>
      <w:r>
        <w:t xml:space="preserve">definir terminología y glosarios;</w:t>
      </w:r>
    </w:p>
    <w:p>
      <w:pPr>
        <w:numPr>
          <w:ilvl w:val="0"/>
          <w:numId w:val="1005"/>
        </w:numPr>
        <w:pStyle w:val="Compact"/>
      </w:pPr>
      <w:r>
        <w:t xml:space="preserve">redactar procedimientos orientados a tareas;</w:t>
      </w:r>
    </w:p>
    <w:p>
      <w:pPr>
        <w:numPr>
          <w:ilvl w:val="0"/>
          <w:numId w:val="1005"/>
        </w:numPr>
        <w:pStyle w:val="Compact"/>
      </w:pPr>
      <w:r>
        <w:t xml:space="preserve">redactar contenido conceptual o explicativo;</w:t>
      </w:r>
    </w:p>
    <w:p>
      <w:pPr>
        <w:numPr>
          <w:ilvl w:val="0"/>
          <w:numId w:val="1005"/>
        </w:numPr>
        <w:pStyle w:val="Compact"/>
      </w:pPr>
      <w:r>
        <w:t xml:space="preserve">producir material de referencia;</w:t>
      </w:r>
    </w:p>
    <w:p>
      <w:pPr>
        <w:numPr>
          <w:ilvl w:val="0"/>
          <w:numId w:val="1005"/>
        </w:numPr>
        <w:pStyle w:val="Compact"/>
      </w:pPr>
      <w:r>
        <w:t xml:space="preserve">crear rutas de solución de problemas;</w:t>
      </w:r>
    </w:p>
    <w:p>
      <w:pPr>
        <w:numPr>
          <w:ilvl w:val="0"/>
          <w:numId w:val="1005"/>
        </w:numPr>
        <w:pStyle w:val="Compact"/>
      </w:pPr>
      <w:r>
        <w:t xml:space="preserve">preparar diagramas, capturas o ilustraciones anotadas;</w:t>
      </w:r>
    </w:p>
    <w:p>
      <w:pPr>
        <w:numPr>
          <w:ilvl w:val="0"/>
          <w:numId w:val="1005"/>
        </w:numPr>
        <w:pStyle w:val="Compact"/>
      </w:pPr>
      <w:r>
        <w:t xml:space="preserve">crear o mantener ayuda en línea y artículos de conocimiento;</w:t>
      </w:r>
    </w:p>
    <w:p>
      <w:pPr>
        <w:numPr>
          <w:ilvl w:val="0"/>
          <w:numId w:val="1005"/>
        </w:numPr>
        <w:pStyle w:val="Compact"/>
      </w:pPr>
      <w:r>
        <w:t xml:space="preserve">documentar API, comandos, configuraciones o ejemplos de código cuando tenga la preparación adecuada;</w:t>
      </w:r>
    </w:p>
    <w:p>
      <w:pPr>
        <w:numPr>
          <w:ilvl w:val="0"/>
          <w:numId w:val="1005"/>
        </w:numPr>
        <w:pStyle w:val="Compact"/>
      </w:pPr>
      <w:r>
        <w:t xml:space="preserve">editar material de otras personas;</w:t>
      </w:r>
    </w:p>
    <w:p>
      <w:pPr>
        <w:numPr>
          <w:ilvl w:val="0"/>
          <w:numId w:val="1005"/>
        </w:numPr>
        <w:pStyle w:val="Compact"/>
      </w:pPr>
      <w:r>
        <w:t xml:space="preserve">aplicar guías de estilo y estándares de contenido;</w:t>
      </w:r>
    </w:p>
    <w:p>
      <w:pPr>
        <w:numPr>
          <w:ilvl w:val="0"/>
          <w:numId w:val="1005"/>
        </w:numPr>
        <w:pStyle w:val="Compact"/>
      </w:pPr>
      <w:r>
        <w:t xml:space="preserve">administrar comentarios de revisión y su resolución;</w:t>
      </w:r>
    </w:p>
    <w:p>
      <w:pPr>
        <w:numPr>
          <w:ilvl w:val="0"/>
          <w:numId w:val="1005"/>
        </w:numPr>
        <w:pStyle w:val="Compact"/>
      </w:pPr>
      <w:r>
        <w:t xml:space="preserve">mantener versiones e historial de cambios;</w:t>
      </w:r>
    </w:p>
    <w:p>
      <w:pPr>
        <w:numPr>
          <w:ilvl w:val="0"/>
          <w:numId w:val="1005"/>
        </w:numPr>
        <w:pStyle w:val="Compact"/>
      </w:pPr>
      <w:r>
        <w:t xml:space="preserve">ejecutar comprobaciones de enlaces y consistencia;</w:t>
      </w:r>
    </w:p>
    <w:p>
      <w:pPr>
        <w:numPr>
          <w:ilvl w:val="0"/>
          <w:numId w:val="1005"/>
        </w:numPr>
        <w:pStyle w:val="Compact"/>
      </w:pPr>
      <w:r>
        <w:t xml:space="preserve">coordinar revisión de accesibilidad;</w:t>
      </w:r>
    </w:p>
    <w:p>
      <w:pPr>
        <w:numPr>
          <w:ilvl w:val="0"/>
          <w:numId w:val="1005"/>
        </w:numPr>
        <w:pStyle w:val="Compact"/>
      </w:pPr>
      <w:r>
        <w:t xml:space="preserve">preparar salidas web, PDF, DOCX u otros formatos;</w:t>
      </w:r>
    </w:p>
    <w:p>
      <w:pPr>
        <w:numPr>
          <w:ilvl w:val="0"/>
          <w:numId w:val="1005"/>
        </w:numPr>
        <w:pStyle w:val="Compact"/>
      </w:pPr>
      <w:r>
        <w:t xml:space="preserve">publicar mediante CMS o procesos docs-as-code;</w:t>
      </w:r>
    </w:p>
    <w:p>
      <w:pPr>
        <w:numPr>
          <w:ilvl w:val="0"/>
          <w:numId w:val="1005"/>
        </w:numPr>
        <w:pStyle w:val="Compact"/>
      </w:pPr>
      <w:r>
        <w:t xml:space="preserve">vigilar cambios del producto/proceso y actualizar documentación;</w:t>
      </w:r>
    </w:p>
    <w:p>
      <w:pPr>
        <w:numPr>
          <w:ilvl w:val="0"/>
          <w:numId w:val="1005"/>
        </w:numPr>
        <w:pStyle w:val="Compact"/>
      </w:pPr>
      <w:r>
        <w:t xml:space="preserve">archivar o retirar contenido obsoleto según política.</w:t>
      </w:r>
    </w:p>
    <w:bookmarkEnd w:id="28"/>
    <w:bookmarkStart w:id="38" w:name="ciclo-de-vida-de-la-documentación"/>
    <w:p>
      <w:pPr>
        <w:pStyle w:val="Heading2"/>
      </w:pPr>
      <w:r>
        <w:t xml:space="preserve">Ciclo de vida de la documentación</w:t>
      </w:r>
    </w:p>
    <w:bookmarkStart w:id="29" w:name="Xf39cbf3c6d2b14638a4e1d9b937948e8404cc08"/>
    <w:p>
      <w:pPr>
        <w:pStyle w:val="Heading3"/>
      </w:pPr>
      <w:r>
        <w:t xml:space="preserve">1. Definir audiencia y resultado</w:t>
      </w:r>
    </w:p>
    <w:p>
      <w:pPr>
        <w:pStyle w:val="FirstParagraph"/>
      </w:pPr>
      <w:r>
        <w:t xml:space="preserve">Aclare quién utilizará el material, qué necesita comprender o realizar, conocimientos previos, entorno/producto/versión, restricciones legales, de seguridad, ciberseguridad o accesibilidad, formato de salida, propietario y revisores requeridos, fecha de publicación y evento que obliga a actualizar.</w:t>
      </w:r>
    </w:p>
    <w:p>
      <w:pPr>
        <w:pStyle w:val="BodyText"/>
      </w:pPr>
      <w:r>
        <w:t xml:space="preserve">Una persona técnica de campo, cliente, administrador, desarrollador y regulador pueden necesitar distintos niveles de detalle para el mismo sistema.</w:t>
      </w:r>
    </w:p>
    <w:bookmarkEnd w:id="29"/>
    <w:bookmarkStart w:id="30" w:name="X0456df025faeb887fcfd6e06f1db6caa6ae6748"/>
    <w:p>
      <w:pPr>
        <w:pStyle w:val="Heading3"/>
      </w:pPr>
      <w:r>
        <w:t xml:space="preserve">2. Establecer la fuente de verdad</w:t>
      </w:r>
    </w:p>
    <w:p>
      <w:pPr>
        <w:pStyle w:val="FirstParagraph"/>
      </w:pPr>
      <w:r>
        <w:t xml:space="preserve">Antes de redactar, identifique entradas autorizadas como especificaciones aprobadas, requisitos, planos de ingeniería, repositorio/código fuente, comportamiento observado en un entorno aprobado, resultados de prueba validados, procedimientos controlados, políticas, referencias oficiales o de normas, y decisiones de SME registradas mediante el proceso aprobado.</w:t>
      </w:r>
    </w:p>
    <w:p>
      <w:pPr>
        <w:pStyle w:val="BodyText"/>
      </w:pPr>
      <w:r>
        <w:t xml:space="preserve">No trate documentos antiguos como verdad incuestionable. Pueden ser evidencia útil, pero también pueden arrastrar errores.</w:t>
      </w:r>
    </w:p>
    <w:bookmarkEnd w:id="30"/>
    <w:bookmarkStart w:id="31" w:name="X244de9050ef646d20ffef8b5e0b70353d27c576"/>
    <w:p>
      <w:pPr>
        <w:pStyle w:val="Heading3"/>
      </w:pPr>
      <w:r>
        <w:t xml:space="preserve">3. Investigar y entrevistar SME</w:t>
      </w:r>
    </w:p>
    <w:p>
      <w:pPr>
        <w:pStyle w:val="FirstParagraph"/>
      </w:pPr>
      <w:r>
        <w:t xml:space="preserve">Pregunte, por ejemplo: cuál es el estado inicial exacto, qué debe cumplirse previamente, qué entradas están permitidas, qué cambia por versión o ubicación, qué puede salir mal, qué advertencia es obligatoria, qué resultado demuestra éxito, quién aprueba una excepción, qué evidencia respalda un valor y qué información no debe publicarse.</w:t>
      </w:r>
    </w:p>
    <w:p>
      <w:pPr>
        <w:pStyle w:val="BodyText"/>
      </w:pPr>
      <w:r>
        <w:t xml:space="preserve">Registre preguntas no resueltas en vez de adivinar.</w:t>
      </w:r>
    </w:p>
    <w:bookmarkEnd w:id="31"/>
    <w:bookmarkStart w:id="36" w:name="Xf223f6fdc042e3438622f4e2b6a1a6366c096e2"/>
    <w:p>
      <w:pPr>
        <w:pStyle w:val="Heading3"/>
      </w:pPr>
      <w:r>
        <w:t xml:space="preserve">4. Diseñar la información</w:t>
      </w:r>
    </w:p>
    <w:p>
      <w:pPr>
        <w:pStyle w:val="FirstParagraph"/>
      </w:pPr>
      <w:r>
        <w:t xml:space="preserve">Elija el tipo de contenido que corresponde a la necesidad de la persona usuaria.</w:t>
      </w:r>
    </w:p>
    <w:bookmarkStart w:id="32" w:name="concepto"/>
    <w:p>
      <w:pPr>
        <w:pStyle w:val="Heading4"/>
      </w:pPr>
      <w:r>
        <w:t xml:space="preserve">Concepto</w:t>
      </w:r>
    </w:p>
    <w:p>
      <w:pPr>
        <w:pStyle w:val="FirstParagraph"/>
      </w:pPr>
      <w:r>
        <w:t xml:space="preserve">Explica qué es algo y por qué importa.</w:t>
      </w:r>
    </w:p>
    <w:bookmarkEnd w:id="32"/>
    <w:bookmarkStart w:id="33" w:name="procedimiento-o-tarea"/>
    <w:p>
      <w:pPr>
        <w:pStyle w:val="Heading4"/>
      </w:pPr>
      <w:r>
        <w:t xml:space="preserve">Procedimiento o tarea</w:t>
      </w:r>
    </w:p>
    <w:p>
      <w:pPr>
        <w:pStyle w:val="FirstParagraph"/>
      </w:pPr>
      <w:r>
        <w:t xml:space="preserve">Explica cómo lograr un objetivo en una secuencia definida.</w:t>
      </w:r>
    </w:p>
    <w:bookmarkEnd w:id="33"/>
    <w:bookmarkStart w:id="34" w:name="referencia"/>
    <w:p>
      <w:pPr>
        <w:pStyle w:val="Heading4"/>
      </w:pPr>
      <w:r>
        <w:t xml:space="preserve">Referencia</w:t>
      </w:r>
    </w:p>
    <w:p>
      <w:pPr>
        <w:pStyle w:val="FirstParagraph"/>
      </w:pPr>
      <w:r>
        <w:t xml:space="preserve">Ofrece información precisa para consulta, como comandos, campos, parámetros, límites o especificaciones.</w:t>
      </w:r>
    </w:p>
    <w:bookmarkEnd w:id="34"/>
    <w:bookmarkStart w:id="35" w:name="solución-de-problemas"/>
    <w:p>
      <w:pPr>
        <w:pStyle w:val="Heading4"/>
      </w:pPr>
      <w:r>
        <w:t xml:space="preserve">Solución de problemas</w:t>
      </w:r>
    </w:p>
    <w:p>
      <w:pPr>
        <w:pStyle w:val="FirstParagraph"/>
      </w:pPr>
      <w:r>
        <w:t xml:space="preserve">Ayuda a diagnosticar síntomas, causas y rutas de recuperación aprobadas.</w:t>
      </w:r>
    </w:p>
    <w:p>
      <w:pPr>
        <w:pStyle w:val="BodyText"/>
      </w:pPr>
      <w:r>
        <w:t xml:space="preserve">Combinar los cuatro tipos en una página extensa puede dificultar el uso. Sepárelos cuando ayude a la audiencia.</w:t>
      </w:r>
    </w:p>
    <w:bookmarkEnd w:id="35"/>
    <w:bookmarkEnd w:id="36"/>
    <w:bookmarkStart w:id="37" w:name="X1b48ef67da9c3e16e57f4e93790d868993ccbcb"/>
    <w:p>
      <w:pPr>
        <w:pStyle w:val="Heading3"/>
      </w:pPr>
      <w:r>
        <w:t xml:space="preserve">5. Redactar con claridad sin cambiar el significado técnico</w:t>
      </w:r>
    </w:p>
    <w:p>
      <w:pPr>
        <w:pStyle w:val="FirstParagraph"/>
      </w:pPr>
      <w:r>
        <w:t xml:space="preserve">Use lenguaje claro cuando sea posible: coloque el objetivo cerca del inicio, use términos familiares cuando sean técnicamente correctos, defina términos especializados inevitables, use frases cortas para acciones complejas, mantenga una acción por paso cuando importe la secuencia, use terminología consistente, declare requisitos antes del procedimiento, muestre advertencias antes de la acción riesgosa, indique resultados esperados y use ejemplos compatibles con configuraciones admitidas.</w:t>
      </w:r>
    </w:p>
    <w:p>
      <w:pPr>
        <w:pStyle w:val="BodyText"/>
      </w:pPr>
      <w:r>
        <w:t xml:space="preserve">El lenguaje claro</w:t>
      </w:r>
      <w:r>
        <w:t xml:space="preserve"> </w:t>
      </w:r>
      <w:r>
        <w:rPr>
          <w:bCs/>
          <w:b/>
        </w:rPr>
        <w:t xml:space="preserve">no</w:t>
      </w:r>
      <w:r>
        <w:t xml:space="preserve"> </w:t>
      </w:r>
      <w:r>
        <w:t xml:space="preserve">significa eliminar precisión. Nunca simplifique un requisito controlado hasta hacerlo incorrecto.</w:t>
      </w:r>
    </w:p>
    <w:bookmarkEnd w:id="37"/>
    <w:bookmarkEnd w:id="38"/>
    <w:bookmarkStart w:id="39" w:name="X4e83fddd7713ccba5896b9814e5c4a344350ab5"/>
    <w:p>
      <w:pPr>
        <w:pStyle w:val="Heading2"/>
      </w:pPr>
      <w:r>
        <w:t xml:space="preserve">Procedimientos, advertencias e información crítica para la seguridad</w:t>
      </w:r>
    </w:p>
    <w:p>
      <w:pPr>
        <w:pStyle w:val="FirstParagraph"/>
      </w:pPr>
      <w:r>
        <w:t xml:space="preserve">Un procedimiento debe dejar claros secuencia y autoridad. Puede incluir propósito, alcance, prerrequisitos, herramientas/permisos, advertencias o precauciones según el estándar interno, pasos numerados, resultados esperados, verificación, reversión/recuperación autorizada, ruta de escalamiento y versión aplicable.</w:t>
      </w:r>
    </w:p>
    <w:p>
      <w:pPr>
        <w:pStyle w:val="BodyText"/>
      </w:pPr>
      <w:r>
        <w:t xml:space="preserve">En trabajo regulado o crítico para la seguridad, use el sistema aprobado de peligros, advertencias y revisión. No determine por cuenta propia severidad de peligros o riesgo aceptable salvo que esa responsabilidad esté formalmente asignada y la persona esté calificada.</w:t>
      </w:r>
    </w:p>
    <w:bookmarkEnd w:id="39"/>
    <w:bookmarkStart w:id="40" w:name="documentación-de-software-y-api"/>
    <w:p>
      <w:pPr>
        <w:pStyle w:val="Heading2"/>
      </w:pPr>
      <w:r>
        <w:t xml:space="preserve">Documentación de software y API</w:t>
      </w:r>
    </w:p>
    <w:p>
      <w:pPr>
        <w:pStyle w:val="FirstParagraph"/>
      </w:pPr>
      <w:r>
        <w:t xml:space="preserve">La documentación de software puede incluir instalación, configuración, visión general de autenticación, guías de usuario y administración, referencia de línea de comandos, endpoints y esquemas de API, ejemplos de solicitud/respuesta, SDK o código, mensajes de error, notas de versión, guías de migración, solución de problemas y descripciones de arquitectura aprobadas para la audiencia.</w:t>
      </w:r>
    </w:p>
    <w:p>
      <w:pPr>
        <w:pStyle w:val="BodyText"/>
      </w:pPr>
      <w:r>
        <w:t xml:space="preserve">Verifique los ejemplos de código en un entorno de prueba apropiado cuando sea posible. Nunca publique ejemplos con credenciales reales, llaves secretas, tokens de producción, datos personales o configuraciones inseguras por defecto.</w:t>
      </w:r>
    </w:p>
    <w:p>
      <w:pPr>
        <w:pStyle w:val="BodyText"/>
      </w:pPr>
      <w:r>
        <w:t xml:space="preserve">La documentación de API debe distinguir campos obligatorios y opcionales, tipos de datos, valores admitidos, autenticación, permisos, errores y versionado. La persona redactora documenta el comportamiento aprobado; ingeniería sigue siendo responsable de la implementación, salvo que la persona redactora tenga además ese rol.</w:t>
      </w:r>
    </w:p>
    <w:bookmarkEnd w:id="40"/>
    <w:bookmarkStart w:id="41" w:name="docs-as-code-y-control-de-versiones"/>
    <w:p>
      <w:pPr>
        <w:pStyle w:val="Heading2"/>
      </w:pPr>
      <w:r>
        <w:t xml:space="preserve">Docs-as-code y control de versiones</w:t>
      </w:r>
    </w:p>
    <w:p>
      <w:pPr>
        <w:pStyle w:val="FirstParagraph"/>
      </w:pPr>
      <w:r>
        <w:t xml:space="preserve">Algunos equipos tratan la documentación como código fuente. Un flujo docs-as-code puede usar Markdown u otro marcado, Git, ramas y pull requests, seguimiento de incidencias, comprobaciones automáticas de estilo/enlaces/build, generadores de sitios y CI/CD documental.</w:t>
      </w:r>
    </w:p>
    <w:p>
      <w:pPr>
        <w:pStyle w:val="BodyText"/>
      </w:pPr>
      <w:r>
        <w:t xml:space="preserve">Puede mejorar trazabilidad y revisión, pero también existen riesgos: publicar desde la rama incorrecta, exponer contenido sensible, generar salidas rotas o confundir un build exitoso con prueba de exactitud factual.</w:t>
      </w:r>
    </w:p>
    <w:p>
      <w:pPr>
        <w:pStyle w:val="BodyText"/>
      </w:pPr>
      <w:r>
        <w:t xml:space="preserve">Quien use Git debería comprender clone/pull/commit/push, ramas, conflictos, pull requests, historial, diffs, permisos y el proceso de build del equipo. No todas las organizaciones usan docs-as-code; las habilidades transferibles importan más que una plataforma específica.</w:t>
      </w:r>
    </w:p>
    <w:bookmarkEnd w:id="41"/>
    <w:bookmarkStart w:id="42" w:name="autoría-estructurada-xml-y-reutilización"/>
    <w:p>
      <w:pPr>
        <w:pStyle w:val="Heading2"/>
      </w:pPr>
      <w:r>
        <w:t xml:space="preserve">Autoría estructurada, XML y reutilización</w:t>
      </w:r>
    </w:p>
    <w:p>
      <w:pPr>
        <w:pStyle w:val="FirstParagraph"/>
      </w:pPr>
      <w:r>
        <w:t xml:space="preserve">Los programas grandes pueden separar contenido y presentación mediante XML, esquemas, temas/componentes, metadatos, texto condicional, variables, single sourcing, mecanismos de reutilización y publicación automatizada.</w:t>
      </w:r>
    </w:p>
    <w:p>
      <w:pPr>
        <w:pStyle w:val="BodyText"/>
      </w:pPr>
      <w:r>
        <w:t xml:space="preserve">La reutilización puede mejorar consistencia, pero también multiplicar un error si la fuente reutilizada está equivocada. El contenido reutilizable necesita propiedad y revisión claras.</w:t>
      </w:r>
    </w:p>
    <w:bookmarkEnd w:id="42"/>
    <w:bookmarkStart w:id="43" w:name="control-de-revisiones-y-documentos"/>
    <w:p>
      <w:pPr>
        <w:pStyle w:val="Heading2"/>
      </w:pPr>
      <w:r>
        <w:t xml:space="preserve">Control de revisiones y documentos</w:t>
      </w:r>
    </w:p>
    <w:p>
      <w:pPr>
        <w:pStyle w:val="FirstParagraph"/>
      </w:pPr>
      <w:r>
        <w:t xml:space="preserve">Un documento controlado debería permitir responder: cuál es la versión actual, qué cambió, por qué, quién revisó/aprobó, a qué versiones aplica, dónde está la fuente autorizada y qué versión anterior ya no debe usarse.</w:t>
      </w:r>
    </w:p>
    <w:p>
      <w:pPr>
        <w:pStyle w:val="BodyText"/>
      </w:pPr>
      <w:r>
        <w:t xml:space="preserve">Los controles pueden incluir ID de documento, código de revisión, fecha efectiva, firmas de aprobación, resumen de cambios, historial de repositorio, etiquetas de release y distribución controlada.</w:t>
      </w:r>
    </w:p>
    <w:p>
      <w:pPr>
        <w:pStyle w:val="BodyText"/>
      </w:pPr>
      <w:r>
        <w:t xml:space="preserve">No invente periodos de retención o reglas de destrucción. Siga la política de gestión documental y requisitos legales/regulatorios aplicables.</w:t>
      </w:r>
    </w:p>
    <w:bookmarkEnd w:id="43"/>
    <w:bookmarkStart w:id="44" w:name="revisiones-y-aprobaciones"/>
    <w:p>
      <w:pPr>
        <w:pStyle w:val="Heading2"/>
      </w:pPr>
      <w:r>
        <w:t xml:space="preserve">Revisiones y aprobaciones</w:t>
      </w:r>
    </w:p>
    <w:p>
      <w:pPr>
        <w:pStyle w:val="FirstParagraph"/>
      </w:pPr>
      <w:r>
        <w:t xml:space="preserve">La revisión debe corresponder al rol: SME técnico para veracidad técnica, product owner para comportamiento y alcance, seguridad industrial para peligros, legal/cumplimiento para afirmaciones reguladas, ciberseguridad/privacidad para contenido sensible, especialista de accesibilidad, editor de contenido, revisor de localización y función de control documental.</w:t>
      </w:r>
    </w:p>
    <w:p>
      <w:pPr>
        <w:pStyle w:val="BodyText"/>
      </w:pPr>
      <w:r>
        <w:t xml:space="preserve">Registre comentarios y resolución. Un “se ve bien” por chat puede no satisfacer un flujo formal de aprobación.</w:t>
      </w:r>
    </w:p>
    <w:bookmarkEnd w:id="44"/>
    <w:bookmarkStart w:id="45" w:name="ilustraciones-capturas-y-diagramas"/>
    <w:p>
      <w:pPr>
        <w:pStyle w:val="Heading2"/>
      </w:pPr>
      <w:r>
        <w:t xml:space="preserve">Ilustraciones, capturas y diagramas</w:t>
      </w:r>
    </w:p>
    <w:p>
      <w:pPr>
        <w:pStyle w:val="FirstParagraph"/>
      </w:pPr>
      <w:r>
        <w:t xml:space="preserve">Antes de publicar un visual, confirme que corresponde a la versión admitida, elimine datos sensibles, verifique etiquetas y unidades, use resolución suficiente, no transmita significado esencial solo por color, aporte alternativas textuales cuando corresponda, confirme derechos de autor/licencia y conserve el archivo fuente si debe mantenerse.</w:t>
      </w:r>
    </w:p>
    <w:p>
      <w:pPr>
        <w:pStyle w:val="BodyText"/>
      </w:pPr>
      <w:r>
        <w:t xml:space="preserve">Una captura puede quedar obsoleta rápidamente. Úsela cuando su valor supere el costo de mantenimiento.</w:t>
      </w:r>
    </w:p>
    <w:bookmarkEnd w:id="45"/>
    <w:bookmarkStart w:id="46" w:name="accesibilidad-en-documentación-técnica"/>
    <w:p>
      <w:pPr>
        <w:pStyle w:val="Heading2"/>
      </w:pPr>
      <w:r>
        <w:t xml:space="preserve">Accesibilidad en documentación técnica</w:t>
      </w:r>
    </w:p>
    <w:p>
      <w:pPr>
        <w:pStyle w:val="FirstParagraph"/>
      </w:pPr>
      <w:r>
        <w:t xml:space="preserve">Section508.gov mantiene orientación federal vigente para documentos Word, PDF y otros productos digitales. Buenas prácticas incluyen usar estilos reales de encabezado, estructura significativa, listas nativas, nombres descriptivos de enlaces, texto alternativo para imágenes informativas, tablas simples y correctamente marcadas, idioma del documento, no depender solo del color y aportar subtítulos/transcripciones o descripciones para medios cuando corresponda.</w:t>
      </w:r>
    </w:p>
    <w:p>
      <w:pPr>
        <w:pStyle w:val="BodyText"/>
      </w:pPr>
      <w:r>
        <w:t xml:space="preserve">Para documentación web también puede aplicar WCAG según la organización y jurisdicción.</w:t>
      </w:r>
    </w:p>
    <w:p>
      <w:pPr>
        <w:pStyle w:val="BodyText"/>
      </w:pPr>
      <w:r>
        <w:t xml:space="preserve">Una herramienta automática ayuda, pero no demuestra accesibilidad completa. Puede requerirse revisión humana y pruebas con tecnologías de asistencia. No afirme certificación legal de accesibilidad sin el proceso de aseguramiento apropiado.</w:t>
      </w:r>
    </w:p>
    <w:bookmarkEnd w:id="46"/>
    <w:bookmarkStart w:id="47" w:name="lenguaje-claro-y-legibilidad"/>
    <w:p>
      <w:pPr>
        <w:pStyle w:val="Heading2"/>
      </w:pPr>
      <w:r>
        <w:t xml:space="preserve">Lenguaje claro y legibilidad</w:t>
      </w:r>
    </w:p>
    <w:p>
      <w:pPr>
        <w:pStyle w:val="FirstParagraph"/>
      </w:pPr>
      <w:r>
        <w:t xml:space="preserve">La orientación de Digital.gov enfatiza comprender a la audiencia, organización lógica, información importante primero y frases claras. Las métricas de legibilidad son solo señales: una palabra más corta no es mejor si es técnicamente incorrecta.</w:t>
      </w:r>
    </w:p>
    <w:p>
      <w:pPr>
        <w:pStyle w:val="BodyText"/>
      </w:pPr>
      <w:r>
        <w:t xml:space="preserve">Use voz activa cuando clarifique responsabilidad, mantenga términos consistentes, coloque condiciones antes de acciones cuando afecten seguridad, divida procesos largos, use ejemplos después de la regla y pruebe instrucciones con personas representativas cuando sea posible.</w:t>
      </w:r>
    </w:p>
    <w:bookmarkEnd w:id="47"/>
    <w:bookmarkStart w:id="48" w:name="Xdfa858b99d20e6d6b11be403b73eb3fc132c6dd"/>
    <w:p>
      <w:pPr>
        <w:pStyle w:val="Heading2"/>
      </w:pPr>
      <w:r>
        <w:t xml:space="preserve">Privacidad, confidencialidad y ciberseguridad</w:t>
      </w:r>
    </w:p>
    <w:p>
      <w:pPr>
        <w:pStyle w:val="FirstParagraph"/>
      </w:pPr>
      <w:r>
        <w:t xml:space="preserve">Las personas que redactan documentación técnica pueden tener acceso a diagramas de red, credenciales, incidentes, vulnerabilidades, arquitectura interna, productos no publicados, código fuente, datos de clientes y procedimientos de seguridad.</w:t>
      </w:r>
    </w:p>
    <w:p>
      <w:pPr>
        <w:pStyle w:val="BodyText"/>
      </w:pPr>
      <w:r>
        <w:t xml:space="preserve">Medidas prácticas:</w:t>
      </w:r>
    </w:p>
    <w:p>
      <w:pPr>
        <w:numPr>
          <w:ilvl w:val="0"/>
          <w:numId w:val="1006"/>
        </w:numPr>
        <w:pStyle w:val="Compact"/>
      </w:pPr>
      <w:r>
        <w:t xml:space="preserve">use repositorios y sistemas de colaboración aprobados;</w:t>
      </w:r>
    </w:p>
    <w:p>
      <w:pPr>
        <w:numPr>
          <w:ilvl w:val="0"/>
          <w:numId w:val="1006"/>
        </w:numPr>
        <w:pStyle w:val="Compact"/>
      </w:pPr>
      <w:r>
        <w:t xml:space="preserve">active MFA cuando esté disponible;</w:t>
      </w:r>
    </w:p>
    <w:p>
      <w:pPr>
        <w:numPr>
          <w:ilvl w:val="0"/>
          <w:numId w:val="1006"/>
        </w:numPr>
        <w:pStyle w:val="Compact"/>
      </w:pPr>
      <w:r>
        <w:t xml:space="preserve">siga las prácticas aprobadas de gestión de contraseñas;</w:t>
      </w:r>
    </w:p>
    <w:p>
      <w:pPr>
        <w:numPr>
          <w:ilvl w:val="0"/>
          <w:numId w:val="1006"/>
        </w:numPr>
        <w:pStyle w:val="Compact"/>
      </w:pPr>
      <w:r>
        <w:t xml:space="preserve">limite permisos según necesidad;</w:t>
      </w:r>
    </w:p>
    <w:p>
      <w:pPr>
        <w:numPr>
          <w:ilvl w:val="0"/>
          <w:numId w:val="1006"/>
        </w:numPr>
        <w:pStyle w:val="Compact"/>
      </w:pPr>
      <w:r>
        <w:t xml:space="preserve">elimine o redacte credenciales, tokens, llaves, datos personales e identificadores internos;</w:t>
      </w:r>
    </w:p>
    <w:p>
      <w:pPr>
        <w:numPr>
          <w:ilvl w:val="0"/>
          <w:numId w:val="1006"/>
        </w:numPr>
        <w:pStyle w:val="Compact"/>
      </w:pPr>
      <w:r>
        <w:t xml:space="preserve">use ejemplos sintéticos cuando sea viable;</w:t>
      </w:r>
    </w:p>
    <w:p>
      <w:pPr>
        <w:numPr>
          <w:ilvl w:val="0"/>
          <w:numId w:val="1006"/>
        </w:numPr>
        <w:pStyle w:val="Compact"/>
      </w:pPr>
      <w:r>
        <w:t xml:space="preserve">revise capturas por información confidencial;</w:t>
      </w:r>
    </w:p>
    <w:p>
      <w:pPr>
        <w:numPr>
          <w:ilvl w:val="0"/>
          <w:numId w:val="1006"/>
        </w:numPr>
        <w:pStyle w:val="Compact"/>
      </w:pPr>
      <w:r>
        <w:t xml:space="preserve">revise contenido externo por riesgo de divulgación;</w:t>
      </w:r>
    </w:p>
    <w:p>
      <w:pPr>
        <w:numPr>
          <w:ilvl w:val="0"/>
          <w:numId w:val="1006"/>
        </w:numPr>
        <w:pStyle w:val="Compact"/>
      </w:pPr>
      <w:r>
        <w:t xml:space="preserve">reporte phishing, malware, exposición accidental o compromiso sospechado;</w:t>
      </w:r>
    </w:p>
    <w:p>
      <w:pPr>
        <w:numPr>
          <w:ilvl w:val="0"/>
          <w:numId w:val="1006"/>
        </w:numPr>
        <w:pStyle w:val="Compact"/>
      </w:pPr>
      <w:r>
        <w:t xml:space="preserve">siga políticas de actualización y dispositivos seguros;</w:t>
      </w:r>
    </w:p>
    <w:p>
      <w:pPr>
        <w:numPr>
          <w:ilvl w:val="0"/>
          <w:numId w:val="1006"/>
        </w:numPr>
        <w:pStyle w:val="Compact"/>
      </w:pPr>
      <w:r>
        <w:t xml:space="preserve">involucre al responsable de seguridad/privacidad antes de publicar comportamiento sensible.</w:t>
      </w:r>
    </w:p>
    <w:p>
      <w:pPr>
        <w:pStyle w:val="FirstParagraph"/>
      </w:pPr>
      <w:r>
        <w:t xml:space="preserve">CISA Secure Our World enfatiza phishing, contraseñas sólidas/gestores, MFA y actualizaciones. Quien redacta no debe inventar arquitectura de seguridad ni autorizar divulgación por cuenta propia.</w:t>
      </w:r>
    </w:p>
    <w:bookmarkEnd w:id="48"/>
    <w:bookmarkStart w:id="49" w:name="ia-responsable-en-redacción-técnica"/>
    <w:p>
      <w:pPr>
        <w:pStyle w:val="Heading2"/>
      </w:pPr>
      <w:r>
        <w:t xml:space="preserve">IA responsable en redacción técnica</w:t>
      </w:r>
    </w:p>
    <w:p>
      <w:pPr>
        <w:pStyle w:val="FirstParagraph"/>
      </w:pPr>
      <w:r>
        <w:t xml:space="preserve">Cuando la organización lo permita, la IA puede apoyar tareas de bajo riesgo como proponer esquemas, detectar posibles inconsistencias terminológicas, sugerir lenguaje claro, convertir notas no sensibles en una estructura preliminar, generar ejemplos sintéticos, explicar código para posterior verificación humana o sugerir preguntas de prueba.</w:t>
      </w:r>
    </w:p>
    <w:p>
      <w:pPr>
        <w:pStyle w:val="BodyText"/>
      </w:pPr>
      <w:r>
        <w:t xml:space="preserve">La salida de IA puede sonar convincente y ser técnicamente incorrecta. La fluidez no es evidencia.</w:t>
      </w:r>
    </w:p>
    <w:p>
      <w:pPr>
        <w:pStyle w:val="BodyText"/>
      </w:pPr>
      <w:r>
        <w:t xml:space="preserve">Antes de aceptar contenido asistido por IA, verifique hechos técnicos, versión aplicable, código/configuración, seguridad, afirmaciones legales/regulatorias, privacidad, licencias/procedencia, accesibilidad, terminología, requisitos de divulgación y si los datos podían ingresarse al sistema de IA.</w:t>
      </w:r>
    </w:p>
    <w:p>
      <w:pPr>
        <w:pStyle w:val="BodyText"/>
      </w:pPr>
      <w:r>
        <w:t xml:space="preserve">No cargue código propietario, credenciales, información de ingeniería no publicada, datos privados de clientes, material de incidentes, información regulada u otro contenido protegido en servicios de IA no aprobados.</w:t>
      </w:r>
    </w:p>
    <w:p>
      <w:pPr>
        <w:pStyle w:val="BodyText"/>
      </w:pPr>
      <w:r>
        <w:t xml:space="preserve">El AI Risk Management Framework de NIST es una guía voluntaria y su perfil de IA generativa aborda riesgos específicos. Regla práctica:</w:t>
      </w:r>
      <w:r>
        <w:t xml:space="preserve"> </w:t>
      </w:r>
      <w:r>
        <w:rPr>
          <w:bCs/>
          <w:b/>
        </w:rPr>
        <w:t xml:space="preserve">la IA puede ayudar a redactar, pero las fuentes y revisores humanos aprobados siguen siendo la autoridad.</w:t>
      </w:r>
    </w:p>
    <w:bookmarkEnd w:id="49"/>
    <w:bookmarkStart w:id="53" w:name="habilidades-valoradas-por-empleadores"/>
    <w:p>
      <w:pPr>
        <w:pStyle w:val="Heading2"/>
      </w:pPr>
      <w:r>
        <w:t xml:space="preserve">Habilidades valoradas por empleadores</w:t>
      </w:r>
    </w:p>
    <w:bookmarkStart w:id="50" w:name="escritura-y-edición"/>
    <w:p>
      <w:pPr>
        <w:pStyle w:val="Heading3"/>
      </w:pPr>
      <w:r>
        <w:t xml:space="preserve">Escritura y edición</w:t>
      </w:r>
    </w:p>
    <w:p>
      <w:pPr>
        <w:pStyle w:val="FirstParagraph"/>
      </w:pPr>
      <w:r>
        <w:t xml:space="preserve">Prosa técnica clara, gramática y edición, instrucciones concisas, gestión terminológica, adaptación a audiencia, corrección, guías de estilo y arquitectura de información.</w:t>
      </w:r>
    </w:p>
    <w:bookmarkEnd w:id="50"/>
    <w:bookmarkStart w:id="51" w:name="investigación-y-colaboración"/>
    <w:p>
      <w:pPr>
        <w:pStyle w:val="Heading3"/>
      </w:pPr>
      <w:r>
        <w:t xml:space="preserve">Investigación y colaboración</w:t>
      </w:r>
    </w:p>
    <w:p>
      <w:pPr>
        <w:pStyle w:val="FirstParagraph"/>
      </w:pPr>
      <w:r>
        <w:t xml:space="preserve">Entrevistas a SME, escucha activa, preguntas de seguimiento precisas, trazabilidad a fuentes, reconocimiento de incertidumbre, administración de comentarios y comunicación interdisciplinaria.</w:t>
      </w:r>
    </w:p>
    <w:bookmarkEnd w:id="51"/>
    <w:bookmarkStart w:id="52" w:name="operaciones-técnicasdocumentales"/>
    <w:p>
      <w:pPr>
        <w:pStyle w:val="Heading3"/>
      </w:pPr>
      <w:r>
        <w:t xml:space="preserve">Operaciones técnicas/documentales</w:t>
      </w:r>
    </w:p>
    <w:p>
      <w:pPr>
        <w:pStyle w:val="FirstParagraph"/>
      </w:pPr>
      <w:r>
        <w:t xml:space="preserve">Control de versiones, gestión documental, CMS, Markdown/marcado, plantillas, conceptos XML, diagramas/capturas, revisión de enlaces, metadatos, flujos de publicación, HTML/CSS básico y alfabetización en API/código cuando corresponda.</w:t>
      </w:r>
    </w:p>
    <w:p>
      <w:pPr>
        <w:pStyle w:val="BodyText"/>
      </w:pPr>
      <w:r>
        <w:t xml:space="preserve">Los datos actuales de O*NET sobre ofertas de empleo muestran herramientas como Microsoft Office, Excel, PowerPoint, Word, SharePoint, Visio, Outlook, Confluence, XML, Jira y GitHub. Son señales de demanda, no una lista universal.</w:t>
      </w:r>
    </w:p>
    <w:bookmarkEnd w:id="52"/>
    <w:bookmarkEnd w:id="53"/>
    <w:bookmarkStart w:id="54" w:name="Xb4972cc4f5477c5c173c4f9b150ed42f568bb2c"/>
    <w:p>
      <w:pPr>
        <w:pStyle w:val="Heading2"/>
      </w:pPr>
      <w:r>
        <w:t xml:space="preserve">Educación y vías de entrada — Estados Unidos</w:t>
      </w:r>
    </w:p>
    <w:p>
      <w:pPr>
        <w:pStyle w:val="FirstParagraph"/>
      </w:pPr>
      <w:r>
        <w:t xml:space="preserve">O*NET ubica Technical Writers en</w:t>
      </w:r>
      <w:r>
        <w:t xml:space="preserve"> </w:t>
      </w:r>
      <w:r>
        <w:rPr>
          <w:bCs/>
          <w:b/>
        </w:rPr>
        <w:t xml:space="preserve">Job Zone Four: Considerable Preparation Needed</w:t>
      </w:r>
      <w:r>
        <w:t xml:space="preserve">. La mayoría de ocupaciones de esa zona requieren licenciatura, aunque algunas no, y suele requerirse conocimiento o experiencia relevante.</w:t>
      </w:r>
    </w:p>
    <w:p>
      <w:pPr>
        <w:pStyle w:val="BodyText"/>
      </w:pPr>
      <w:r>
        <w:t xml:space="preserve">Los empleadores pueden valorar una combinación de título técnico/científico, título en inglés/comunicaciones o comunicación técnica con conocimiento de dominio, certificado de escritura técnica, experiencia especializada con portafolio, documentación de software/API, documentación de calidad/regulatoria y herramientas de documentación/control de versiones.</w:t>
      </w:r>
    </w:p>
    <w:p>
      <w:pPr>
        <w:pStyle w:val="BodyText"/>
      </w:pPr>
      <w:r>
        <w:t xml:space="preserve">Una secuencia de bajo costo puede ser:</w:t>
      </w:r>
    </w:p>
    <w:p>
      <w:pPr>
        <w:numPr>
          <w:ilvl w:val="0"/>
          <w:numId w:val="1007"/>
        </w:numPr>
        <w:pStyle w:val="Compact"/>
      </w:pPr>
      <w:r>
        <w:t xml:space="preserve">elegir un dominio técnico que ya conozca o pueda aprender de manera realista;</w:t>
      </w:r>
    </w:p>
    <w:p>
      <w:pPr>
        <w:numPr>
          <w:ilvl w:val="0"/>
          <w:numId w:val="1007"/>
        </w:numPr>
        <w:pStyle w:val="Compact"/>
      </w:pPr>
      <w:r>
        <w:t xml:space="preserve">estudiar escritura orientada a tareas, arquitectura de información y edición;</w:t>
      </w:r>
    </w:p>
    <w:p>
      <w:pPr>
        <w:numPr>
          <w:ilvl w:val="0"/>
          <w:numId w:val="1007"/>
        </w:numPr>
        <w:pStyle w:val="Compact"/>
      </w:pPr>
      <w:r>
        <w:t xml:space="preserve">aprender Markdown y conceptos básicos de control de versiones;</w:t>
      </w:r>
    </w:p>
    <w:p>
      <w:pPr>
        <w:numPr>
          <w:ilvl w:val="0"/>
          <w:numId w:val="1007"/>
        </w:numPr>
        <w:pStyle w:val="Compact"/>
      </w:pPr>
      <w:r>
        <w:t xml:space="preserve">crear un how-to, una página de referencia y una guía de solución de problemas con información pública o sintética;</w:t>
      </w:r>
    </w:p>
    <w:p>
      <w:pPr>
        <w:numPr>
          <w:ilvl w:val="0"/>
          <w:numId w:val="1007"/>
        </w:numPr>
        <w:pStyle w:val="Compact"/>
      </w:pPr>
      <w:r>
        <w:t xml:space="preserve">aprender estructura accesible;</w:t>
      </w:r>
    </w:p>
    <w:p>
      <w:pPr>
        <w:numPr>
          <w:ilvl w:val="0"/>
          <w:numId w:val="1007"/>
        </w:numPr>
        <w:pStyle w:val="Compact"/>
      </w:pPr>
      <w:r>
        <w:t xml:space="preserve">practicar entrevistas a SME y registrar decisiones de fuente/aprobación;</w:t>
      </w:r>
    </w:p>
    <w:p>
      <w:pPr>
        <w:numPr>
          <w:ilvl w:val="0"/>
          <w:numId w:val="1007"/>
        </w:numPr>
        <w:pStyle w:val="Compact"/>
      </w:pPr>
      <w:r>
        <w:t xml:space="preserve">construir un portafolio con historial de revisión;</w:t>
      </w:r>
    </w:p>
    <w:p>
      <w:pPr>
        <w:numPr>
          <w:ilvl w:val="0"/>
          <w:numId w:val="1007"/>
        </w:numPr>
        <w:pStyle w:val="Compact"/>
      </w:pPr>
      <w:r>
        <w:t xml:space="preserve">postularse a roles junior compatibles con su nivel de conocimiento.</w:t>
      </w:r>
    </w:p>
    <w:bookmarkEnd w:id="54"/>
    <w:bookmarkStart w:id="55" w:name="X935b914efd247e01e66b74ed10d9f26eedea68b"/>
    <w:p>
      <w:pPr>
        <w:pStyle w:val="Heading2"/>
      </w:pPr>
      <w:r>
        <w:t xml:space="preserve">Financiamiento, capacitación de bajo costo y aprendizaje basado en el trabajo — Estados Unidos</w:t>
      </w:r>
    </w:p>
    <w:p>
      <w:pPr>
        <w:pStyle w:val="FirstParagraph"/>
      </w:pPr>
      <w:r>
        <w:t xml:space="preserve">CareerOneStop ofrece directorios estatales de programas elegibles para WIOA y un buscador de capacitación. El financiamiento WIOA no es automático; la elegibilidad y los proveedores aprobados varían. Confirme su situación mediante un American Job Center.</w:t>
      </w:r>
    </w:p>
    <w:p>
      <w:pPr>
        <w:pStyle w:val="BodyText"/>
      </w:pPr>
      <w:r>
        <w:t xml:space="preserve">Términos de búsqueda útiles: technical writing, professional writing, technical communication, business/scientific writing, information design, documentation, content strategy, API documentation, XML e instructional documentation.</w:t>
      </w:r>
    </w:p>
    <w:p>
      <w:pPr>
        <w:pStyle w:val="BodyText"/>
      </w:pPr>
      <w:r>
        <w:t xml:space="preserve">O*NET muestra como ejemplos de títulos de Registered Apprenticeship</w:t>
      </w:r>
      <w:r>
        <w:t xml:space="preserve"> </w:t>
      </w:r>
      <w:r>
        <w:rPr>
          <w:bCs/>
          <w:b/>
        </w:rPr>
        <w:t xml:space="preserve">Technical Content Professional</w:t>
      </w:r>
      <w:r>
        <w:t xml:space="preserve"> </w:t>
      </w:r>
      <w:r>
        <w:t xml:space="preserve">y</w:t>
      </w:r>
      <w:r>
        <w:t xml:space="preserve"> </w:t>
      </w:r>
      <w:r>
        <w:rPr>
          <w:bCs/>
          <w:b/>
        </w:rPr>
        <w:t xml:space="preserve">Technical Writer (Nof)</w:t>
      </w:r>
      <w:r>
        <w:t xml:space="preserve">. Que exista un título no garantiza una vacante activa. Verifique Apprenticeship.gov y socios locales de fuerza laboral.</w:t>
      </w:r>
    </w:p>
    <w:bookmarkEnd w:id="55"/>
    <w:bookmarkStart w:id="56" w:name="vía-de-canadá"/>
    <w:p>
      <w:pPr>
        <w:pStyle w:val="Heading2"/>
      </w:pPr>
      <w:r>
        <w:t xml:space="preserve">Vía de Canadá</w:t>
      </w:r>
    </w:p>
    <w:p>
      <w:pPr>
        <w:pStyle w:val="FirstParagraph"/>
      </w:pPr>
      <w:r>
        <w:t xml:space="preserve">Canada Job Bank identifica</w:t>
      </w:r>
      <w:r>
        <w:t xml:space="preserve"> </w:t>
      </w:r>
      <w:r>
        <w:rPr>
          <w:bCs/>
          <w:b/>
        </w:rPr>
        <w:t xml:space="preserve">Technical writers — NOC 51112</w:t>
      </w:r>
      <w:r>
        <w:t xml:space="preserve">. La descripción abarca redacción de manuales y especificaciones para publicación/presentación, con empleo en gobierno, empresas, consultoría y editoriales, además de trabajo independiente.</w:t>
      </w:r>
    </w:p>
    <w:p>
      <w:pPr>
        <w:pStyle w:val="BodyText"/>
      </w:pPr>
      <w:r>
        <w:t xml:space="preserve">Job Bank indica que normalmente se requiere título universitario en el área de especialización, como informática o ingeniería, y que la ocupación</w:t>
      </w:r>
      <w:r>
        <w:t xml:space="preserve"> </w:t>
      </w:r>
      <w:r>
        <w:rPr>
          <w:bCs/>
          <w:b/>
        </w:rPr>
        <w:t xml:space="preserve">no está regulada en Canadá</w:t>
      </w:r>
      <w:r>
        <w:t xml:space="preserve">.</w:t>
      </w:r>
    </w:p>
    <w:p>
      <w:pPr>
        <w:pStyle w:val="BodyText"/>
      </w:pPr>
      <w:r>
        <w:t xml:space="preserve">Datos salariales nacionales actuales:</w:t>
      </w:r>
    </w:p>
    <w:p>
      <w:pPr>
        <w:numPr>
          <w:ilvl w:val="0"/>
          <w:numId w:val="1008"/>
        </w:numPr>
        <w:pStyle w:val="Compact"/>
      </w:pPr>
      <w:r>
        <w:t xml:space="preserve">bajo:</w:t>
      </w:r>
      <w:r>
        <w:t xml:space="preserve"> </w:t>
      </w:r>
      <w:r>
        <w:rPr>
          <w:bCs/>
          <w:b/>
        </w:rPr>
        <w:t xml:space="preserve">C$27.00/hora</w:t>
      </w:r>
      <w:r>
        <w:t xml:space="preserve">;</w:t>
      </w:r>
    </w:p>
    <w:p>
      <w:pPr>
        <w:numPr>
          <w:ilvl w:val="0"/>
          <w:numId w:val="1008"/>
        </w:numPr>
        <w:pStyle w:val="Compact"/>
      </w:pPr>
      <w:r>
        <w:t xml:space="preserve">mediano:</w:t>
      </w:r>
      <w:r>
        <w:t xml:space="preserve"> </w:t>
      </w:r>
      <w:r>
        <w:rPr>
          <w:bCs/>
          <w:b/>
        </w:rPr>
        <w:t xml:space="preserve">C$36.06/hora</w:t>
      </w:r>
      <w:r>
        <w:t xml:space="preserve">;</w:t>
      </w:r>
    </w:p>
    <w:p>
      <w:pPr>
        <w:numPr>
          <w:ilvl w:val="0"/>
          <w:numId w:val="1008"/>
        </w:numPr>
        <w:pStyle w:val="Compact"/>
      </w:pPr>
      <w:r>
        <w:t xml:space="preserve">alto:</w:t>
      </w:r>
      <w:r>
        <w:t xml:space="preserve"> </w:t>
      </w:r>
      <w:r>
        <w:rPr>
          <w:bCs/>
          <w:b/>
        </w:rPr>
        <w:t xml:space="preserve">C$53.37/hora</w:t>
      </w:r>
      <w:r>
        <w:t xml:space="preserve">.</w:t>
      </w:r>
    </w:p>
    <w:p>
      <w:pPr>
        <w:pStyle w:val="FirstParagraph"/>
      </w:pPr>
      <w:r>
        <w:t xml:space="preserve">Job Bank informa una semana habitual de</w:t>
      </w:r>
      <w:r>
        <w:t xml:space="preserve"> </w:t>
      </w:r>
      <w:r>
        <w:rPr>
          <w:bCs/>
          <w:b/>
        </w:rPr>
        <w:t xml:space="preserve">35 a 40 horas</w:t>
      </w:r>
      <w:r>
        <w:t xml:space="preserve">. Canada.ca ofrece localizadores de capacitación, apoyo estudiantil, préstamos/subsidios, mejora de habilidades y experiencia laboral. Verifique calidad, costo y elegibilidad antes de pagar.</w:t>
      </w:r>
    </w:p>
    <w:bookmarkEnd w:id="56"/>
    <w:bookmarkStart w:id="58" w:name="vía-de-colombia"/>
    <w:p>
      <w:pPr>
        <w:pStyle w:val="Heading2"/>
      </w:pPr>
      <w:r>
        <w:t xml:space="preserve">Vía de Colombia</w:t>
      </w:r>
    </w:p>
    <w:p>
      <w:pPr>
        <w:pStyle w:val="FirstParagraph"/>
      </w:pPr>
      <w:r>
        <w:t xml:space="preserve">OCUPACOL identifica</w:t>
      </w:r>
      <w:r>
        <w:t xml:space="preserve"> </w:t>
      </w:r>
      <w:r>
        <w:rPr>
          <w:bCs/>
          <w:b/>
        </w:rPr>
        <w:t xml:space="preserve">CUOC 26410 — Autores y otros escritores</w:t>
      </w:r>
      <w:r>
        <w:t xml:space="preserve">, nivel de competencia 4. Incluye denominaciones como</w:t>
      </w:r>
      <w:r>
        <w:t xml:space="preserve"> </w:t>
      </w:r>
      <w:r>
        <w:rPr>
          <w:bCs/>
          <w:b/>
        </w:rPr>
        <w:t xml:space="preserve">Autor técnico, Comunicador técnico de manuales, Escritor de documentación, Escritor técnico y Redactor técnico</w:t>
      </w:r>
      <w:r>
        <w:t xml:space="preserve">. El perfil contempla investigar, documentar y escribir manuales y especificaciones.</w:t>
      </w:r>
    </w:p>
    <w:p>
      <w:pPr>
        <w:pStyle w:val="BodyText"/>
      </w:pPr>
      <w:r>
        <w:t xml:space="preserve">OCUPACOL muestra un rango salarial, pero advierte expresamente que los datos</w:t>
      </w:r>
      <w:r>
        <w:t xml:space="preserve"> </w:t>
      </w:r>
      <w:r>
        <w:rPr>
          <w:bCs/>
          <w:b/>
        </w:rPr>
        <w:t xml:space="preserve">no tienen representatividad estadística</w:t>
      </w:r>
      <w:r>
        <w:t xml:space="preserve"> </w:t>
      </w:r>
      <w:r>
        <w:t xml:space="preserve">bajo la metodología aplicada. Por eso esta guía no lo presenta como salario representativo actual.</w:t>
      </w:r>
    </w:p>
    <w:bookmarkStart w:id="57" w:name="sena"/>
    <w:p>
      <w:pPr>
        <w:pStyle w:val="Heading3"/>
      </w:pPr>
      <w:r>
        <w:t xml:space="preserve">SENA</w:t>
      </w:r>
    </w:p>
    <w:p>
      <w:pPr>
        <w:pStyle w:val="FirstParagraph"/>
      </w:pPr>
      <w:r>
        <w:t xml:space="preserve">SENA Betowa lista actualmente:</w:t>
      </w:r>
    </w:p>
    <w:p>
      <w:pPr>
        <w:numPr>
          <w:ilvl w:val="0"/>
          <w:numId w:val="1009"/>
        </w:numPr>
        <w:pStyle w:val="Compact"/>
      </w:pPr>
      <w:r>
        <w:rPr>
          <w:bCs/>
          <w:b/>
        </w:rPr>
        <w:t xml:space="preserve">Redacción y ortografía</w:t>
      </w:r>
      <w:r>
        <w:t xml:space="preserve"> </w:t>
      </w:r>
      <w:r>
        <w:t xml:space="preserve">— curso complementario especial de</w:t>
      </w:r>
      <w:r>
        <w:t xml:space="preserve"> </w:t>
      </w:r>
      <w:r>
        <w:rPr>
          <w:bCs/>
          <w:b/>
        </w:rPr>
        <w:t xml:space="preserve">48 horas</w:t>
      </w:r>
      <w:r>
        <w:t xml:space="preserve">;</w:t>
      </w:r>
    </w:p>
    <w:p>
      <w:pPr>
        <w:numPr>
          <w:ilvl w:val="0"/>
          <w:numId w:val="1009"/>
        </w:numPr>
        <w:pStyle w:val="Compact"/>
      </w:pPr>
      <w:r>
        <w:rPr>
          <w:bCs/>
          <w:b/>
        </w:rPr>
        <w:t xml:space="preserve">Habilidades cognitivas en lecto-escritura</w:t>
      </w:r>
      <w:r>
        <w:t xml:space="preserve"> </w:t>
      </w:r>
      <w:r>
        <w:t xml:space="preserve">— programa complementario virtual de</w:t>
      </w:r>
      <w:r>
        <w:t xml:space="preserve"> </w:t>
      </w:r>
      <w:r>
        <w:rPr>
          <w:bCs/>
          <w:b/>
        </w:rPr>
        <w:t xml:space="preserve">48 horas</w:t>
      </w:r>
      <w:r>
        <w:t xml:space="preserve">.</w:t>
      </w:r>
    </w:p>
    <w:p>
      <w:pPr>
        <w:pStyle w:val="FirstParagraph"/>
      </w:pPr>
      <w:r>
        <w:t xml:space="preserve">Son fundamentos útiles, no una cualificación completa de redacción técnica. También se requiere conocimiento de dominio, verificación de fuentes, entrevistas a SME, arquitectura documental, control de versiones/revisiones, accesibilidad y publicación.</w:t>
      </w:r>
    </w:p>
    <w:p>
      <w:pPr>
        <w:pStyle w:val="BodyText"/>
      </w:pPr>
      <w:r>
        <w:t xml:space="preserve">Cohortes, municipio, modalidad, patrocinio empresarial y cupos cambian. Betowa es la autoridad de inscripción.</w:t>
      </w:r>
    </w:p>
    <w:bookmarkEnd w:id="57"/>
    <w:bookmarkEnd w:id="58"/>
    <w:bookmarkStart w:id="59" w:name="vía-de-américa-latina-y-el-caribe"/>
    <w:p>
      <w:pPr>
        <w:pStyle w:val="Heading2"/>
      </w:pPr>
      <w:r>
        <w:t xml:space="preserve">Vía de América Latina y el Caribe</w:t>
      </w:r>
    </w:p>
    <w:p>
      <w:pPr>
        <w:pStyle w:val="FirstParagraph"/>
      </w:pPr>
      <w:r>
        <w:t xml:space="preserve">OIT/Cinterfor mantiene información por país e institución sobre organismos de formación profesional de América Latina y el Caribe. Úsela para localizar la institución nacional pertinente y después confirme programas, credenciales, modalidad, costo, elegibilidad e inscripción directamente.</w:t>
      </w:r>
    </w:p>
    <w:p>
      <w:pPr>
        <w:pStyle w:val="BodyText"/>
      </w:pPr>
      <w:r>
        <w:t xml:space="preserve">El directorio no garantiza que exista capacitación o financiamiento de redacción técnica en todos los países.</w:t>
      </w:r>
    </w:p>
    <w:bookmarkEnd w:id="59"/>
    <w:bookmarkStart w:id="64" w:name="X92d59155ce76e764b075585fb788c87f654ddfc"/>
    <w:p>
      <w:pPr>
        <w:pStyle w:val="Heading2"/>
      </w:pPr>
      <w:r>
        <w:t xml:space="preserve">Investigación de ingresos y perspectiva laboral</w:t>
      </w:r>
    </w:p>
    <w:bookmarkStart w:id="60" w:name="estados-unidos--datos-oficiales"/>
    <w:p>
      <w:pPr>
        <w:pStyle w:val="Heading3"/>
      </w:pPr>
      <w:r>
        <w:t xml:space="preserve">Estados Unidos — datos oficiales</w:t>
      </w:r>
    </w:p>
    <w:p>
      <w:pPr>
        <w:pStyle w:val="FirstParagraph"/>
      </w:pPr>
      <w:r>
        <w:t xml:space="preserve">Valores nacionales BLS/O*NET 2025:</w:t>
      </w:r>
    </w:p>
    <w:p>
      <w:pPr>
        <w:numPr>
          <w:ilvl w:val="0"/>
          <w:numId w:val="1010"/>
        </w:numPr>
        <w:pStyle w:val="Compact"/>
      </w:pPr>
      <w:r>
        <w:t xml:space="preserve">percentil 10:</w:t>
      </w:r>
      <w:r>
        <w:t xml:space="preserve"> </w:t>
      </w:r>
      <w:r>
        <w:rPr>
          <w:bCs/>
          <w:b/>
        </w:rPr>
        <w:t xml:space="preserve">US$57,440/año</w:t>
      </w:r>
      <w:r>
        <w:t xml:space="preserve"> </w:t>
      </w:r>
      <w:r>
        <w:t xml:space="preserve">o</w:t>
      </w:r>
      <w:r>
        <w:t xml:space="preserve"> </w:t>
      </w:r>
      <w:r>
        <w:rPr>
          <w:bCs/>
          <w:b/>
        </w:rPr>
        <w:t xml:space="preserve">US$27.62/hora</w:t>
      </w:r>
      <w:r>
        <w:t xml:space="preserve">;</w:t>
      </w:r>
    </w:p>
    <w:p>
      <w:pPr>
        <w:numPr>
          <w:ilvl w:val="0"/>
          <w:numId w:val="1010"/>
        </w:numPr>
        <w:pStyle w:val="Compact"/>
      </w:pPr>
      <w:r>
        <w:t xml:space="preserve">percentil 25:</w:t>
      </w:r>
      <w:r>
        <w:t xml:space="preserve"> </w:t>
      </w:r>
      <w:r>
        <w:rPr>
          <w:bCs/>
          <w:b/>
        </w:rPr>
        <w:t xml:space="preserve">US$70,880/año</w:t>
      </w:r>
      <w:r>
        <w:t xml:space="preserve"> </w:t>
      </w:r>
      <w:r>
        <w:t xml:space="preserve">o</w:t>
      </w:r>
      <w:r>
        <w:t xml:space="preserve"> </w:t>
      </w:r>
      <w:r>
        <w:rPr>
          <w:bCs/>
          <w:b/>
        </w:rPr>
        <w:t xml:space="preserve">US$34.08/hora</w:t>
      </w:r>
      <w:r>
        <w:t xml:space="preserve">;</w:t>
      </w:r>
    </w:p>
    <w:p>
      <w:pPr>
        <w:numPr>
          <w:ilvl w:val="0"/>
          <w:numId w:val="1010"/>
        </w:numPr>
        <w:pStyle w:val="Compact"/>
      </w:pPr>
      <w:r>
        <w:t xml:space="preserve">mediana:</w:t>
      </w:r>
      <w:r>
        <w:t xml:space="preserve"> </w:t>
      </w:r>
      <w:r>
        <w:rPr>
          <w:bCs/>
          <w:b/>
        </w:rPr>
        <w:t xml:space="preserve">US$90,390/año</w:t>
      </w:r>
      <w:r>
        <w:t xml:space="preserve"> </w:t>
      </w:r>
      <w:r>
        <w:t xml:space="preserve">o</w:t>
      </w:r>
      <w:r>
        <w:t xml:space="preserve"> </w:t>
      </w:r>
      <w:r>
        <w:rPr>
          <w:bCs/>
          <w:b/>
        </w:rPr>
        <w:t xml:space="preserve">US$43.46/hora</w:t>
      </w:r>
      <w:r>
        <w:t xml:space="preserve">;</w:t>
      </w:r>
    </w:p>
    <w:p>
      <w:pPr>
        <w:numPr>
          <w:ilvl w:val="0"/>
          <w:numId w:val="1010"/>
        </w:numPr>
        <w:pStyle w:val="Compact"/>
      </w:pPr>
      <w:r>
        <w:t xml:space="preserve">percentil 75:</w:t>
      </w:r>
      <w:r>
        <w:t xml:space="preserve"> </w:t>
      </w:r>
      <w:r>
        <w:rPr>
          <w:bCs/>
          <w:b/>
        </w:rPr>
        <w:t xml:space="preserve">US$115,510/año</w:t>
      </w:r>
      <w:r>
        <w:t xml:space="preserve"> </w:t>
      </w:r>
      <w:r>
        <w:t xml:space="preserve">o</w:t>
      </w:r>
      <w:r>
        <w:t xml:space="preserve"> </w:t>
      </w:r>
      <w:r>
        <w:rPr>
          <w:bCs/>
          <w:b/>
        </w:rPr>
        <w:t xml:space="preserve">US$55.53/hora</w:t>
      </w:r>
      <w:r>
        <w:t xml:space="preserve">;</w:t>
      </w:r>
    </w:p>
    <w:p>
      <w:pPr>
        <w:numPr>
          <w:ilvl w:val="0"/>
          <w:numId w:val="1010"/>
        </w:numPr>
        <w:pStyle w:val="Compact"/>
      </w:pPr>
      <w:r>
        <w:t xml:space="preserve">percentil 90:</w:t>
      </w:r>
      <w:r>
        <w:t xml:space="preserve"> </w:t>
      </w:r>
      <w:r>
        <w:rPr>
          <w:bCs/>
          <w:b/>
        </w:rPr>
        <w:t xml:space="preserve">US$145,270/año</w:t>
      </w:r>
      <w:r>
        <w:t xml:space="preserve"> </w:t>
      </w:r>
      <w:r>
        <w:t xml:space="preserve">o</w:t>
      </w:r>
      <w:r>
        <w:t xml:space="preserve"> </w:t>
      </w:r>
      <w:r>
        <w:rPr>
          <w:bCs/>
          <w:b/>
        </w:rPr>
        <w:t xml:space="preserve">US$69.84/hora</w:t>
      </w:r>
      <w:r>
        <w:t xml:space="preserve">.</w:t>
      </w:r>
    </w:p>
    <w:p>
      <w:pPr>
        <w:pStyle w:val="FirstParagraph"/>
      </w:pPr>
      <w:r>
        <w:t xml:space="preserve">Proyecciones BLS/O*NET:</w:t>
      </w:r>
    </w:p>
    <w:p>
      <w:pPr>
        <w:numPr>
          <w:ilvl w:val="0"/>
          <w:numId w:val="1011"/>
        </w:numPr>
        <w:pStyle w:val="Compact"/>
      </w:pPr>
      <w:r>
        <w:t xml:space="preserve">empleo 2024:</w:t>
      </w:r>
      <w:r>
        <w:t xml:space="preserve"> </w:t>
      </w:r>
      <w:r>
        <w:rPr>
          <w:bCs/>
          <w:b/>
        </w:rPr>
        <w:t xml:space="preserve">56,400</w:t>
      </w:r>
      <w:r>
        <w:t xml:space="preserve">;</w:t>
      </w:r>
    </w:p>
    <w:p>
      <w:pPr>
        <w:numPr>
          <w:ilvl w:val="0"/>
          <w:numId w:val="1011"/>
        </w:numPr>
        <w:pStyle w:val="Compact"/>
      </w:pPr>
      <w:r>
        <w:t xml:space="preserve">empleo proyectado 2034:</w:t>
      </w:r>
      <w:r>
        <w:t xml:space="preserve"> </w:t>
      </w:r>
      <w:r>
        <w:rPr>
          <w:bCs/>
          <w:b/>
        </w:rPr>
        <w:t xml:space="preserve">56,900</w:t>
      </w:r>
      <w:r>
        <w:t xml:space="preserve">;</w:t>
      </w:r>
    </w:p>
    <w:p>
      <w:pPr>
        <w:numPr>
          <w:ilvl w:val="0"/>
          <w:numId w:val="1011"/>
        </w:numPr>
        <w:pStyle w:val="Compact"/>
      </w:pPr>
      <w:r>
        <w:t xml:space="preserve">crecimiento 2024–2034:</w:t>
      </w:r>
      <w:r>
        <w:t xml:space="preserve"> </w:t>
      </w:r>
      <w:r>
        <w:rPr>
          <w:bCs/>
          <w:b/>
        </w:rPr>
        <w:t xml:space="preserve">1%</w:t>
      </w:r>
      <w:r>
        <w:t xml:space="preserve">, más lento que el promedio;</w:t>
      </w:r>
    </w:p>
    <w:p>
      <w:pPr>
        <w:numPr>
          <w:ilvl w:val="0"/>
          <w:numId w:val="1011"/>
        </w:numPr>
        <w:pStyle w:val="Compact"/>
      </w:pPr>
      <w:r>
        <w:t xml:space="preserve">vacantes proyectadas por año:</w:t>
      </w:r>
      <w:r>
        <w:t xml:space="preserve"> </w:t>
      </w:r>
      <w:r>
        <w:rPr>
          <w:bCs/>
          <w:b/>
        </w:rPr>
        <w:t xml:space="preserve">4,500</w:t>
      </w:r>
      <w:r>
        <w:t xml:space="preserve">.</w:t>
      </w:r>
    </w:p>
    <w:p>
      <w:pPr>
        <w:pStyle w:val="FirstParagraph"/>
      </w:pPr>
      <w:r>
        <w:t xml:space="preserve">Un crecimiento neto lento no significa cero contratación; las vacantes de reemplazo forman parte de la proyección.</w:t>
      </w:r>
    </w:p>
    <w:bookmarkEnd w:id="60"/>
    <w:bookmarkStart w:id="61" w:name="X50ce86228e69f4ed8bdeef773dfd5c918c526e2"/>
    <w:p>
      <w:pPr>
        <w:pStyle w:val="Heading3"/>
      </w:pPr>
      <w:r>
        <w:t xml:space="preserve">Estados Unidos — estimación no gubernamental actual</w:t>
      </w:r>
    </w:p>
    <w:p>
      <w:pPr>
        <w:pStyle w:val="FirstParagraph"/>
      </w:pPr>
      <w:r>
        <w:t xml:space="preserve">Indeed reportó aproximadamente</w:t>
      </w:r>
      <w:r>
        <w:t xml:space="preserve"> </w:t>
      </w:r>
      <w:r>
        <w:rPr>
          <w:bCs/>
          <w:b/>
        </w:rPr>
        <w:t xml:space="preserve">US$38.81/hora</w:t>
      </w:r>
      <w:r>
        <w:t xml:space="preserve"> </w:t>
      </w:r>
      <w:r>
        <w:t xml:space="preserve">como salario base promedio para Technical Writers, con valores mostrados de aproximadamente</w:t>
      </w:r>
      <w:r>
        <w:t xml:space="preserve"> </w:t>
      </w:r>
      <w:r>
        <w:rPr>
          <w:bCs/>
          <w:b/>
        </w:rPr>
        <w:t xml:space="preserve">US$24.15–US$62.37/hora</w:t>
      </w:r>
      <w:r>
        <w:t xml:space="preserve">, basados en unas</w:t>
      </w:r>
      <w:r>
        <w:t xml:space="preserve"> </w:t>
      </w:r>
      <w:r>
        <w:rPr>
          <w:bCs/>
          <w:b/>
        </w:rPr>
        <w:t xml:space="preserve">2.5 mil remuneraciones</w:t>
      </w:r>
      <w:r>
        <w:t xml:space="preserve"> </w:t>
      </w:r>
      <w:r>
        <w:t xml:space="preserve">tomadas de ofertas durante los</w:t>
      </w:r>
      <w:r>
        <w:t xml:space="preserve"> </w:t>
      </w:r>
      <w:r>
        <w:rPr>
          <w:bCs/>
          <w:b/>
        </w:rPr>
        <w:t xml:space="preserve">36 meses</w:t>
      </w:r>
      <w:r>
        <w:t xml:space="preserve"> </w:t>
      </w:r>
      <w:r>
        <w:t xml:space="preserve">anteriores, actualizado el</w:t>
      </w:r>
      <w:r>
        <w:t xml:space="preserve"> </w:t>
      </w:r>
      <w:r>
        <w:rPr>
          <w:bCs/>
          <w:b/>
        </w:rPr>
        <w:t xml:space="preserve">2 de agosto de 2026</w:t>
      </w:r>
      <w:r>
        <w:t xml:space="preserve">.</w:t>
      </w:r>
    </w:p>
    <w:p>
      <w:pPr>
        <w:pStyle w:val="BodyText"/>
      </w:pPr>
      <w:r>
        <w:t xml:space="preserve">Es contexto de mercado, no una estadística oficial ni una oferta garantizada.</w:t>
      </w:r>
    </w:p>
    <w:bookmarkEnd w:id="61"/>
    <w:bookmarkStart w:id="62" w:name="canadá--contexto-oficial-job-bank"/>
    <w:p>
      <w:pPr>
        <w:pStyle w:val="Heading3"/>
      </w:pPr>
      <w:r>
        <w:t xml:space="preserve">Canadá — contexto oficial Job Bank</w:t>
      </w:r>
    </w:p>
    <w:p>
      <w:pPr>
        <w:pStyle w:val="FirstParagraph"/>
      </w:pPr>
      <w:r>
        <w:t xml:space="preserve">Los salarios nacionales son</w:t>
      </w:r>
      <w:r>
        <w:t xml:space="preserve"> </w:t>
      </w:r>
      <w:r>
        <w:rPr>
          <w:bCs/>
          <w:b/>
        </w:rPr>
        <w:t xml:space="preserve">C$27.00 / C$36.06 / C$53.37 por hora</w:t>
      </w:r>
      <w:r>
        <w:t xml:space="preserve"> </w:t>
      </w:r>
      <w:r>
        <w:t xml:space="preserve">(bajo/mediano/alto), con periodo de referencia 2023–2024 y actualización salarial del 19 de noviembre de 2025.</w:t>
      </w:r>
    </w:p>
    <w:bookmarkEnd w:id="62"/>
    <w:bookmarkStart w:id="63" w:name="colombia"/>
    <w:p>
      <w:pPr>
        <w:pStyle w:val="Heading3"/>
      </w:pPr>
      <w:r>
        <w:t xml:space="preserve">Colombia</w:t>
      </w:r>
    </w:p>
    <w:p>
      <w:pPr>
        <w:pStyle w:val="FirstParagraph"/>
      </w:pPr>
      <w:r>
        <w:t xml:space="preserve">Use ofertas de empleadores y vacantes actuales para investigar pago local. El rango de OCUPACOL para CUOC 26410 está expresamente marcado como no representativo y no se usa aquí como salario representativo.</w:t>
      </w:r>
    </w:p>
    <w:bookmarkEnd w:id="63"/>
    <w:bookmarkEnd w:id="64"/>
    <w:bookmarkStart w:id="65" w:name="Xffbe05e74b1665721cbab64ead7c125a23c76f2"/>
    <w:p>
      <w:pPr>
        <w:pStyle w:val="Heading2"/>
      </w:pPr>
      <w:r>
        <w:t xml:space="preserve">Construir un portafolio ético de redacción técnica</w:t>
      </w:r>
    </w:p>
    <w:p>
      <w:pPr>
        <w:pStyle w:val="FirstParagraph"/>
      </w:pPr>
      <w:r>
        <w:t xml:space="preserve">Un portafolio sólido puede demostrar que sabe convertir fuentes en documentación usable preservando trazabilidad.</w:t>
      </w:r>
    </w:p>
    <w:p>
      <w:pPr>
        <w:pStyle w:val="BodyText"/>
      </w:pPr>
      <w:r>
        <w:t xml:space="preserve">Proyectos de práctica: guía de instalación de un producto abierto o ficticio, guía de troubleshooting, referencia breve de API con API demo pública, SOP de proceso ficticio de bajo riesgo, artículo de base de conocimiento, nota de versión/migración simulada, comparación antes/después con justificación y muestra DOCX/PDF accesible.</w:t>
      </w:r>
    </w:p>
    <w:p>
      <w:pPr>
        <w:pStyle w:val="BodyText"/>
      </w:pPr>
      <w:r>
        <w:t xml:space="preserve">Para cada proyecto indique audiencia, fuente de verdad, supuestos, su rol, herramientas, método de revisión/prueba, accesibilidad, redacciones de seguridad/privacidad, cambios después de la revisión y qué necesitaría de un SME antes de publicación real.</w:t>
      </w:r>
    </w:p>
    <w:p>
      <w:pPr>
        <w:pStyle w:val="BodyText"/>
      </w:pPr>
      <w:r>
        <w:t xml:space="preserve">Nunca invente aprobación de ingeniería, prueba, estudio de usuario, certificación, hallazgo de cumplimiento o determinación de seguridad. No publique material confidencial de empleadores o clientes anteriores.</w:t>
      </w:r>
    </w:p>
    <w:bookmarkEnd w:id="65"/>
    <w:bookmarkStart w:id="70" w:name="plan-de-acción-de-30-días"/>
    <w:p>
      <w:pPr>
        <w:pStyle w:val="Heading2"/>
      </w:pPr>
      <w:r>
        <w:t xml:space="preserve">Plan de acción de 30 días</w:t>
      </w:r>
    </w:p>
    <w:bookmarkStart w:id="66" w:name="semana-1--fundamentos"/>
    <w:p>
      <w:pPr>
        <w:pStyle w:val="Heading3"/>
      </w:pPr>
      <w:r>
        <w:t xml:space="preserve">Semana 1 — Fundamentos</w:t>
      </w:r>
    </w:p>
    <w:p>
      <w:pPr>
        <w:numPr>
          <w:ilvl w:val="0"/>
          <w:numId w:val="1012"/>
        </w:numPr>
        <w:pStyle w:val="Compact"/>
      </w:pPr>
      <w:r>
        <w:t xml:space="preserve">Elija un dominio técnico.</w:t>
      </w:r>
    </w:p>
    <w:p>
      <w:pPr>
        <w:numPr>
          <w:ilvl w:val="0"/>
          <w:numId w:val="1012"/>
        </w:numPr>
        <w:pStyle w:val="Compact"/>
      </w:pPr>
      <w:r>
        <w:t xml:space="preserve">Estudie análisis de audiencia/tarea y tipos de contenido.</w:t>
      </w:r>
    </w:p>
    <w:p>
      <w:pPr>
        <w:numPr>
          <w:ilvl w:val="0"/>
          <w:numId w:val="1012"/>
        </w:numPr>
        <w:pStyle w:val="Compact"/>
      </w:pPr>
      <w:r>
        <w:t xml:space="preserve">Practique pasos concisos y terminología consistente.</w:t>
      </w:r>
    </w:p>
    <w:p>
      <w:pPr>
        <w:numPr>
          <w:ilvl w:val="0"/>
          <w:numId w:val="1012"/>
        </w:numPr>
        <w:pStyle w:val="Compact"/>
      </w:pPr>
      <w:r>
        <w:t xml:space="preserve">Aprenda Markdown y Git básico.</w:t>
      </w:r>
    </w:p>
    <w:p>
      <w:pPr>
        <w:numPr>
          <w:ilvl w:val="0"/>
          <w:numId w:val="1012"/>
        </w:numPr>
        <w:pStyle w:val="Compact"/>
      </w:pPr>
      <w:r>
        <w:t xml:space="preserve">Revise lenguaje claro y accesibilidad documental.</w:t>
      </w:r>
    </w:p>
    <w:bookmarkEnd w:id="66"/>
    <w:bookmarkStart w:id="67" w:name="semana-2--muestra-controlada"/>
    <w:p>
      <w:pPr>
        <w:pStyle w:val="Heading3"/>
      </w:pPr>
      <w:r>
        <w:t xml:space="preserve">Semana 2 — Muestra controlada</w:t>
      </w:r>
    </w:p>
    <w:p>
      <w:pPr>
        <w:numPr>
          <w:ilvl w:val="0"/>
          <w:numId w:val="1013"/>
        </w:numPr>
        <w:pStyle w:val="Compact"/>
      </w:pPr>
      <w:r>
        <w:t xml:space="preserve">Seleccione un producto/proceso público, abierto o ficticio.</w:t>
      </w:r>
    </w:p>
    <w:p>
      <w:pPr>
        <w:numPr>
          <w:ilvl w:val="0"/>
          <w:numId w:val="1013"/>
        </w:numPr>
        <w:pStyle w:val="Compact"/>
      </w:pPr>
      <w:r>
        <w:t xml:space="preserve">Identifique fuentes.</w:t>
      </w:r>
    </w:p>
    <w:p>
      <w:pPr>
        <w:numPr>
          <w:ilvl w:val="0"/>
          <w:numId w:val="1013"/>
        </w:numPr>
        <w:pStyle w:val="Compact"/>
      </w:pPr>
      <w:r>
        <w:t xml:space="preserve">Escriba una página conceptual y un procedimiento.</w:t>
      </w:r>
    </w:p>
    <w:p>
      <w:pPr>
        <w:numPr>
          <w:ilvl w:val="0"/>
          <w:numId w:val="1013"/>
        </w:numPr>
        <w:pStyle w:val="Compact"/>
      </w:pPr>
      <w:r>
        <w:t xml:space="preserve">Añada troubleshooting y registro de fuentes/revisiones.</w:t>
      </w:r>
    </w:p>
    <w:p>
      <w:pPr>
        <w:numPr>
          <w:ilvl w:val="0"/>
          <w:numId w:val="1013"/>
        </w:numPr>
        <w:pStyle w:val="Compact"/>
      </w:pPr>
      <w:r>
        <w:t xml:space="preserve">Pruebe de forma segura cada paso posible.</w:t>
      </w:r>
    </w:p>
    <w:bookmarkEnd w:id="67"/>
    <w:bookmarkStart w:id="68" w:name="semana-3--revisión-y-accesibilidad"/>
    <w:p>
      <w:pPr>
        <w:pStyle w:val="Heading3"/>
      </w:pPr>
      <w:r>
        <w:t xml:space="preserve">Semana 3 — Revisión y accesibilidad</w:t>
      </w:r>
    </w:p>
    <w:p>
      <w:pPr>
        <w:numPr>
          <w:ilvl w:val="0"/>
          <w:numId w:val="1014"/>
        </w:numPr>
        <w:pStyle w:val="Compact"/>
      </w:pPr>
      <w:r>
        <w:t xml:space="preserve">Pida revisión técnica para exactitud.</w:t>
      </w:r>
    </w:p>
    <w:p>
      <w:pPr>
        <w:numPr>
          <w:ilvl w:val="0"/>
          <w:numId w:val="1014"/>
        </w:numPr>
        <w:pStyle w:val="Compact"/>
      </w:pPr>
      <w:r>
        <w:t xml:space="preserve">Pida a una persona no experta que identifique ambigüedades.</w:t>
      </w:r>
    </w:p>
    <w:p>
      <w:pPr>
        <w:numPr>
          <w:ilvl w:val="0"/>
          <w:numId w:val="1014"/>
        </w:numPr>
        <w:pStyle w:val="Compact"/>
      </w:pPr>
      <w:r>
        <w:t xml:space="preserve">Corrija y registre la revisión.</w:t>
      </w:r>
    </w:p>
    <w:p>
      <w:pPr>
        <w:numPr>
          <w:ilvl w:val="0"/>
          <w:numId w:val="1014"/>
        </w:numPr>
        <w:pStyle w:val="Compact"/>
      </w:pPr>
      <w:r>
        <w:t xml:space="preserve">Revise encabezados, enlaces, texto alternativo, tablas y salida.</w:t>
      </w:r>
    </w:p>
    <w:p>
      <w:pPr>
        <w:numPr>
          <w:ilvl w:val="0"/>
          <w:numId w:val="1014"/>
        </w:numPr>
        <w:pStyle w:val="Compact"/>
      </w:pPr>
      <w:r>
        <w:t xml:space="preserve">Redacte datos sensibles innecesarios.</w:t>
      </w:r>
    </w:p>
    <w:bookmarkEnd w:id="68"/>
    <w:bookmarkStart w:id="69" w:name="semana-4--portafolio-y-vacantes"/>
    <w:p>
      <w:pPr>
        <w:pStyle w:val="Heading3"/>
      </w:pPr>
      <w:r>
        <w:t xml:space="preserve">Semana 4 — Portafolio y vacantes</w:t>
      </w:r>
    </w:p>
    <w:p>
      <w:pPr>
        <w:numPr>
          <w:ilvl w:val="0"/>
          <w:numId w:val="1015"/>
        </w:numPr>
        <w:pStyle w:val="Compact"/>
      </w:pPr>
      <w:r>
        <w:t xml:space="preserve">Convierta el proyecto en un caso breve.</w:t>
      </w:r>
    </w:p>
    <w:p>
      <w:pPr>
        <w:numPr>
          <w:ilvl w:val="0"/>
          <w:numId w:val="1015"/>
        </w:numPr>
        <w:pStyle w:val="Compact"/>
      </w:pPr>
      <w:r>
        <w:t xml:space="preserve">Investigue al menos 10 vacantes objetivo.</w:t>
      </w:r>
    </w:p>
    <w:p>
      <w:pPr>
        <w:numPr>
          <w:ilvl w:val="0"/>
          <w:numId w:val="1015"/>
        </w:numPr>
        <w:pStyle w:val="Compact"/>
      </w:pPr>
      <w:r>
        <w:t xml:space="preserve">Cree una tabla de brechas de habilidades.</w:t>
      </w:r>
    </w:p>
    <w:p>
      <w:pPr>
        <w:numPr>
          <w:ilvl w:val="0"/>
          <w:numId w:val="1015"/>
        </w:numPr>
        <w:pStyle w:val="Compact"/>
      </w:pPr>
      <w:r>
        <w:t xml:space="preserve">Añada un proyecto para la habilidad más repetida que le falte.</w:t>
      </w:r>
    </w:p>
    <w:p>
      <w:pPr>
        <w:numPr>
          <w:ilvl w:val="0"/>
          <w:numId w:val="1015"/>
        </w:numPr>
        <w:pStyle w:val="Compact"/>
      </w:pPr>
      <w:r>
        <w:t xml:space="preserve">Actualice currículum/portafolio solo con evidencia demostrable.</w:t>
      </w:r>
    </w:p>
    <w:p>
      <w:pPr>
        <w:numPr>
          <w:ilvl w:val="0"/>
          <w:numId w:val="1015"/>
        </w:numPr>
        <w:pStyle w:val="Compact"/>
      </w:pPr>
      <w:r>
        <w:t xml:space="preserve">Postúlese selectivamente a roles compatibles.</w:t>
      </w:r>
    </w:p>
    <w:bookmarkEnd w:id="69"/>
    <w:bookmarkEnd w:id="70"/>
    <w:bookmarkStart w:id="71" w:name="antes-de-publicar-documentación-técnica"/>
    <w:p>
      <w:pPr>
        <w:pStyle w:val="Heading2"/>
      </w:pPr>
      <w:r>
        <w:t xml:space="preserve">Antes de publicar documentación técnica</w:t>
      </w:r>
    </w:p>
    <w:p>
      <w:pPr>
        <w:pStyle w:val="FirstParagraph"/>
      </w:pPr>
      <w:r>
        <w:t xml:space="preserve">Compruebe que audiencia y versión estén explícitas; la fuente autorizada esté identificada; preguntas de SME estén cerradas o bloqueadas visiblemente; valores, unidades, comandos y parámetros estén verificados; prerrequisitos/permisos estén declarados; advertencias aparezcan antes de la acción; pasos estén en orden; exista resultado/verificación cuando sea útil; recuperación/escalamiento estén documentados cuando estén aprobados; ejemplos no contengan secretos; enlaces funcionen; accesibilidad haya sido revisada; comentarios estén resueltos; aprobaciones requeridas estén registradas; metadatos/versiones sean correctos; y material supersedido sea retirado según política.</w:t>
      </w:r>
    </w:p>
    <w:bookmarkEnd w:id="71"/>
    <w:bookmarkStart w:id="72" w:name="Xdc1034c29cd77a2141095dbf5772922e3d05e7f"/>
    <w:p>
      <w:pPr>
        <w:pStyle w:val="Heading2"/>
      </w:pPr>
      <w:r>
        <w:t xml:space="preserve">Preguntas antes de pagar por capacitación</w:t>
      </w:r>
    </w:p>
    <w:p>
      <w:pPr>
        <w:numPr>
          <w:ilvl w:val="0"/>
          <w:numId w:val="1016"/>
        </w:numPr>
        <w:pStyle w:val="Compact"/>
      </w:pPr>
      <w:r>
        <w:t xml:space="preserve">¿Enseña verificación de fuentes técnicas y no solo gramática?</w:t>
      </w:r>
    </w:p>
    <w:p>
      <w:pPr>
        <w:numPr>
          <w:ilvl w:val="0"/>
          <w:numId w:val="1016"/>
        </w:numPr>
        <w:pStyle w:val="Compact"/>
      </w:pPr>
      <w:r>
        <w:t xml:space="preserve">¿Practicaré entrevistas a SME y ciclos de revisión?</w:t>
      </w:r>
    </w:p>
    <w:p>
      <w:pPr>
        <w:numPr>
          <w:ilvl w:val="0"/>
          <w:numId w:val="1016"/>
        </w:numPr>
        <w:pStyle w:val="Compact"/>
      </w:pPr>
      <w:r>
        <w:t xml:space="preserve">¿Incluye procedimientos, referencia, troubleshooting y ayuda en línea?</w:t>
      </w:r>
    </w:p>
    <w:p>
      <w:pPr>
        <w:numPr>
          <w:ilvl w:val="0"/>
          <w:numId w:val="1016"/>
        </w:numPr>
        <w:pStyle w:val="Compact"/>
      </w:pPr>
      <w:r>
        <w:t xml:space="preserve">¿Cubre control de versiones o control documental?</w:t>
      </w:r>
    </w:p>
    <w:p>
      <w:pPr>
        <w:numPr>
          <w:ilvl w:val="0"/>
          <w:numId w:val="1016"/>
        </w:numPr>
        <w:pStyle w:val="Compact"/>
      </w:pPr>
      <w:r>
        <w:t xml:space="preserve">¿Incluye práctica de accesibilidad documental/web?</w:t>
      </w:r>
    </w:p>
    <w:p>
      <w:pPr>
        <w:numPr>
          <w:ilvl w:val="0"/>
          <w:numId w:val="1016"/>
        </w:numPr>
        <w:pStyle w:val="Compact"/>
      </w:pPr>
      <w:r>
        <w:t xml:space="preserve">¿Crearé material de portafolio que pueda mostrar legalmente?</w:t>
      </w:r>
    </w:p>
    <w:p>
      <w:pPr>
        <w:numPr>
          <w:ilvl w:val="0"/>
          <w:numId w:val="1016"/>
        </w:numPr>
        <w:pStyle w:val="Compact"/>
      </w:pPr>
      <w:r>
        <w:t xml:space="preserve">¿Incluye Markdown, contenido estructurado, XML o docs-as-code cuando sean relevantes?</w:t>
      </w:r>
    </w:p>
    <w:p>
      <w:pPr>
        <w:numPr>
          <w:ilvl w:val="0"/>
          <w:numId w:val="1016"/>
        </w:numPr>
        <w:pStyle w:val="Compact"/>
      </w:pPr>
      <w:r>
        <w:t xml:space="preserve">¿Incluye API/software si esa es mi especialidad objetivo?</w:t>
      </w:r>
    </w:p>
    <w:p>
      <w:pPr>
        <w:numPr>
          <w:ilvl w:val="0"/>
          <w:numId w:val="1016"/>
        </w:numPr>
        <w:pStyle w:val="Compact"/>
      </w:pPr>
      <w:r>
        <w:t xml:space="preserve">¿Las herramientas están incluidas en el costo?</w:t>
      </w:r>
    </w:p>
    <w:p>
      <w:pPr>
        <w:numPr>
          <w:ilvl w:val="0"/>
          <w:numId w:val="1016"/>
        </w:numPr>
        <w:pStyle w:val="Compact"/>
      </w:pPr>
      <w:r>
        <w:t xml:space="preserve">¿La práctica o experiencia laboral ofrecida es real y documentada?</w:t>
      </w:r>
    </w:p>
    <w:p>
      <w:pPr>
        <w:numPr>
          <w:ilvl w:val="0"/>
          <w:numId w:val="1016"/>
        </w:numPr>
        <w:pStyle w:val="Compact"/>
      </w:pPr>
      <w:r>
        <w:t xml:space="preserve">¿El financiamiento está aprobado para mí o solo es potencialmente elegible?</w:t>
      </w:r>
    </w:p>
    <w:p>
      <w:pPr>
        <w:numPr>
          <w:ilvl w:val="0"/>
          <w:numId w:val="1016"/>
        </w:numPr>
        <w:pStyle w:val="Compact"/>
      </w:pPr>
      <w:r>
        <w:t xml:space="preserve">¿Qué evidencia respalda afirmaciones de empleo o salario?</w:t>
      </w:r>
    </w:p>
    <w:bookmarkEnd w:id="72"/>
    <w:bookmarkStart w:id="96" w:name="Xd343416585484946d14915a0f2cbf34251f2901"/>
    <w:p>
      <w:pPr>
        <w:pStyle w:val="Heading2"/>
      </w:pPr>
      <w:r>
        <w:t xml:space="preserve">Fuentes que deben verificarse antes de decisiones importantes</w:t>
      </w:r>
    </w:p>
    <w:p>
      <w:pPr>
        <w:numPr>
          <w:ilvl w:val="0"/>
          <w:numId w:val="1017"/>
        </w:numPr>
        <w:pStyle w:val="Compact"/>
      </w:pPr>
      <w:r>
        <w:t xml:space="preserve">O*NET Technical Writers:</w:t>
      </w:r>
      <w:r>
        <w:t xml:space="preserve"> </w:t>
      </w:r>
      <w:hyperlink r:id="rId73">
        <w:hyperlink r:id="rId73">
          <w:r>
            <w:rPr>
              <w:rStyle w:val="Hyperlink"/>
            </w:rPr>
            <w:t xml:space="preserve">Source link</w:t>
          </w:r>
        </w:hyperlink>
      </w:hyperlink>
    </w:p>
    <w:p>
      <w:pPr>
        <w:numPr>
          <w:ilvl w:val="0"/>
          <w:numId w:val="1017"/>
        </w:numPr>
        <w:pStyle w:val="Compact"/>
      </w:pPr>
      <w:r>
        <w:t xml:space="preserve">O*NET resumen:</w:t>
      </w:r>
      <w:r>
        <w:t xml:space="preserve"> </w:t>
      </w:r>
      <w:hyperlink r:id="rId74">
        <w:hyperlink r:id="rId74">
          <w:r>
            <w:rPr>
              <w:rStyle w:val="Hyperlink"/>
            </w:rPr>
            <w:t xml:space="preserve">Source link</w:t>
          </w:r>
        </w:hyperlink>
      </w:hyperlink>
    </w:p>
    <w:p>
      <w:pPr>
        <w:numPr>
          <w:ilvl w:val="0"/>
          <w:numId w:val="1017"/>
        </w:numPr>
        <w:pStyle w:val="Compact"/>
      </w:pPr>
      <w:r>
        <w:t xml:space="preserve">O*NET tendencias:</w:t>
      </w:r>
      <w:r>
        <w:t xml:space="preserve"> </w:t>
      </w:r>
      <w:hyperlink r:id="rId75">
        <w:hyperlink r:id="rId75">
          <w:r>
            <w:rPr>
              <w:rStyle w:val="Hyperlink"/>
            </w:rPr>
            <w:t xml:space="preserve">Source link</w:t>
          </w:r>
        </w:hyperlink>
      </w:hyperlink>
    </w:p>
    <w:p>
      <w:pPr>
        <w:numPr>
          <w:ilvl w:val="0"/>
          <w:numId w:val="1017"/>
        </w:numPr>
        <w:pStyle w:val="Compact"/>
      </w:pPr>
      <w:r>
        <w:t xml:space="preserve">O*NET/BLS salarios:</w:t>
      </w:r>
      <w:r>
        <w:t xml:space="preserve"> </w:t>
      </w:r>
      <w:hyperlink r:id="rId76">
        <w:hyperlink r:id="rId76">
          <w:r>
            <w:rPr>
              <w:rStyle w:val="Hyperlink"/>
            </w:rPr>
            <w:t xml:space="preserve">Source link</w:t>
          </w:r>
        </w:hyperlink>
      </w:hyperlink>
    </w:p>
    <w:p>
      <w:pPr>
        <w:numPr>
          <w:ilvl w:val="0"/>
          <w:numId w:val="1017"/>
        </w:numPr>
        <w:pStyle w:val="Compact"/>
      </w:pPr>
      <w:r>
        <w:t xml:space="preserve">Indeed EE. UU.:</w:t>
      </w:r>
      <w:r>
        <w:t xml:space="preserve"> </w:t>
      </w:r>
      <w:hyperlink r:id="rId77">
        <w:hyperlink r:id="rId77">
          <w:r>
            <w:rPr>
              <w:rStyle w:val="Hyperlink"/>
            </w:rPr>
            <w:t xml:space="preserve">Source link</w:t>
          </w:r>
        </w:hyperlink>
      </w:hyperlink>
    </w:p>
    <w:p>
      <w:pPr>
        <w:numPr>
          <w:ilvl w:val="0"/>
          <w:numId w:val="1017"/>
        </w:numPr>
        <w:pStyle w:val="Compact"/>
      </w:pPr>
      <w:r>
        <w:t xml:space="preserve">O*NET software demandado:</w:t>
      </w:r>
      <w:r>
        <w:t xml:space="preserve"> </w:t>
      </w:r>
      <w:hyperlink r:id="rId78">
        <w:hyperlink r:id="rId78">
          <w:r>
            <w:rPr>
              <w:rStyle w:val="Hyperlink"/>
            </w:rPr>
            <w:t xml:space="preserve">Source link</w:t>
          </w:r>
        </w:hyperlink>
      </w:hyperlink>
    </w:p>
    <w:p>
      <w:pPr>
        <w:numPr>
          <w:ilvl w:val="0"/>
          <w:numId w:val="1017"/>
        </w:numPr>
        <w:pStyle w:val="Compact"/>
      </w:pPr>
      <w:r>
        <w:t xml:space="preserve">CareerOneStop WIOA:</w:t>
      </w:r>
      <w:r>
        <w:t xml:space="preserve"> </w:t>
      </w:r>
      <w:hyperlink r:id="rId79">
        <w:hyperlink r:id="rId79">
          <w:r>
            <w:rPr>
              <w:rStyle w:val="Hyperlink"/>
            </w:rPr>
            <w:t xml:space="preserve">Source link</w:t>
          </w:r>
        </w:hyperlink>
      </w:hyperlink>
    </w:p>
    <w:p>
      <w:pPr>
        <w:numPr>
          <w:ilvl w:val="0"/>
          <w:numId w:val="1017"/>
        </w:numPr>
        <w:pStyle w:val="Compact"/>
      </w:pPr>
      <w:r>
        <w:t xml:space="preserve">CareerOneStop capacitación:</w:t>
      </w:r>
      <w:r>
        <w:t xml:space="preserve"> </w:t>
      </w:r>
      <w:hyperlink r:id="rId80">
        <w:hyperlink r:id="rId80">
          <w:r>
            <w:rPr>
              <w:rStyle w:val="Hyperlink"/>
            </w:rPr>
            <w:t xml:space="preserve">Source link</w:t>
          </w:r>
        </w:hyperlink>
      </w:hyperlink>
    </w:p>
    <w:p>
      <w:pPr>
        <w:numPr>
          <w:ilvl w:val="0"/>
          <w:numId w:val="1017"/>
        </w:numPr>
        <w:pStyle w:val="Compact"/>
      </w:pPr>
      <w:r>
        <w:t xml:space="preserve">Canada Job Bank resumen:</w:t>
      </w:r>
      <w:r>
        <w:t xml:space="preserve"> </w:t>
      </w:r>
      <w:hyperlink r:id="rId81">
        <w:hyperlink r:id="rId81">
          <w:r>
            <w:rPr>
              <w:rStyle w:val="Hyperlink"/>
            </w:rPr>
            <w:t xml:space="preserve">Source link</w:t>
          </w:r>
        </w:hyperlink>
      </w:hyperlink>
    </w:p>
    <w:p>
      <w:pPr>
        <w:numPr>
          <w:ilvl w:val="0"/>
          <w:numId w:val="1017"/>
        </w:numPr>
        <w:pStyle w:val="Compact"/>
      </w:pPr>
      <w:r>
        <w:t xml:space="preserve">Canada Job Bank requisitos:</w:t>
      </w:r>
      <w:r>
        <w:t xml:space="preserve"> </w:t>
      </w:r>
      <w:hyperlink r:id="rId82">
        <w:hyperlink r:id="rId82">
          <w:r>
            <w:rPr>
              <w:rStyle w:val="Hyperlink"/>
            </w:rPr>
            <w:t xml:space="preserve">Source link</w:t>
          </w:r>
        </w:hyperlink>
      </w:hyperlink>
    </w:p>
    <w:p>
      <w:pPr>
        <w:numPr>
          <w:ilvl w:val="0"/>
          <w:numId w:val="1017"/>
        </w:numPr>
        <w:pStyle w:val="Compact"/>
      </w:pPr>
      <w:r>
        <w:t xml:space="preserve">Canada Job Bank salarios:</w:t>
      </w:r>
      <w:r>
        <w:t xml:space="preserve"> </w:t>
      </w:r>
      <w:hyperlink r:id="rId83">
        <w:hyperlink r:id="rId83">
          <w:r>
            <w:rPr>
              <w:rStyle w:val="Hyperlink"/>
            </w:rPr>
            <w:t xml:space="preserve">Source link</w:t>
          </w:r>
        </w:hyperlink>
      </w:hyperlink>
    </w:p>
    <w:p>
      <w:pPr>
        <w:numPr>
          <w:ilvl w:val="0"/>
          <w:numId w:val="1017"/>
        </w:numPr>
        <w:pStyle w:val="Compact"/>
      </w:pPr>
      <w:r>
        <w:t xml:space="preserve">Canada capacitación:</w:t>
      </w:r>
      <w:r>
        <w:t xml:space="preserve"> </w:t>
      </w:r>
      <w:hyperlink r:id="rId84">
        <w:hyperlink r:id="rId84">
          <w:r>
            <w:rPr>
              <w:rStyle w:val="Hyperlink"/>
            </w:rPr>
            <w:t xml:space="preserve">Source link</w:t>
          </w:r>
        </w:hyperlink>
      </w:hyperlink>
    </w:p>
    <w:p>
      <w:pPr>
        <w:numPr>
          <w:ilvl w:val="0"/>
          <w:numId w:val="1017"/>
        </w:numPr>
        <w:pStyle w:val="Compact"/>
      </w:pPr>
      <w:r>
        <w:t xml:space="preserve">Colombia OCUPACOL CUOC 26410:</w:t>
      </w:r>
      <w:r>
        <w:t xml:space="preserve"> </w:t>
      </w:r>
      <w:hyperlink r:id="rId85">
        <w:hyperlink r:id="rId85">
          <w:r>
            <w:rPr>
              <w:rStyle w:val="Hyperlink"/>
            </w:rPr>
            <w:t xml:space="preserve">Source link</w:t>
          </w:r>
        </w:hyperlink>
      </w:hyperlink>
    </w:p>
    <w:p>
      <w:pPr>
        <w:numPr>
          <w:ilvl w:val="0"/>
          <w:numId w:val="1017"/>
        </w:numPr>
        <w:pStyle w:val="Compact"/>
      </w:pPr>
      <w:r>
        <w:t xml:space="preserve">SENA Redacción y ortografía:</w:t>
      </w:r>
      <w:r>
        <w:t xml:space="preserve"> </w:t>
      </w:r>
      <w:hyperlink r:id="rId86">
        <w:hyperlink r:id="rId86">
          <w:r>
            <w:rPr>
              <w:rStyle w:val="Hyperlink"/>
            </w:rPr>
            <w:t xml:space="preserve">Source link</w:t>
          </w:r>
        </w:hyperlink>
      </w:hyperlink>
    </w:p>
    <w:p>
      <w:pPr>
        <w:numPr>
          <w:ilvl w:val="0"/>
          <w:numId w:val="1017"/>
        </w:numPr>
        <w:pStyle w:val="Compact"/>
      </w:pPr>
      <w:r>
        <w:t xml:space="preserve">SENA Habilidades cognitivas en lecto-escritura:</w:t>
      </w:r>
      <w:r>
        <w:t xml:space="preserve"> </w:t>
      </w:r>
      <w:hyperlink r:id="rId87">
        <w:hyperlink r:id="rId87">
          <w:r>
            <w:rPr>
              <w:rStyle w:val="Hyperlink"/>
            </w:rPr>
            <w:t xml:space="preserve">Source link</w:t>
          </w:r>
        </w:hyperlink>
      </w:hyperlink>
    </w:p>
    <w:p>
      <w:pPr>
        <w:numPr>
          <w:ilvl w:val="0"/>
          <w:numId w:val="1017"/>
        </w:numPr>
        <w:pStyle w:val="Compact"/>
      </w:pPr>
      <w:r>
        <w:t xml:space="preserve">OIT/Cinterfor:</w:t>
      </w:r>
      <w:r>
        <w:t xml:space="preserve"> </w:t>
      </w:r>
      <w:hyperlink r:id="rId88">
        <w:r>
          <w:rPr>
            <w:rStyle w:val="Hyperlink"/>
          </w:rPr>
          <w:t xml:space="preserve">https://www.oitcinterfor.org/statsfp/paises</w:t>
        </w:r>
      </w:hyperlink>
    </w:p>
    <w:p>
      <w:pPr>
        <w:numPr>
          <w:ilvl w:val="0"/>
          <w:numId w:val="1017"/>
        </w:numPr>
        <w:pStyle w:val="Compact"/>
      </w:pPr>
      <w:r>
        <w:t xml:space="preserve">Digital.gov lenguaje claro:</w:t>
      </w:r>
      <w:r>
        <w:t xml:space="preserve"> </w:t>
      </w:r>
      <w:hyperlink r:id="rId89">
        <w:r>
          <w:rPr>
            <w:rStyle w:val="Hyperlink"/>
          </w:rPr>
          <w:t xml:space="preserve">https://digital.gov/guides/plain-language</w:t>
        </w:r>
      </w:hyperlink>
    </w:p>
    <w:p>
      <w:pPr>
        <w:numPr>
          <w:ilvl w:val="0"/>
          <w:numId w:val="1017"/>
        </w:numPr>
        <w:pStyle w:val="Compact"/>
      </w:pPr>
      <w:r>
        <w:t xml:space="preserve">Section508.gov creación accesible:</w:t>
      </w:r>
      <w:r>
        <w:t xml:space="preserve"> </w:t>
      </w:r>
      <w:hyperlink r:id="rId90">
        <w:r>
          <w:rPr>
            <w:rStyle w:val="Hyperlink"/>
          </w:rPr>
          <w:t xml:space="preserve">https://www.section508.gov/create/</w:t>
        </w:r>
      </w:hyperlink>
    </w:p>
    <w:p>
      <w:pPr>
        <w:numPr>
          <w:ilvl w:val="0"/>
          <w:numId w:val="1017"/>
        </w:numPr>
        <w:pStyle w:val="Compact"/>
      </w:pPr>
      <w:r>
        <w:t xml:space="preserve">Section508.gov documentos:</w:t>
      </w:r>
      <w:r>
        <w:t xml:space="preserve"> </w:t>
      </w:r>
      <w:hyperlink r:id="rId91">
        <w:r>
          <w:rPr>
            <w:rStyle w:val="Hyperlink"/>
          </w:rPr>
          <w:t xml:space="preserve">https://www.section508.gov/test/documents/</w:t>
        </w:r>
      </w:hyperlink>
    </w:p>
    <w:p>
      <w:pPr>
        <w:numPr>
          <w:ilvl w:val="0"/>
          <w:numId w:val="1017"/>
        </w:numPr>
        <w:pStyle w:val="Compact"/>
      </w:pPr>
      <w:r>
        <w:t xml:space="preserve">WCAG 2.2:</w:t>
      </w:r>
      <w:r>
        <w:t xml:space="preserve"> </w:t>
      </w:r>
      <w:hyperlink r:id="rId92">
        <w:r>
          <w:rPr>
            <w:rStyle w:val="Hyperlink"/>
          </w:rPr>
          <w:t xml:space="preserve">https://www.w3.org/TR/WCAG22/</w:t>
        </w:r>
      </w:hyperlink>
    </w:p>
    <w:p>
      <w:pPr>
        <w:numPr>
          <w:ilvl w:val="0"/>
          <w:numId w:val="1017"/>
        </w:numPr>
        <w:pStyle w:val="Compact"/>
      </w:pPr>
      <w:r>
        <w:t xml:space="preserve">CISA Secure Our World:</w:t>
      </w:r>
      <w:r>
        <w:t xml:space="preserve"> </w:t>
      </w:r>
      <w:hyperlink r:id="rId93">
        <w:r>
          <w:rPr>
            <w:rStyle w:val="Hyperlink"/>
          </w:rPr>
          <w:t xml:space="preserve">https://www.cisa.gov/secure-our-world</w:t>
        </w:r>
      </w:hyperlink>
    </w:p>
    <w:p>
      <w:pPr>
        <w:numPr>
          <w:ilvl w:val="0"/>
          <w:numId w:val="1017"/>
        </w:numPr>
        <w:pStyle w:val="Compact"/>
      </w:pPr>
      <w:r>
        <w:t xml:space="preserve">NIST AI RMF:</w:t>
      </w:r>
      <w:r>
        <w:t xml:space="preserve"> </w:t>
      </w:r>
      <w:hyperlink r:id="rId94">
        <w:hyperlink r:id="rId94">
          <w:r>
            <w:rPr>
              <w:rStyle w:val="Hyperlink"/>
            </w:rPr>
            <w:t xml:space="preserve">Source link</w:t>
          </w:r>
        </w:hyperlink>
      </w:hyperlink>
    </w:p>
    <w:p>
      <w:pPr>
        <w:numPr>
          <w:ilvl w:val="0"/>
          <w:numId w:val="1017"/>
        </w:numPr>
        <w:pStyle w:val="Compact"/>
      </w:pPr>
      <w:r>
        <w:t xml:space="preserve">NIST perfil de IA generativa:</w:t>
      </w:r>
      <w:r>
        <w:t xml:space="preserve"> </w:t>
      </w:r>
      <w:hyperlink r:id="rId95">
        <w:hyperlink r:id="rId95">
          <w:r>
            <w:rPr>
              <w:rStyle w:val="Hyperlink"/>
            </w:rPr>
            <w:t xml:space="preserve">Source link</w:t>
          </w:r>
        </w:hyperlink>
      </w:hyperlink>
    </w:p>
    <w:bookmarkEnd w:id="96"/>
    <w:bookmarkStart w:id="97" w:name="aviso-importante"/>
    <w:p>
      <w:pPr>
        <w:pStyle w:val="Heading2"/>
      </w:pPr>
      <w:r>
        <w:t xml:space="preserve">Aviso importante</w:t>
      </w:r>
    </w:p>
    <w:p>
      <w:pPr>
        <w:pStyle w:val="FirstParagraph"/>
      </w:pPr>
      <w:r>
        <w:t xml:space="preserve">Esta guía brinda información general de educación y planificación profesional. No garantiza empleo, ingresos, admisión, financiamiento, licencia, certificación, plaza de aprendizaje, trabajo independiente, adquisición de clientes, promoción ni ningún otro resultado. Requisitos, remuneración, herramientas, normas y oportunidades cambian por empleador, jurisdicción y momento.</w:t>
      </w:r>
    </w:p>
    <w:p>
      <w:pPr>
        <w:pStyle w:val="BodyText"/>
      </w:pPr>
      <w:r>
        <w:t xml:space="preserve">Esta guía no proporciona asesoría legal, médica, de ingeniería, seguridad, regulación, ciberseguridad, gestión documental o financiera; tampoco certifica traducción, accesibilidad ni acreditación profesional. Verifique cualquier afirmación técnica de consecuencias importantes con la persona responsable autorizada y con fuentes oficiales vigentes antes de publicar o usarla operativamente.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2026-08-22T02:37:30Z</dcterms:created>
  <dcterms:modified xsi:type="dcterms:W3CDTF">2026-08-22T02:37:30Z</dcterms:modified>
</cp:coreProperties>
</file>

<file path=docProps/custom.xml><?xml version="1.0" encoding="utf-8"?>
<Properties xmlns="http://schemas.openxmlformats.org/officeDocument/2006/custom-properties" xmlns:vt="http://schemas.openxmlformats.org/officeDocument/2006/docPropsVTypes"/>
</file>