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81c827b08e702b8f963d3ba0b66f180b69c81b1"/>
    <w:p>
      <w:pPr>
        <w:pStyle w:val="Heading1"/>
      </w:pPr>
      <w:r>
        <w:t xml:space="preserve">Guía de Oportunidades para Toda la Vida 80 — Especialista en ingreso de datos y registros</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(es-419)</w:t>
      </w:r>
      <w:r>
        <w:br/>
      </w:r>
      <w:r>
        <w:rPr>
          <w:bCs/>
          <w:b/>
        </w:rPr>
        <w:t xml:space="preserve">Fuente inglesa congelada:</w:t>
      </w:r>
      <w:r>
        <w:t xml:space="preserve"> </w:t>
      </w:r>
      <w:r>
        <w:t xml:space="preserve">blob</w:t>
      </w:r>
      <w:r>
        <w:t xml:space="preserve"> </w:t>
      </w:r>
      <w:r>
        <w:rPr>
          <w:rStyle w:val="VerbatimChar"/>
        </w:rPr>
        <w:t xml:space="preserve">8318127b1f14e7f7e20110ed315b4741c048be34</w:t>
      </w:r>
      <w:r>
        <w:br/>
      </w:r>
      <w:r>
        <w:rPr>
          <w:bCs/>
          <w:b/>
        </w:rPr>
        <w:t xml:space="preserve">Referencia principal de EE. UU.:</w:t>
      </w:r>
      <w:r>
        <w:t xml:space="preserve"> </w:t>
      </w:r>
      <w:r>
        <w:t xml:space="preserve">O*NET-SOC 43-9021.00 — Data Entry Keyers</w:t>
      </w:r>
      <w:r>
        <w:br/>
      </w:r>
      <w:r>
        <w:rPr>
          <w:bCs/>
          <w:b/>
        </w:rPr>
        <w:t xml:space="preserve">Comparación de Canadá:</w:t>
      </w:r>
      <w:r>
        <w:t xml:space="preserve"> </w:t>
      </w:r>
      <w:r>
        <w:t xml:space="preserve">NOC 14111 — Data entry clerks</w:t>
      </w:r>
      <w:r>
        <w:br/>
      </w:r>
      <w:r>
        <w:rPr>
          <w:bCs/>
          <w:b/>
        </w:rPr>
        <w:t xml:space="preserve">Comparaciones de Colombia:</w:t>
      </w:r>
      <w:r>
        <w:t xml:space="preserve"> </w:t>
      </w:r>
      <w:r>
        <w:t xml:space="preserve">CUOC 41321 — Grabadores de datos; CUOC 44150 — Empleados de archivos</w:t>
      </w:r>
      <w:r>
        <w:br/>
      </w:r>
      <w:r>
        <w:rPr>
          <w:bCs/>
          <w:b/>
        </w:rPr>
        <w:t xml:space="preserve">Fecha de revisión:</w:t>
      </w:r>
      <w:r>
        <w:t xml:space="preserve"> </w:t>
      </w:r>
      <w:r>
        <w:t xml:space="preserve">2026-08-21</w:t>
      </w:r>
    </w:p>
    <w:bookmarkStart w:id="20" w:name="qué-es-esta-carrera"/>
    <w:p>
      <w:pPr>
        <w:pStyle w:val="Heading2"/>
      </w:pPr>
      <w:r>
        <w:t xml:space="preserve">Qué es esta carrera</w:t>
      </w:r>
    </w:p>
    <w:p>
      <w:pPr>
        <w:pStyle w:val="FirstParagraph"/>
      </w:pPr>
      <w:r>
        <w:t xml:space="preserve">El trabajo de ingreso de datos y registros convierte información fuente en registros organizacionales precisos, utilizables y recuperables. Puede incluir ingresar datos desde formularios, facturas, solicitudes, reportes o documentos escaneados; importar archivos; verificar lo ingresado contra la fuente; corregir errores permitidos; indexar y nombrar archivos; digitalizar documentos en papel; mantener bitácoras; recuperar registros y apoyar procesos aprobados de archivo, control documental o gestión de registros.</w:t>
      </w:r>
    </w:p>
    <w:p>
      <w:pPr>
        <w:pStyle w:val="BodyText"/>
      </w:pPr>
      <w:r>
        <w:t xml:space="preserve">No se trata únicamente de escribir rápido. Una persona confiable protege la relación entre el</w:t>
      </w:r>
      <w:r>
        <w:t xml:space="preserve"> </w:t>
      </w:r>
      <w:r>
        <w:rPr>
          <w:bCs/>
          <w:b/>
        </w:rPr>
        <w:t xml:space="preserve">registro fuente</w:t>
      </w:r>
      <w:r>
        <w:t xml:space="preserve"> </w:t>
      </w:r>
      <w:r>
        <w:t xml:space="preserve">y el</w:t>
      </w:r>
      <w:r>
        <w:t xml:space="preserve"> </w:t>
      </w:r>
      <w:r>
        <w:rPr>
          <w:bCs/>
          <w:b/>
        </w:rPr>
        <w:t xml:space="preserve">registro almacenado</w:t>
      </w:r>
      <w:r>
        <w:t xml:space="preserve">, reconoce discrepancias, sigue los procedimientos de corrección, mantiene la confidencialidad y sabe cuándo una decisión corresponde a alguien con mayor autoridad.</w:t>
      </w:r>
    </w:p>
    <w:p>
      <w:pPr>
        <w:pStyle w:val="BodyText"/>
      </w:pPr>
      <w:r>
        <w:t xml:space="preserve">Esta guía usa</w:t>
      </w:r>
      <w:r>
        <w:t xml:space="preserve"> </w:t>
      </w:r>
      <w:r>
        <w:rPr>
          <w:bCs/>
          <w:b/>
        </w:rPr>
        <w:t xml:space="preserve">O*NET-SOC 43-9021.00 — Data Entry Keyers</w:t>
      </w:r>
      <w:r>
        <w:t xml:space="preserve"> </w:t>
      </w:r>
      <w:r>
        <w:t xml:space="preserve">como referencia principal de Estados Unidos. El perfil de O*NET actualizado en 2026 incluye títulos como Data Capture Specialist, Data Entry Clerk, Data Entry Operator, Data Entry Specialist, Data Transcriber y Records Clerk. En Colombia, el título combinado de esta guía se representa mejor con dos perfiles CUOC:</w:t>
      </w:r>
      <w:r>
        <w:t xml:space="preserve"> </w:t>
      </w:r>
      <w:r>
        <w:rPr>
          <w:bCs/>
          <w:b/>
        </w:rPr>
        <w:t xml:space="preserve">41321 — Grabadores de datos</w:t>
      </w:r>
      <w:r>
        <w:t xml:space="preserve"> </w:t>
      </w:r>
      <w:r>
        <w:t xml:space="preserve">para captura/digitalización y</w:t>
      </w:r>
      <w:r>
        <w:t xml:space="preserve"> </w:t>
      </w:r>
      <w:r>
        <w:rPr>
          <w:bCs/>
          <w:b/>
        </w:rPr>
        <w:t xml:space="preserve">44150 — Empleados de archivos</w:t>
      </w:r>
      <w:r>
        <w:t xml:space="preserve"> </w:t>
      </w:r>
      <w:r>
        <w:t xml:space="preserve">para operaciones de archivo y registros.</w:t>
      </w:r>
    </w:p>
    <w:bookmarkEnd w:id="20"/>
    <w:bookmarkStart w:id="21" w:name="Xceac216b5ec94f9a275d25a82cb85025d69a8db"/>
    <w:p>
      <w:pPr>
        <w:pStyle w:val="Heading2"/>
      </w:pPr>
      <w:r>
        <w:t xml:space="preserve">Por qué todavía puede ser una oportunidad</w:t>
      </w:r>
    </w:p>
    <w:p>
      <w:pPr>
        <w:pStyle w:val="FirstParagraph"/>
      </w:pPr>
      <w:r>
        <w:t xml:space="preserve">La automatización está reduciendo parte del ingreso rutinario de datos. Esta guía no oculta ese hecho. Las proyecciones de Estados Unidos muestran una caída importante en la ocupación estrecha de Data Entry Keyers. Al mismo tiempo, las organizaciones siguen necesitando personas que verifiquen información fuente, resuelvan excepciones, operen sistemas de registros, protejan información sensible, apoyen auditorías, digitalicen material heredado, mantengan calidad documental y evolucionen hacia funciones administrativas, de registros, calidad u operaciones de información.</w:t>
      </w:r>
    </w:p>
    <w:p>
      <w:pPr>
        <w:pStyle w:val="BodyText"/>
      </w:pPr>
      <w:r>
        <w:t xml:space="preserve">Una estrategia realista es:</w:t>
      </w:r>
    </w:p>
    <w:p>
      <w:pPr>
        <w:pStyle w:val="BodyText"/>
      </w:pPr>
      <w:r>
        <w:rPr>
          <w:bCs/>
          <w:b/>
        </w:rPr>
        <w:t xml:space="preserve">entrar mediante trabajo preciso de datos/registros → aprender validación y sistemas → añadir hojas de cálculo, bases de datos y control documental → avanzar hacia operaciones de información más amplias.</w:t>
      </w:r>
    </w:p>
    <w:p>
      <w:pPr>
        <w:pStyle w:val="BodyText"/>
      </w:pPr>
      <w:r>
        <w:t xml:space="preserve">La experiencia transferible puede venir de servicio al cliente, recepción, apoyo contable, administración de salud, logística, seguros, banca, administración legal, servicios públicos, bibliotecas/archivos, escaneo documental, calidad, administración de RR. HH. o coordinación de oficina.</w:t>
      </w:r>
    </w:p>
    <w:bookmarkEnd w:id="21"/>
    <w:bookmarkStart w:id="26" w:name="X4722758e0ac3893efa363c1a500c130ed3c0ad8"/>
    <w:p>
      <w:pPr>
        <w:pStyle w:val="Heading2"/>
      </w:pPr>
      <w:r>
        <w:t xml:space="preserve">Especialista en ingreso de datos, auxiliar de registros, controlador documental y gestor de registros no son el mismo rol</w:t>
      </w:r>
    </w:p>
    <w:p>
      <w:pPr>
        <w:pStyle w:val="FirstParagraph"/>
      </w:pPr>
      <w:r>
        <w:t xml:space="preserve">Los títulos cambian según el empleador. Estas diferencias ayudan a no exagerar autoridad.</w:t>
      </w:r>
    </w:p>
    <w:bookmarkStart w:id="22" w:name="especialista-en-ingreso-de-datos"/>
    <w:p>
      <w:pPr>
        <w:pStyle w:val="Heading3"/>
      </w:pPr>
      <w:r>
        <w:t xml:space="preserve">Especialista en ingreso de datos</w:t>
      </w:r>
    </w:p>
    <w:p>
      <w:pPr>
        <w:pStyle w:val="FirstParagraph"/>
      </w:pPr>
      <w:r>
        <w:t xml:space="preserve">Puede:</w:t>
      </w:r>
    </w:p>
    <w:p>
      <w:pPr>
        <w:numPr>
          <w:ilvl w:val="0"/>
          <w:numId w:val="1001"/>
        </w:numPr>
        <w:pStyle w:val="Compact"/>
      </w:pPr>
      <w:r>
        <w:t xml:space="preserve">recibir documentos fuente o archivos electrónicos;</w:t>
      </w:r>
    </w:p>
    <w:p>
      <w:pPr>
        <w:numPr>
          <w:ilvl w:val="0"/>
          <w:numId w:val="1001"/>
        </w:numPr>
        <w:pStyle w:val="Compact"/>
      </w:pPr>
      <w:r>
        <w:t xml:space="preserve">ingresar o importar datos;</w:t>
      </w:r>
    </w:p>
    <w:p>
      <w:pPr>
        <w:numPr>
          <w:ilvl w:val="0"/>
          <w:numId w:val="1001"/>
        </w:numPr>
        <w:pStyle w:val="Compact"/>
      </w:pPr>
      <w:r>
        <w:t xml:space="preserve">verificar integridad y formato;</w:t>
      </w:r>
    </w:p>
    <w:p>
      <w:pPr>
        <w:numPr>
          <w:ilvl w:val="0"/>
          <w:numId w:val="1001"/>
        </w:numPr>
        <w:pStyle w:val="Compact"/>
      </w:pPr>
      <w:r>
        <w:t xml:space="preserve">comparar lo ingresado con el material fuente;</w:t>
      </w:r>
    </w:p>
    <w:p>
      <w:pPr>
        <w:numPr>
          <w:ilvl w:val="0"/>
          <w:numId w:val="1001"/>
        </w:numPr>
        <w:pStyle w:val="Compact"/>
      </w:pPr>
      <w:r>
        <w:t xml:space="preserve">corregir errores de transcripción permitidos;</w:t>
      </w:r>
    </w:p>
    <w:p>
      <w:pPr>
        <w:numPr>
          <w:ilvl w:val="0"/>
          <w:numId w:val="1001"/>
        </w:numPr>
        <w:pStyle w:val="Compact"/>
      </w:pPr>
      <w:r>
        <w:t xml:space="preserve">remitir discrepancias sustantivas para resolución;</w:t>
      </w:r>
    </w:p>
    <w:p>
      <w:pPr>
        <w:numPr>
          <w:ilvl w:val="0"/>
          <w:numId w:val="1001"/>
        </w:numPr>
        <w:pStyle w:val="Compact"/>
      </w:pPr>
      <w:r>
        <w:t xml:space="preserve">mantener bitácoras de producción o excepciones;</w:t>
      </w:r>
    </w:p>
    <w:p>
      <w:pPr>
        <w:numPr>
          <w:ilvl w:val="0"/>
          <w:numId w:val="1001"/>
        </w:numPr>
        <w:pStyle w:val="Compact"/>
      </w:pPr>
      <w:r>
        <w:t xml:space="preserve">escanear e indexar documentos;</w:t>
      </w:r>
    </w:p>
    <w:p>
      <w:pPr>
        <w:numPr>
          <w:ilvl w:val="0"/>
          <w:numId w:val="1001"/>
        </w:numPr>
        <w:pStyle w:val="Compact"/>
      </w:pPr>
      <w:r>
        <w:t xml:space="preserve">seguir procedimientos de calidad de datos.</w:t>
      </w:r>
    </w:p>
    <w:bookmarkEnd w:id="22"/>
    <w:bookmarkStart w:id="23" w:name="auxiliar-o-especialista-de-registros"/>
    <w:p>
      <w:pPr>
        <w:pStyle w:val="Heading3"/>
      </w:pPr>
      <w:r>
        <w:t xml:space="preserve">Auxiliar o especialista de registros</w:t>
      </w:r>
    </w:p>
    <w:p>
      <w:pPr>
        <w:pStyle w:val="FirstParagraph"/>
      </w:pPr>
      <w:r>
        <w:t xml:space="preserve">Puede además:</w:t>
      </w:r>
    </w:p>
    <w:p>
      <w:pPr>
        <w:numPr>
          <w:ilvl w:val="0"/>
          <w:numId w:val="1002"/>
        </w:numPr>
        <w:pStyle w:val="Compact"/>
      </w:pPr>
      <w:r>
        <w:t xml:space="preserve">clasificar y archivar registros;</w:t>
      </w:r>
    </w:p>
    <w:p>
      <w:pPr>
        <w:numPr>
          <w:ilvl w:val="0"/>
          <w:numId w:val="1002"/>
        </w:numPr>
        <w:pStyle w:val="Compact"/>
      </w:pPr>
      <w:r>
        <w:t xml:space="preserve">mantener índices y metadatos;</w:t>
      </w:r>
    </w:p>
    <w:p>
      <w:pPr>
        <w:numPr>
          <w:ilvl w:val="0"/>
          <w:numId w:val="1002"/>
        </w:numPr>
        <w:pStyle w:val="Compact"/>
      </w:pPr>
      <w:r>
        <w:t xml:space="preserve">recuperar registros para personas autorizadas;</w:t>
      </w:r>
    </w:p>
    <w:p>
      <w:pPr>
        <w:numPr>
          <w:ilvl w:val="0"/>
          <w:numId w:val="1002"/>
        </w:numPr>
        <w:pStyle w:val="Compact"/>
      </w:pPr>
      <w:r>
        <w:t xml:space="preserve">apoyar transferencias y archivos;</w:t>
      </w:r>
    </w:p>
    <w:p>
      <w:pPr>
        <w:numPr>
          <w:ilvl w:val="0"/>
          <w:numId w:val="1002"/>
        </w:numPr>
        <w:pStyle w:val="Compact"/>
      </w:pPr>
      <w:r>
        <w:t xml:space="preserve">mantener bitácoras de acceso o préstamo;</w:t>
      </w:r>
    </w:p>
    <w:p>
      <w:pPr>
        <w:numPr>
          <w:ilvl w:val="0"/>
          <w:numId w:val="1002"/>
        </w:numPr>
        <w:pStyle w:val="Compact"/>
      </w:pPr>
      <w:r>
        <w:t xml:space="preserve">escanear o reproducir registros;</w:t>
      </w:r>
    </w:p>
    <w:p>
      <w:pPr>
        <w:numPr>
          <w:ilvl w:val="0"/>
          <w:numId w:val="1002"/>
        </w:numPr>
        <w:pStyle w:val="Compact"/>
      </w:pPr>
      <w:r>
        <w:t xml:space="preserve">aplicar instrucciones asignadas de retención/disposición;</w:t>
      </w:r>
    </w:p>
    <w:p>
      <w:pPr>
        <w:numPr>
          <w:ilvl w:val="0"/>
          <w:numId w:val="1002"/>
        </w:numPr>
        <w:pStyle w:val="Compact"/>
      </w:pPr>
      <w:r>
        <w:t xml:space="preserve">apoyar control documental y solicitudes de auditoría.</w:t>
      </w:r>
    </w:p>
    <w:bookmarkEnd w:id="23"/>
    <w:bookmarkStart w:id="24" w:name="controlador-o-controladora-documental"/>
    <w:p>
      <w:pPr>
        <w:pStyle w:val="Heading3"/>
      </w:pPr>
      <w:r>
        <w:t xml:space="preserve">Controlador o controladora documental</w:t>
      </w:r>
    </w:p>
    <w:p>
      <w:pPr>
        <w:pStyle w:val="FirstParagraph"/>
      </w:pPr>
      <w:r>
        <w:t xml:space="preserve">En ingeniería, construcción, operaciones reguladas o sistemas de calidad, puede gestionar números de documento controlado, revisiones, transmittals, estado de aprobación, distribución y versiones obsoletas. Puede exigir conocimiento de procesos más especializado que el ingreso de datos ordinario.</w:t>
      </w:r>
    </w:p>
    <w:bookmarkEnd w:id="24"/>
    <w:bookmarkStart w:id="25" w:name="X815ad9a53498331599f79d6f59b8b04f1677d1d"/>
    <w:p>
      <w:pPr>
        <w:pStyle w:val="Heading3"/>
      </w:pPr>
      <w:r>
        <w:t xml:space="preserve">Gestor de registros, archivista, oficial de privacidad, administrador de base de datos o data steward</w:t>
      </w:r>
    </w:p>
    <w:p>
      <w:pPr>
        <w:pStyle w:val="FirstParagraph"/>
      </w:pPr>
      <w:r>
        <w:t xml:space="preserve">Estos cargos pueden ser dueños de políticas, arquitectura, clasificación, calendarios de retención, legal holds, valoración archivística, gobierno de privacidad, administración de bases de datos, reglas de datos maestros o calidad empresarial. Un rol de entrada apoya esos sistemas, pero no hereda automáticamente esa autoridad.</w:t>
      </w:r>
    </w:p>
    <w:bookmarkEnd w:id="25"/>
    <w:bookmarkEnd w:id="26"/>
    <w:bookmarkStart w:id="27" w:name="autoridad-y-límites-profesionales"/>
    <w:p>
      <w:pPr>
        <w:pStyle w:val="Heading2"/>
      </w:pPr>
      <w:r>
        <w:t xml:space="preserve">Autoridad y límites profesionales</w:t>
      </w:r>
    </w:p>
    <w:p>
      <w:pPr>
        <w:pStyle w:val="FirstParagraph"/>
      </w:pPr>
      <w:r>
        <w:t xml:space="preserve">Un cargo de ingreso de datos o registros</w:t>
      </w:r>
      <w:r>
        <w:t xml:space="preserve"> </w:t>
      </w:r>
      <w:r>
        <w:rPr>
          <w:bCs/>
          <w:b/>
        </w:rPr>
        <w:t xml:space="preserve">no</w:t>
      </w:r>
      <w:r>
        <w:t xml:space="preserve"> </w:t>
      </w:r>
      <w:r>
        <w:t xml:space="preserve">autoriza automáticamente a una persona para:</w:t>
      </w:r>
    </w:p>
    <w:p>
      <w:pPr>
        <w:numPr>
          <w:ilvl w:val="0"/>
          <w:numId w:val="1003"/>
        </w:numPr>
        <w:pStyle w:val="Compact"/>
      </w:pPr>
      <w:r>
        <w:t xml:space="preserve">cambiar un hecho fuente porque parece incorrecto;</w:t>
      </w:r>
    </w:p>
    <w:p>
      <w:pPr>
        <w:numPr>
          <w:ilvl w:val="0"/>
          <w:numId w:val="1003"/>
        </w:numPr>
        <w:pStyle w:val="Compact"/>
      </w:pPr>
      <w:r>
        <w:t xml:space="preserve">fabricar, antedatar, ocultar o destruir un registro;</w:t>
      </w:r>
    </w:p>
    <w:p>
      <w:pPr>
        <w:numPr>
          <w:ilvl w:val="0"/>
          <w:numId w:val="1003"/>
        </w:numPr>
        <w:pStyle w:val="Compact"/>
      </w:pPr>
      <w:r>
        <w:t xml:space="preserve">eliminar un registro porque parece obsoleto;</w:t>
      </w:r>
    </w:p>
    <w:p>
      <w:pPr>
        <w:numPr>
          <w:ilvl w:val="0"/>
          <w:numId w:val="1003"/>
        </w:numPr>
        <w:pStyle w:val="Compact"/>
      </w:pPr>
      <w:r>
        <w:t xml:space="preserve">decidir por cuenta propia periodos legales de retención o destrucción;</w:t>
      </w:r>
    </w:p>
    <w:p>
      <w:pPr>
        <w:numPr>
          <w:ilvl w:val="0"/>
          <w:numId w:val="1003"/>
        </w:numPr>
        <w:pStyle w:val="Compact"/>
      </w:pPr>
      <w:r>
        <w:t xml:space="preserve">retirar un legal hold;</w:t>
      </w:r>
    </w:p>
    <w:p>
      <w:pPr>
        <w:numPr>
          <w:ilvl w:val="0"/>
          <w:numId w:val="1003"/>
        </w:numPr>
        <w:pStyle w:val="Compact"/>
      </w:pPr>
      <w:r>
        <w:t xml:space="preserve">aprobar acceso a registros restringidos fuera de las reglas asignadas;</w:t>
      </w:r>
    </w:p>
    <w:p>
      <w:pPr>
        <w:numPr>
          <w:ilvl w:val="0"/>
          <w:numId w:val="1003"/>
        </w:numPr>
        <w:pStyle w:val="Compact"/>
      </w:pPr>
      <w:r>
        <w:t xml:space="preserve">divulgar datos personales, de salud, financieros, laborales, de clientes, legales o propietarios solo porque técnicamente puede verlos;</w:t>
      </w:r>
    </w:p>
    <w:p>
      <w:pPr>
        <w:numPr>
          <w:ilvl w:val="0"/>
          <w:numId w:val="1003"/>
        </w:numPr>
        <w:pStyle w:val="Compact"/>
      </w:pPr>
      <w:r>
        <w:t xml:space="preserve">tomar decisiones contables, clínicas, legales, de RR. HH., regulatorias, de privacidad o ciberseguridad fuera de su autoridad;</w:t>
      </w:r>
    </w:p>
    <w:p>
      <w:pPr>
        <w:numPr>
          <w:ilvl w:val="0"/>
          <w:numId w:val="1003"/>
        </w:numPr>
        <w:pStyle w:val="Compact"/>
      </w:pPr>
      <w:r>
        <w:t xml:space="preserve">saltarse controles de segregación de funciones;</w:t>
      </w:r>
    </w:p>
    <w:p>
      <w:pPr>
        <w:numPr>
          <w:ilvl w:val="0"/>
          <w:numId w:val="1003"/>
        </w:numPr>
        <w:pStyle w:val="Compact"/>
      </w:pPr>
      <w:r>
        <w:t xml:space="preserve">alterar una pista de auditoría para ocultar un error;</w:t>
      </w:r>
    </w:p>
    <w:p>
      <w:pPr>
        <w:numPr>
          <w:ilvl w:val="0"/>
          <w:numId w:val="1003"/>
        </w:numPr>
        <w:pStyle w:val="Compact"/>
      </w:pPr>
      <w:r>
        <w:t xml:space="preserve">usar datos reales confidenciales en un portafolio público o entrenamiento no autorizado;</w:t>
      </w:r>
    </w:p>
    <w:p>
      <w:pPr>
        <w:numPr>
          <w:ilvl w:val="0"/>
          <w:numId w:val="1003"/>
        </w:numPr>
        <w:pStyle w:val="Compact"/>
      </w:pPr>
      <w:r>
        <w:t xml:space="preserve">cargar registros protegidos en un servicio de IA no aprobado;</w:t>
      </w:r>
    </w:p>
    <w:p>
      <w:pPr>
        <w:numPr>
          <w:ilvl w:val="0"/>
          <w:numId w:val="1003"/>
        </w:numPr>
        <w:pStyle w:val="Compact"/>
      </w:pPr>
      <w:r>
        <w:t xml:space="preserve">presentar una revisión automatizada de accesibilidad o seguridad como certificación profesional.</w:t>
      </w:r>
    </w:p>
    <w:p>
      <w:pPr>
        <w:pStyle w:val="FirstParagraph"/>
      </w:pPr>
      <w:r>
        <w:t xml:space="preserve">Cuando una fuente parece incorrecta, conserve la evidencia, documente la excepción y use la ruta aprobada de corrección o escalamiento.</w:t>
      </w:r>
    </w:p>
    <w:bookmarkEnd w:id="27"/>
    <w:bookmarkStart w:id="36" w:name="X2e4af9bdbefc26e140bd4dc42b14ab36cc4a98a"/>
    <w:p>
      <w:pPr>
        <w:pStyle w:val="Heading2"/>
      </w:pPr>
      <w:r>
        <w:t xml:space="preserve">Ciclo de vida controlado de la información</w:t>
      </w:r>
    </w:p>
    <w:bookmarkStart w:id="28" w:name="X89ae337dbe22e71e45c603e7225cabb1cf5c7ca"/>
    <w:p>
      <w:pPr>
        <w:pStyle w:val="Heading3"/>
      </w:pPr>
      <w:r>
        <w:t xml:space="preserve">1. Recibir e identificar la fuente</w:t>
      </w:r>
    </w:p>
    <w:p>
      <w:pPr>
        <w:pStyle w:val="FirstParagraph"/>
      </w:pPr>
      <w:r>
        <w:t xml:space="preserve">Antes de ingresar datos, confirme qué es la fuente, quién o qué sistema la produjo, si es la versión actual/autorizada, a qué registro/persona/cuenta/caso/activo/transacción corresponde, si están todas las páginas/campos, si contiene información sensible y qué flujo/sistema de destino aplica.</w:t>
      </w:r>
    </w:p>
    <w:p>
      <w:pPr>
        <w:pStyle w:val="BodyText"/>
      </w:pPr>
      <w:r>
        <w:t xml:space="preserve">No mezcle registros similares solo porque nombres o números se parezcan.</w:t>
      </w:r>
    </w:p>
    <w:bookmarkEnd w:id="28"/>
    <w:bookmarkStart w:id="29" w:name="Xc88ecbfd26a299c1a113db4713ecaf45e8429b8"/>
    <w:p>
      <w:pPr>
        <w:pStyle w:val="Heading3"/>
      </w:pPr>
      <w:r>
        <w:t xml:space="preserve">2. Preparar la fuente</w:t>
      </w:r>
    </w:p>
    <w:p>
      <w:pPr>
        <w:pStyle w:val="FirstParagraph"/>
      </w:pPr>
      <w:r>
        <w:t xml:space="preserve">Puede implicar ordenar, preparar lotes de escaneo, confirmar orden de páginas, orientación de imágenes, códigos de barras, plantilla correcta o mapeo de campos de una importación. Los documentos físicos deben manejarse según reglas organizacionales.</w:t>
      </w:r>
    </w:p>
    <w:bookmarkEnd w:id="29"/>
    <w:bookmarkStart w:id="30" w:name="X0e300e7b5ac040f06163bf7980b77910486b7e5"/>
    <w:p>
      <w:pPr>
        <w:pStyle w:val="Heading3"/>
      </w:pPr>
      <w:r>
        <w:t xml:space="preserve">3. Capturar o importar datos</w:t>
      </w:r>
    </w:p>
    <w:p>
      <w:pPr>
        <w:pStyle w:val="FirstParagraph"/>
      </w:pPr>
      <w:r>
        <w:t xml:space="preserve">Los métodos pueden incluir teclado, códigos de barras/QR, escáner, OCR, importación desde hojas de cálculo o CSV, formularios de bases de datos, reconocimiento de voz, integraciones y automatización aprobada.</w:t>
      </w:r>
    </w:p>
    <w:p>
      <w:pPr>
        <w:pStyle w:val="BodyText"/>
      </w:pPr>
      <w:r>
        <w:t xml:space="preserve">Use el método autorizado. Un método más rápido que rompe la trazabilidad no es una mejora.</w:t>
      </w:r>
    </w:p>
    <w:bookmarkEnd w:id="30"/>
    <w:bookmarkStart w:id="31" w:name="Xd5da4a9545a650e49694cdc5af87ffeff981234"/>
    <w:p>
      <w:pPr>
        <w:pStyle w:val="Heading3"/>
      </w:pPr>
      <w:r>
        <w:t xml:space="preserve">4. Validar antes de aceptar</w:t>
      </w:r>
    </w:p>
    <w:p>
      <w:pPr>
        <w:pStyle w:val="FirstParagraph"/>
      </w:pPr>
      <w:r>
        <w:t xml:space="preserve">Compruebe según corresponda:</w:t>
      </w:r>
    </w:p>
    <w:p>
      <w:pPr>
        <w:numPr>
          <w:ilvl w:val="0"/>
          <w:numId w:val="1004"/>
        </w:numPr>
        <w:pStyle w:val="Compact"/>
      </w:pPr>
      <w:r>
        <w:t xml:space="preserve">campos obligatorios;</w:t>
      </w:r>
    </w:p>
    <w:p>
      <w:pPr>
        <w:numPr>
          <w:ilvl w:val="0"/>
          <w:numId w:val="1004"/>
        </w:numPr>
        <w:pStyle w:val="Compact"/>
      </w:pPr>
      <w:r>
        <w:t xml:space="preserve">identidad correcta del registro/cliente/caso;</w:t>
      </w:r>
    </w:p>
    <w:p>
      <w:pPr>
        <w:numPr>
          <w:ilvl w:val="0"/>
          <w:numId w:val="1004"/>
        </w:numPr>
        <w:pStyle w:val="Compact"/>
      </w:pPr>
      <w:r>
        <w:t xml:space="preserve">formato de fecha/número;</w:t>
      </w:r>
    </w:p>
    <w:p>
      <w:pPr>
        <w:numPr>
          <w:ilvl w:val="0"/>
          <w:numId w:val="1004"/>
        </w:numPr>
        <w:pStyle w:val="Compact"/>
      </w:pPr>
      <w:r>
        <w:t xml:space="preserve">código permitido;</w:t>
      </w:r>
    </w:p>
    <w:p>
      <w:pPr>
        <w:numPr>
          <w:ilvl w:val="0"/>
          <w:numId w:val="1004"/>
        </w:numPr>
        <w:pStyle w:val="Compact"/>
      </w:pPr>
      <w:r>
        <w:t xml:space="preserve">coincidencia fuente–valor ingresado;</w:t>
      </w:r>
    </w:p>
    <w:p>
      <w:pPr>
        <w:numPr>
          <w:ilvl w:val="0"/>
          <w:numId w:val="1004"/>
        </w:numPr>
        <w:pStyle w:val="Compact"/>
      </w:pPr>
      <w:r>
        <w:t xml:space="preserve">totales o conteos reconciliados;</w:t>
      </w:r>
    </w:p>
    <w:p>
      <w:pPr>
        <w:numPr>
          <w:ilvl w:val="0"/>
          <w:numId w:val="1004"/>
        </w:numPr>
        <w:pStyle w:val="Compact"/>
      </w:pPr>
      <w:r>
        <w:t xml:space="preserve">cantidad de anexos;</w:t>
      </w:r>
    </w:p>
    <w:p>
      <w:pPr>
        <w:numPr>
          <w:ilvl w:val="0"/>
          <w:numId w:val="1004"/>
        </w:numPr>
        <w:pStyle w:val="Compact"/>
      </w:pPr>
      <w:r>
        <w:t xml:space="preserve">legibilidad e integridad del escaneo;</w:t>
      </w:r>
    </w:p>
    <w:p>
      <w:pPr>
        <w:numPr>
          <w:ilvl w:val="0"/>
          <w:numId w:val="1004"/>
        </w:numPr>
        <w:pStyle w:val="Compact"/>
      </w:pPr>
      <w:r>
        <w:t xml:space="preserve">conteo de filas importadas;</w:t>
      </w:r>
    </w:p>
    <w:p>
      <w:pPr>
        <w:numPr>
          <w:ilvl w:val="0"/>
          <w:numId w:val="1004"/>
        </w:numPr>
        <w:pStyle w:val="Compact"/>
      </w:pPr>
      <w:r>
        <w:t xml:space="preserve">posibles duplicados;</w:t>
      </w:r>
    </w:p>
    <w:p>
      <w:pPr>
        <w:numPr>
          <w:ilvl w:val="0"/>
          <w:numId w:val="1004"/>
        </w:numPr>
        <w:pStyle w:val="Compact"/>
      </w:pPr>
      <w:r>
        <w:t xml:space="preserve">excepciones documentadas.</w:t>
      </w:r>
    </w:p>
    <w:p>
      <w:pPr>
        <w:pStyle w:val="FirstParagraph"/>
      </w:pPr>
      <w:r>
        <w:t xml:space="preserve">Que el sistema diga “guardado exitosamente” solo demuestra que aceptó el dato, no que sea verdadero.</w:t>
      </w:r>
    </w:p>
    <w:bookmarkEnd w:id="31"/>
    <w:bookmarkStart w:id="32" w:name="X14a6b67e537d57466089af01af9ba50ba1d6883"/>
    <w:p>
      <w:pPr>
        <w:pStyle w:val="Heading3"/>
      </w:pPr>
      <w:r>
        <w:t xml:space="preserve">5. Corregir o escalar</w:t>
      </w:r>
    </w:p>
    <w:p>
      <w:pPr>
        <w:pStyle w:val="FirstParagraph"/>
      </w:pPr>
      <w:r>
        <w:rPr>
          <w:bCs/>
          <w:b/>
        </w:rPr>
        <w:t xml:space="preserve">Error de transcripción:</w:t>
      </w:r>
      <w:r>
        <w:t xml:space="preserve"> </w:t>
      </w:r>
      <w:r>
        <w:t xml:space="preserve">ingresó</w:t>
      </w:r>
      <w:r>
        <w:t xml:space="preserve"> </w:t>
      </w:r>
      <w:r>
        <w:rPr>
          <w:rStyle w:val="VerbatimChar"/>
        </w:rPr>
        <w:t xml:space="preserve">1250</w:t>
      </w:r>
      <w:r>
        <w:t xml:space="preserve"> </w:t>
      </w:r>
      <w:r>
        <w:t xml:space="preserve">cuando la fuente autorizada dice</w:t>
      </w:r>
      <w:r>
        <w:t xml:space="preserve"> </w:t>
      </w:r>
      <w:r>
        <w:rPr>
          <w:rStyle w:val="VerbatimChar"/>
        </w:rPr>
        <w:t xml:space="preserve">1520</w:t>
      </w:r>
      <w:r>
        <w:t xml:space="preserve">. Si el procedimiento permite la corrección, corríjala y conserve la evidencia requerida.</w:t>
      </w:r>
    </w:p>
    <w:p>
      <w:pPr>
        <w:pStyle w:val="BodyText"/>
      </w:pPr>
      <w:r>
        <w:rPr>
          <w:bCs/>
          <w:b/>
        </w:rPr>
        <w:t xml:space="preserve">Fuente ambigua:</w:t>
      </w:r>
      <w:r>
        <w:t xml:space="preserve"> </w:t>
      </w:r>
      <w:r>
        <w:t xml:space="preserve">la escritura, imagen o campos en conflicto no permiten saber el valor. No adivine. Escale o solicite aclaración.</w:t>
      </w:r>
    </w:p>
    <w:p>
      <w:pPr>
        <w:pStyle w:val="BodyText"/>
      </w:pPr>
      <w:r>
        <w:rPr>
          <w:bCs/>
          <w:b/>
        </w:rPr>
        <w:t xml:space="preserve">Error sustantivo de la fuente:</w:t>
      </w:r>
      <w:r>
        <w:t xml:space="preserve"> </w:t>
      </w:r>
      <w:r>
        <w:t xml:space="preserve">la fuente misma puede estar equivocada. Debe resolverlo quien sea dueño del proceso/fuente mediante el flujo aprobado. No reescriba silenciosamente el hecho subyacente.</w:t>
      </w:r>
    </w:p>
    <w:bookmarkEnd w:id="32"/>
    <w:bookmarkStart w:id="33" w:name="X9a5c1abc15e5506a5c33c47a8574d34ed78726c"/>
    <w:p>
      <w:pPr>
        <w:pStyle w:val="Heading3"/>
      </w:pPr>
      <w:r>
        <w:t xml:space="preserve">6. Almacenar, clasificar e indexar</w:t>
      </w:r>
    </w:p>
    <w:p>
      <w:pPr>
        <w:pStyle w:val="FirstParagraph"/>
      </w:pPr>
      <w:r>
        <w:t xml:space="preserve">Siga convenciones aprobadas para identificador, nombre de archivo, repositorio, tipo documental, fecha, número de cliente/caso/proyecto, versión/revisión, clasificación de seguridad, estado, metadatos y categoría de retención asignada.</w:t>
      </w:r>
    </w:p>
    <w:bookmarkEnd w:id="33"/>
    <w:bookmarkStart w:id="34" w:name="Xde8151593cf60717025be5a54108566006e1e73"/>
    <w:p>
      <w:pPr>
        <w:pStyle w:val="Heading3"/>
      </w:pPr>
      <w:r>
        <w:t xml:space="preserve">7. Recuperar y transmitir de forma segura</w:t>
      </w:r>
    </w:p>
    <w:p>
      <w:pPr>
        <w:pStyle w:val="FirstParagraph"/>
      </w:pPr>
      <w:r>
        <w:t xml:space="preserve">Antes de entregar o enviar un registro, verifique identidad y autorización del solicitante, destinatario, registro/versión correctos, medio aprobado, contenido mínimo necesario y si se requiere redacción o aprobación adicional.</w:t>
      </w:r>
    </w:p>
    <w:bookmarkEnd w:id="34"/>
    <w:bookmarkStart w:id="35" w:name="X3cf839fa9bc9057ed1bac8e1bfe344184165881"/>
    <w:p>
      <w:pPr>
        <w:pStyle w:val="Heading3"/>
      </w:pPr>
      <w:r>
        <w:t xml:space="preserve">8. Retener, transferir, archivar o disponer según política</w:t>
      </w:r>
    </w:p>
    <w:p>
      <w:pPr>
        <w:pStyle w:val="FirstParagraph"/>
      </w:pPr>
      <w:r>
        <w:t xml:space="preserve">La retención y disposición puede tener consecuencias legales, contractuales, regulatorias, tributarias, laborales, clínicas, de litigio y auditoría. Siga el calendario e instrucciones aprobados. No invente una fecha de destrucción.</w:t>
      </w:r>
    </w:p>
    <w:bookmarkEnd w:id="35"/>
    <w:bookmarkEnd w:id="36"/>
    <w:bookmarkStart w:id="37" w:name="exactitud-use-un-método-repetible"/>
    <w:p>
      <w:pPr>
        <w:pStyle w:val="Heading2"/>
      </w:pPr>
      <w:r>
        <w:t xml:space="preserve">Exactitud: use un método repetible</w:t>
      </w:r>
    </w:p>
    <w:p>
      <w:pPr>
        <w:pStyle w:val="FirstParagraph"/>
      </w:pPr>
      <w:r>
        <w:t xml:space="preserve">Un método útil puede ser:</w:t>
      </w:r>
    </w:p>
    <w:p>
      <w:pPr>
        <w:numPr>
          <w:ilvl w:val="0"/>
          <w:numId w:val="1005"/>
        </w:numPr>
        <w:pStyle w:val="Compact"/>
      </w:pPr>
      <w:r>
        <w:t xml:space="preserve">orientarse con la fuente y destino;</w:t>
      </w:r>
    </w:p>
    <w:p>
      <w:pPr>
        <w:numPr>
          <w:ilvl w:val="0"/>
          <w:numId w:val="1005"/>
        </w:numPr>
        <w:pStyle w:val="Compact"/>
      </w:pPr>
      <w:r>
        <w:t xml:space="preserve">ingresar un lote definido;</w:t>
      </w:r>
    </w:p>
    <w:p>
      <w:pPr>
        <w:numPr>
          <w:ilvl w:val="0"/>
          <w:numId w:val="1005"/>
        </w:numPr>
        <w:pStyle w:val="Compact"/>
      </w:pPr>
      <w:r>
        <w:t xml:space="preserve">ejecutar controles de formato y campos obligatorios;</w:t>
      </w:r>
    </w:p>
    <w:p>
      <w:pPr>
        <w:numPr>
          <w:ilvl w:val="0"/>
          <w:numId w:val="1005"/>
        </w:numPr>
        <w:pStyle w:val="Compact"/>
      </w:pPr>
      <w:r>
        <w:t xml:space="preserve">comparar campos de alto riesgo directamente con la fuente;</w:t>
      </w:r>
    </w:p>
    <w:p>
      <w:pPr>
        <w:numPr>
          <w:ilvl w:val="0"/>
          <w:numId w:val="1005"/>
        </w:numPr>
        <w:pStyle w:val="Compact"/>
      </w:pPr>
      <w:r>
        <w:t xml:space="preserve">reconciliar totales/conteos cuando corresponda;</w:t>
      </w:r>
    </w:p>
    <w:p>
      <w:pPr>
        <w:numPr>
          <w:ilvl w:val="0"/>
          <w:numId w:val="1005"/>
        </w:numPr>
        <w:pStyle w:val="Compact"/>
      </w:pPr>
      <w:r>
        <w:t xml:space="preserve">revisar excepciones;</w:t>
      </w:r>
    </w:p>
    <w:p>
      <w:pPr>
        <w:numPr>
          <w:ilvl w:val="0"/>
          <w:numId w:val="1005"/>
        </w:numPr>
        <w:pStyle w:val="Compact"/>
      </w:pPr>
      <w:r>
        <w:t xml:space="preserve">guardar/enviar por el flujo aprobado;</w:t>
      </w:r>
    </w:p>
    <w:p>
      <w:pPr>
        <w:numPr>
          <w:ilvl w:val="0"/>
          <w:numId w:val="1005"/>
        </w:numPr>
        <w:pStyle w:val="Compact"/>
      </w:pPr>
      <w:r>
        <w:t xml:space="preserve">registrar finalización o evidencia del lote.</w:t>
      </w:r>
    </w:p>
    <w:p>
      <w:pPr>
        <w:pStyle w:val="FirstParagraph"/>
      </w:pPr>
      <w:r>
        <w:t xml:space="preserve">Los campos de alto riesgo pueden incluir números de cuenta, fechas de nacimiento, identificadores, montos, códigos clínicos, datos bancarios, direcciones, fechas legales, seriales o clasificaciones de acceso.</w:t>
      </w:r>
    </w:p>
    <w:bookmarkEnd w:id="37"/>
    <w:bookmarkStart w:id="38" w:name="Xd37e474cfbe8d1496a515867d203967ffb3822f"/>
    <w:p>
      <w:pPr>
        <w:pStyle w:val="Heading2"/>
      </w:pPr>
      <w:r>
        <w:t xml:space="preserve">Métricas de calidad sin manipular el sistema</w:t>
      </w:r>
    </w:p>
    <w:p>
      <w:pPr>
        <w:pStyle w:val="FirstParagraph"/>
      </w:pPr>
      <w:r>
        <w:t xml:space="preserve">Pueden medir registros procesados, precisión, retrabajo, tiempo de respuesta, backlog, antigüedad de excepciones, calidad de escaneo, duplicados, tiempo de recuperación o cumplimiento de SLA.</w:t>
      </w:r>
    </w:p>
    <w:p>
      <w:pPr>
        <w:pStyle w:val="BodyText"/>
      </w:pPr>
      <w:r>
        <w:t xml:space="preserve">Nunca mejore artificialmente una métrica saltándose casos difíciles, ocultando errores o marcando trabajo incompleto como terminado.</w:t>
      </w:r>
    </w:p>
    <w:bookmarkEnd w:id="38"/>
    <w:bookmarkStart w:id="39" w:name="hojas-de-cálculo"/>
    <w:p>
      <w:pPr>
        <w:pStyle w:val="Heading2"/>
      </w:pPr>
      <w:r>
        <w:t xml:space="preserve">Hojas de cálculo</w:t>
      </w:r>
    </w:p>
    <w:p>
      <w:pPr>
        <w:pStyle w:val="FirstParagraph"/>
      </w:pPr>
      <w:r>
        <w:t xml:space="preserve">Habilidades útiles:</w:t>
      </w:r>
    </w:p>
    <w:p>
      <w:pPr>
        <w:numPr>
          <w:ilvl w:val="0"/>
          <w:numId w:val="1006"/>
        </w:numPr>
        <w:pStyle w:val="Compact"/>
      </w:pPr>
      <w:r>
        <w:t xml:space="preserve">estructura tabular limpia;</w:t>
      </w:r>
    </w:p>
    <w:p>
      <w:pPr>
        <w:numPr>
          <w:ilvl w:val="0"/>
          <w:numId w:val="1006"/>
        </w:numPr>
        <w:pStyle w:val="Compact"/>
      </w:pPr>
      <w:r>
        <w:t xml:space="preserve">un campo por columna;</w:t>
      </w:r>
    </w:p>
    <w:p>
      <w:pPr>
        <w:numPr>
          <w:ilvl w:val="0"/>
          <w:numId w:val="1006"/>
        </w:numPr>
        <w:pStyle w:val="Compact"/>
      </w:pPr>
      <w:r>
        <w:t xml:space="preserve">formatos consistentes;</w:t>
      </w:r>
    </w:p>
    <w:p>
      <w:pPr>
        <w:numPr>
          <w:ilvl w:val="0"/>
          <w:numId w:val="1006"/>
        </w:numPr>
        <w:pStyle w:val="Compact"/>
      </w:pPr>
      <w:r>
        <w:t xml:space="preserve">ordenar/filtrar;</w:t>
      </w:r>
    </w:p>
    <w:p>
      <w:pPr>
        <w:numPr>
          <w:ilvl w:val="0"/>
          <w:numId w:val="1006"/>
        </w:numPr>
        <w:pStyle w:val="Compact"/>
      </w:pPr>
      <w:r>
        <w:t xml:space="preserve">tablas;</w:t>
      </w:r>
    </w:p>
    <w:p>
      <w:pPr>
        <w:numPr>
          <w:ilvl w:val="0"/>
          <w:numId w:val="1006"/>
        </w:numPr>
        <w:pStyle w:val="Compact"/>
      </w:pPr>
      <w:r>
        <w:t xml:space="preserve">validación de datos;</w:t>
      </w:r>
    </w:p>
    <w:p>
      <w:pPr>
        <w:numPr>
          <w:ilvl w:val="0"/>
          <w:numId w:val="1006"/>
        </w:numPr>
        <w:pStyle w:val="Compact"/>
      </w:pPr>
      <w:r>
        <w:t xml:space="preserve">controles condicionales;</w:t>
      </w:r>
    </w:p>
    <w:p>
      <w:pPr>
        <w:numPr>
          <w:ilvl w:val="0"/>
          <w:numId w:val="1006"/>
        </w:numPr>
        <w:pStyle w:val="Compact"/>
      </w:pPr>
      <w:r>
        <w:t xml:space="preserve">fórmulas básicas;</w:t>
      </w:r>
    </w:p>
    <w:p>
      <w:pPr>
        <w:numPr>
          <w:ilvl w:val="0"/>
          <w:numId w:val="1006"/>
        </w:numPr>
        <w:pStyle w:val="Compact"/>
      </w:pPr>
      <w:r>
        <w:t xml:space="preserve">limpieza de texto;</w:t>
      </w:r>
    </w:p>
    <w:p>
      <w:pPr>
        <w:numPr>
          <w:ilvl w:val="0"/>
          <w:numId w:val="1006"/>
        </w:numPr>
        <w:pStyle w:val="Compact"/>
      </w:pPr>
      <w:r>
        <w:t xml:space="preserve">identificación de duplicados;</w:t>
      </w:r>
    </w:p>
    <w:p>
      <w:pPr>
        <w:numPr>
          <w:ilvl w:val="0"/>
          <w:numId w:val="1006"/>
        </w:numPr>
        <w:pStyle w:val="Compact"/>
      </w:pPr>
      <w:r>
        <w:t xml:space="preserve">conceptos de búsquedas y tablas dinámicas;</w:t>
      </w:r>
    </w:p>
    <w:p>
      <w:pPr>
        <w:numPr>
          <w:ilvl w:val="0"/>
          <w:numId w:val="1006"/>
        </w:numPr>
        <w:pStyle w:val="Compact"/>
      </w:pPr>
      <w:r>
        <w:t xml:space="preserve">CSV;</w:t>
      </w:r>
    </w:p>
    <w:p>
      <w:pPr>
        <w:numPr>
          <w:ilvl w:val="0"/>
          <w:numId w:val="1006"/>
        </w:numPr>
        <w:pStyle w:val="Compact"/>
      </w:pPr>
      <w:r>
        <w:t xml:space="preserve">entender que ceros a la izquierda pueden perderse si un identificador se interpreta como número.</w:t>
      </w:r>
    </w:p>
    <w:p>
      <w:pPr>
        <w:pStyle w:val="FirstParagraph"/>
      </w:pPr>
      <w:r>
        <w:t xml:space="preserve">Una hoja de cálculo conveniente no necesariamente es el repositorio oficial de registros.</w:t>
      </w:r>
    </w:p>
    <w:bookmarkEnd w:id="39"/>
    <w:bookmarkStart w:id="40" w:name="fundamentos-de-bases-de-datos"/>
    <w:p>
      <w:pPr>
        <w:pStyle w:val="Heading2"/>
      </w:pPr>
      <w:r>
        <w:t xml:space="preserve">Fundamentos de bases de datos</w:t>
      </w:r>
    </w:p>
    <w:p>
      <w:pPr>
        <w:pStyle w:val="FirstParagraph"/>
      </w:pPr>
      <w:r>
        <w:t xml:space="preserve">Comprenda registro, campo, identificador/clave, campo obligatorio/opcional, valores permitidos, regla de validación, relación entre registros, duplicado, consulta, importación/exportación, permisos, auditoría/historial y ambiente de producción versus prueba.</w:t>
      </w:r>
    </w:p>
    <w:p>
      <w:pPr>
        <w:pStyle w:val="BodyText"/>
      </w:pPr>
      <w:r>
        <w:t xml:space="preserve">Una actualización masiva debe seguir el proceso de prueba, validación, autorización y recuperación aprobado.</w:t>
      </w:r>
    </w:p>
    <w:bookmarkEnd w:id="40"/>
    <w:bookmarkStart w:id="41" w:name="escaneo-ocr-y-digitalización"/>
    <w:p>
      <w:pPr>
        <w:pStyle w:val="Heading2"/>
      </w:pPr>
      <w:r>
        <w:t xml:space="preserve">Escaneo, OCR y digitalización</w:t>
      </w:r>
    </w:p>
    <w:p>
      <w:pPr>
        <w:pStyle w:val="FirstParagraph"/>
      </w:pPr>
      <w:r>
        <w:t xml:space="preserve">Después del escaneo, confirme páginas completas, ausencia de doble alimentación, resolución legible, orientación, asociación de código/índice, exactitud OCR en campos críticos, formato/nombre de archivo y repositorio correctos.</w:t>
      </w:r>
    </w:p>
    <w:p>
      <w:pPr>
        <w:pStyle w:val="BodyText"/>
      </w:pPr>
      <w:r>
        <w:t xml:space="preserve">OCR puede confundir</w:t>
      </w:r>
      <w:r>
        <w:t xml:space="preserve"> </w:t>
      </w:r>
      <w:r>
        <w:rPr>
          <w:rStyle w:val="VerbatimChar"/>
        </w:rPr>
        <w:t xml:space="preserve">0</w:t>
      </w:r>
      <w:r>
        <w:t xml:space="preserve"> </w:t>
      </w:r>
      <w:r>
        <w:t xml:space="preserve">con</w:t>
      </w:r>
      <w:r>
        <w:t xml:space="preserve"> </w:t>
      </w:r>
      <w:r>
        <w:rPr>
          <w:rStyle w:val="VerbatimChar"/>
        </w:rPr>
        <w:t xml:space="preserve">O</w:t>
      </w:r>
      <w:r>
        <w:t xml:space="preserve">,</w:t>
      </w:r>
      <w:r>
        <w:t xml:space="preserve"> </w:t>
      </w:r>
      <w:r>
        <w:rPr>
          <w:rStyle w:val="VerbatimChar"/>
        </w:rPr>
        <w:t xml:space="preserve">1</w:t>
      </w:r>
      <w:r>
        <w:t xml:space="preserve"> </w:t>
      </w:r>
      <w:r>
        <w:t xml:space="preserve">con</w:t>
      </w:r>
      <w:r>
        <w:t xml:space="preserve"> </w:t>
      </w:r>
      <w:r>
        <w:rPr>
          <w:rStyle w:val="VerbatimChar"/>
        </w:rPr>
        <w:t xml:space="preserve">I</w:t>
      </w:r>
      <w:r>
        <w:t xml:space="preserve">, perder puntuación o fusionar columnas. La automatización cambia el trabajo: de teclear todo a verificar calidad y excepciones.</w:t>
      </w:r>
    </w:p>
    <w:bookmarkEnd w:id="41"/>
    <w:bookmarkStart w:id="42" w:name="privacidad-y-confidencialidad"/>
    <w:p>
      <w:pPr>
        <w:pStyle w:val="Heading2"/>
      </w:pPr>
      <w:r>
        <w:t xml:space="preserve">Privacidad y confidencialidad</w:t>
      </w:r>
    </w:p>
    <w:p>
      <w:pPr>
        <w:pStyle w:val="FirstParagraph"/>
      </w:pPr>
      <w:r>
        <w:t xml:space="preserve">Buenas prácticas:</w:t>
      </w:r>
    </w:p>
    <w:p>
      <w:pPr>
        <w:numPr>
          <w:ilvl w:val="0"/>
          <w:numId w:val="1007"/>
        </w:numPr>
        <w:pStyle w:val="Compact"/>
      </w:pPr>
      <w:r>
        <w:t xml:space="preserve">usar solo cuentas asignadas;</w:t>
      </w:r>
    </w:p>
    <w:p>
      <w:pPr>
        <w:numPr>
          <w:ilvl w:val="0"/>
          <w:numId w:val="1007"/>
        </w:numPr>
        <w:pStyle w:val="Compact"/>
      </w:pPr>
      <w:r>
        <w:t xml:space="preserve">bloquear la estación al ausentarse;</w:t>
      </w:r>
    </w:p>
    <w:p>
      <w:pPr>
        <w:numPr>
          <w:ilvl w:val="0"/>
          <w:numId w:val="1007"/>
        </w:numPr>
        <w:pStyle w:val="Compact"/>
      </w:pPr>
      <w:r>
        <w:t xml:space="preserve">no compartir contraseñas ni códigos MFA;</w:t>
      </w:r>
    </w:p>
    <w:p>
      <w:pPr>
        <w:numPr>
          <w:ilvl w:val="0"/>
          <w:numId w:val="1007"/>
        </w:numPr>
        <w:pStyle w:val="Compact"/>
      </w:pPr>
      <w:r>
        <w:t xml:space="preserve">evitar USB o nube personal no autorizados;</w:t>
      </w:r>
    </w:p>
    <w:p>
      <w:pPr>
        <w:numPr>
          <w:ilvl w:val="0"/>
          <w:numId w:val="1007"/>
        </w:numPr>
        <w:pStyle w:val="Compact"/>
      </w:pPr>
      <w:r>
        <w:t xml:space="preserve">proteger papel y pantallas;</w:t>
      </w:r>
    </w:p>
    <w:p>
      <w:pPr>
        <w:numPr>
          <w:ilvl w:val="0"/>
          <w:numId w:val="1007"/>
        </w:numPr>
        <w:pStyle w:val="Compact"/>
      </w:pPr>
      <w:r>
        <w:t xml:space="preserve">verificar destinatarios;</w:t>
      </w:r>
    </w:p>
    <w:p>
      <w:pPr>
        <w:numPr>
          <w:ilvl w:val="0"/>
          <w:numId w:val="1007"/>
        </w:numPr>
        <w:pStyle w:val="Compact"/>
      </w:pPr>
      <w:r>
        <w:t xml:space="preserve">usar medios seguros aprobados;</w:t>
      </w:r>
    </w:p>
    <w:p>
      <w:pPr>
        <w:numPr>
          <w:ilvl w:val="0"/>
          <w:numId w:val="1007"/>
        </w:numPr>
        <w:pStyle w:val="Compact"/>
      </w:pPr>
      <w:r>
        <w:t xml:space="preserve">reportar información mal enviada;</w:t>
      </w:r>
    </w:p>
    <w:p>
      <w:pPr>
        <w:numPr>
          <w:ilvl w:val="0"/>
          <w:numId w:val="1007"/>
        </w:numPr>
        <w:pStyle w:val="Compact"/>
      </w:pPr>
      <w:r>
        <w:t xml:space="preserve">minimizar copias y descargas;</w:t>
      </w:r>
    </w:p>
    <w:p>
      <w:pPr>
        <w:numPr>
          <w:ilvl w:val="0"/>
          <w:numId w:val="1007"/>
        </w:numPr>
        <w:pStyle w:val="Compact"/>
      </w:pPr>
      <w:r>
        <w:t xml:space="preserve">seguir reglas de escritorio/pantalla limpia donde apliquen.</w:t>
      </w:r>
    </w:p>
    <w:p>
      <w:pPr>
        <w:pStyle w:val="FirstParagraph"/>
      </w:pPr>
      <w:r>
        <w:t xml:space="preserve">Acceso no significa permiso para divulgar.</w:t>
      </w:r>
    </w:p>
    <w:bookmarkEnd w:id="42"/>
    <w:bookmarkStart w:id="43" w:name="ciberseguridad-cotidiana"/>
    <w:p>
      <w:pPr>
        <w:pStyle w:val="Heading2"/>
      </w:pPr>
      <w:r>
        <w:t xml:space="preserve">Ciberseguridad cotidiana</w:t>
      </w:r>
    </w:p>
    <w:p>
      <w:pPr>
        <w:pStyle w:val="FirstParagraph"/>
      </w:pPr>
      <w:r>
        <w:t xml:space="preserve">Los trabajadores de registros pueden ser objetivos de phishing. Reconozca mensajes/enlaces sospechosos, use contraseñas únicas y MFA donde aplique, mantenga software aprobado actualizado, verifique solicitudes inusuales de exportación y reporte prompts MFA inesperados o incidentes. No desactive controles de seguridad para ahorrar tiempo.</w:t>
      </w:r>
    </w:p>
    <w:bookmarkEnd w:id="43"/>
    <w:bookmarkStart w:id="44" w:name="uso-responsable-de-ia-y-automatización"/>
    <w:p>
      <w:pPr>
        <w:pStyle w:val="Heading2"/>
      </w:pPr>
      <w:r>
        <w:t xml:space="preserve">Uso responsable de IA y automatización</w:t>
      </w:r>
    </w:p>
    <w:p>
      <w:pPr>
        <w:pStyle w:val="FirstParagraph"/>
      </w:pPr>
      <w:r>
        <w:t xml:space="preserve">La IA aprobada puede ayudar con datos sintéticos, explicación de Excel, listas de validación o práctica genérica. Para registros reales:</w:t>
      </w:r>
    </w:p>
    <w:p>
      <w:pPr>
        <w:numPr>
          <w:ilvl w:val="0"/>
          <w:numId w:val="1008"/>
        </w:numPr>
        <w:pStyle w:val="Compact"/>
      </w:pPr>
      <w:r>
        <w:t xml:space="preserve">use solo servicios y clases de datos aprobados;</w:t>
      </w:r>
    </w:p>
    <w:p>
      <w:pPr>
        <w:numPr>
          <w:ilvl w:val="0"/>
          <w:numId w:val="1008"/>
        </w:numPr>
        <w:pStyle w:val="Compact"/>
      </w:pPr>
      <w:r>
        <w:t xml:space="preserve">no pegue credenciales ni registros protegidos en servicios no autorizados;</w:t>
      </w:r>
    </w:p>
    <w:p>
      <w:pPr>
        <w:numPr>
          <w:ilvl w:val="0"/>
          <w:numId w:val="1008"/>
        </w:numPr>
        <w:pStyle w:val="Compact"/>
      </w:pPr>
      <w:r>
        <w:t xml:space="preserve">verifique valores extraídos/normalizados contra fuentes autorizadas;</w:t>
      </w:r>
    </w:p>
    <w:p>
      <w:pPr>
        <w:numPr>
          <w:ilvl w:val="0"/>
          <w:numId w:val="1008"/>
        </w:numPr>
        <w:pStyle w:val="Compact"/>
      </w:pPr>
      <w:r>
        <w:t xml:space="preserve">no permita que la IA invente valores faltantes;</w:t>
      </w:r>
    </w:p>
    <w:p>
      <w:pPr>
        <w:numPr>
          <w:ilvl w:val="0"/>
          <w:numId w:val="1008"/>
        </w:numPr>
        <w:pStyle w:val="Compact"/>
      </w:pPr>
      <w:r>
        <w:t xml:space="preserve">conserve revisión y trazabilidad requeridas;</w:t>
      </w:r>
    </w:p>
    <w:p>
      <w:pPr>
        <w:numPr>
          <w:ilvl w:val="0"/>
          <w:numId w:val="1008"/>
        </w:numPr>
        <w:pStyle w:val="Compact"/>
      </w:pPr>
      <w:r>
        <w:t xml:space="preserve">no trate la confianza del modelo como prueba;</w:t>
      </w:r>
    </w:p>
    <w:p>
      <w:pPr>
        <w:numPr>
          <w:ilvl w:val="0"/>
          <w:numId w:val="1008"/>
        </w:numPr>
        <w:pStyle w:val="Compact"/>
      </w:pPr>
      <w:r>
        <w:t xml:space="preserve">mantenga aprobación humana donde el proceso la exija.</w:t>
      </w:r>
    </w:p>
    <w:p>
      <w:pPr>
        <w:pStyle w:val="FirstParagraph"/>
      </w:pPr>
      <w:r>
        <w:t xml:space="preserve">NIST AI RMF es orientación voluntaria para gestión de riesgos y su perfil de IA generativa aborda riesgos específicos de esa tecnología.</w:t>
      </w:r>
    </w:p>
    <w:bookmarkEnd w:id="44"/>
    <w:bookmarkStart w:id="45" w:name="Xa6f894b273d9263a3e701d5890b2981bcf01e1d"/>
    <w:p>
      <w:pPr>
        <w:pStyle w:val="Heading2"/>
      </w:pPr>
      <w:r>
        <w:t xml:space="preserve">Accesibilidad y diseño amigable con la disgrafía</w:t>
      </w:r>
    </w:p>
    <w:p>
      <w:pPr>
        <w:pStyle w:val="FirstParagraph"/>
      </w:pPr>
      <w:r>
        <w:t xml:space="preserve">Ayudan etiquetas claras, orden predecible, navegación por teclado, foco visible, mensajes de error útiles, contraste legible, plantillas/listas, validación, herramientas de entrada alternativas autorizadas, pausas programadas y ajustes de estación. Una comprobación automática no establece certificación legal completa de accesibilidad.</w:t>
      </w:r>
    </w:p>
    <w:bookmarkEnd w:id="45"/>
    <w:bookmarkStart w:id="46" w:name="entorno-de-trabajo-y-ergonomía"/>
    <w:p>
      <w:pPr>
        <w:pStyle w:val="Heading2"/>
      </w:pPr>
      <w:r>
        <w:t xml:space="preserve">Entorno de trabajo y ergonomía</w:t>
      </w:r>
    </w:p>
    <w:p>
      <w:pPr>
        <w:pStyle w:val="FirstParagraph"/>
      </w:pPr>
      <w:r>
        <w:t xml:space="preserve">Puede implicar muchas horas sentado, teclado/ratón, escaneo repetitivo y alta concentración. Ajuste la estación, alterne tareas cuando sea posible, use atajos aprobados, tome pausas programadas y reporte molestias por los canales del empleador. Esto es información general, no consejo médico.</w:t>
      </w:r>
    </w:p>
    <w:bookmarkEnd w:id="46"/>
    <w:bookmarkStart w:id="47" w:name="ruta-en-estados-unidos"/>
    <w:p>
      <w:pPr>
        <w:pStyle w:val="Heading2"/>
      </w:pPr>
      <w:r>
        <w:t xml:space="preserve">Ruta en Estados Unidos</w:t>
      </w:r>
    </w:p>
    <w:p>
      <w:pPr>
        <w:pStyle w:val="FirstParagraph"/>
      </w:pPr>
      <w:r>
        <w:t xml:space="preserve">O*NET ubica Data Entry Keyers en un rango de preparación relativamente bajo. Los empleadores pueden valorar secundaria/equivalente, herramientas de oficina, precisión, confidencialidad y entrenamiento en el trabajo.</w:t>
      </w:r>
    </w:p>
    <w:p>
      <w:pPr>
        <w:pStyle w:val="BodyText"/>
      </w:pPr>
      <w:r>
        <w:t xml:space="preserve">Antes de pagar formación costosa, practique Excel, ingreso con datos sintéticos, listas de validación, nomenclatura/versiones, OCR con documentos públicos, conceptos de bases de datos y un índice simple de registros.</w:t>
      </w:r>
    </w:p>
    <w:p>
      <w:pPr>
        <w:pStyle w:val="BodyText"/>
      </w:pPr>
      <w:r>
        <w:t xml:space="preserve">CareerOneStop puede ayudar a localizar programas WIOA y capacitación local. Confirme elegibilidad con el American Job Center; aparecer en un listado no garantiza financiación, admisión ni empleo.</w:t>
      </w:r>
    </w:p>
    <w:bookmarkEnd w:id="47"/>
    <w:bookmarkStart w:id="48" w:name="salario-y-proyección-de-estados-unidos"/>
    <w:p>
      <w:pPr>
        <w:pStyle w:val="Heading2"/>
      </w:pPr>
      <w:r>
        <w:t xml:space="preserve">Salario y proyección de Estados Unidos</w:t>
      </w:r>
    </w:p>
    <w:p>
      <w:pPr>
        <w:pStyle w:val="FirstParagraph"/>
      </w:pPr>
      <w:r>
        <w:t xml:space="preserve">Datos nacionales O*NET/BLS 2025 para</w:t>
      </w:r>
      <w:r>
        <w:t xml:space="preserve"> </w:t>
      </w:r>
      <w:r>
        <w:rPr>
          <w:bCs/>
          <w:b/>
        </w:rPr>
        <w:t xml:space="preserve">43-9021.00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$31,200</w:t>
            </w:r>
          </w:p>
        </w:tc>
        <w:tc>
          <w:tcPr/>
          <w:p>
            <w:pPr>
              <w:pStyle w:val="Compact"/>
              <w:jc w:val="right"/>
            </w:pPr>
            <w:r>
              <w:t xml:space="preserve">$15.00</w:t>
            </w:r>
          </w:p>
        </w:tc>
      </w:tr>
      <w:tr>
        <w:tc>
          <w:tcPr/>
          <w:p>
            <w:pPr>
              <w:pStyle w:val="Compact"/>
              <w:jc w:val="left"/>
            </w:pPr>
            <w:r>
              <w:t xml:space="preserve">25</w:t>
            </w:r>
          </w:p>
        </w:tc>
        <w:tc>
          <w:tcPr/>
          <w:p>
            <w:pPr>
              <w:pStyle w:val="Compact"/>
              <w:jc w:val="right"/>
            </w:pPr>
            <w:r>
              <w:t xml:space="preserve">$35,760</w:t>
            </w:r>
          </w:p>
        </w:tc>
        <w:tc>
          <w:tcPr/>
          <w:p>
            <w:pPr>
              <w:pStyle w:val="Compact"/>
              <w:jc w:val="right"/>
            </w:pPr>
            <w:r>
              <w:t xml:space="preserve">$17.19</w:t>
            </w:r>
          </w:p>
        </w:tc>
      </w:tr>
      <w:tr>
        <w:tc>
          <w:tcPr/>
          <w:p>
            <w:pPr>
              <w:pStyle w:val="Compact"/>
              <w:jc w:val="left"/>
            </w:pPr>
            <w:r>
              <w:t xml:space="preserve">Mediana</w:t>
            </w:r>
          </w:p>
        </w:tc>
        <w:tc>
          <w:tcPr/>
          <w:p>
            <w:pPr>
              <w:pStyle w:val="Compact"/>
              <w:jc w:val="right"/>
            </w:pPr>
            <w:r>
              <w:t xml:space="preserve">$41,340</w:t>
            </w:r>
          </w:p>
        </w:tc>
        <w:tc>
          <w:tcPr/>
          <w:p>
            <w:pPr>
              <w:pStyle w:val="Compact"/>
              <w:jc w:val="right"/>
            </w:pPr>
            <w:r>
              <w:t xml:space="preserve">$19.88</w:t>
            </w:r>
          </w:p>
        </w:tc>
      </w:tr>
      <w:tr>
        <w:tc>
          <w:tcPr/>
          <w:p>
            <w:pPr>
              <w:pStyle w:val="Compact"/>
              <w:jc w:val="left"/>
            </w:pPr>
            <w:r>
              <w:t xml:space="preserve">75</w:t>
            </w:r>
          </w:p>
        </w:tc>
        <w:tc>
          <w:tcPr/>
          <w:p>
            <w:pPr>
              <w:pStyle w:val="Compact"/>
              <w:jc w:val="right"/>
            </w:pPr>
            <w:r>
              <w:t xml:space="preserve">$48,410</w:t>
            </w:r>
          </w:p>
        </w:tc>
        <w:tc>
          <w:tcPr/>
          <w:p>
            <w:pPr>
              <w:pStyle w:val="Compact"/>
              <w:jc w:val="right"/>
            </w:pPr>
            <w:r>
              <w:t xml:space="preserve">$23.27</w:t>
            </w:r>
          </w:p>
        </w:tc>
      </w:tr>
      <w:tr>
        <w:tc>
          <w:tcPr/>
          <w:p>
            <w:pPr>
              <w:pStyle w:val="Compact"/>
              <w:jc w:val="left"/>
            </w:pPr>
            <w:r>
              <w:t xml:space="preserve">90</w:t>
            </w:r>
          </w:p>
        </w:tc>
        <w:tc>
          <w:tcPr/>
          <w:p>
            <w:pPr>
              <w:pStyle w:val="Compact"/>
              <w:jc w:val="right"/>
            </w:pPr>
            <w:r>
              <w:t xml:space="preserve">$58,790</w:t>
            </w:r>
          </w:p>
        </w:tc>
        <w:tc>
          <w:tcPr/>
          <w:p>
            <w:pPr>
              <w:pStyle w:val="Compact"/>
              <w:jc w:val="right"/>
            </w:pPr>
            <w:r>
              <w:t xml:space="preserve">$28.26</w:t>
            </w:r>
          </w:p>
        </w:tc>
      </w:tr>
    </w:tbl>
    <w:p>
      <w:pPr>
        <w:pStyle w:val="BodyText"/>
      </w:pPr>
      <w:r>
        <w:t xml:space="preserve">Proyección 2024–2034:</w:t>
      </w:r>
    </w:p>
    <w:p>
      <w:pPr>
        <w:numPr>
          <w:ilvl w:val="0"/>
          <w:numId w:val="1009"/>
        </w:numPr>
        <w:pStyle w:val="Compact"/>
      </w:pPr>
      <w:r>
        <w:t xml:space="preserve">empleo 2024:</w:t>
      </w:r>
      <w:r>
        <w:t xml:space="preserve"> </w:t>
      </w:r>
      <w:r>
        <w:rPr>
          <w:bCs/>
          <w:b/>
        </w:rPr>
        <w:t xml:space="preserve">141,600</w:t>
      </w:r>
      <w:r>
        <w:t xml:space="preserve">;</w:t>
      </w:r>
    </w:p>
    <w:p>
      <w:pPr>
        <w:numPr>
          <w:ilvl w:val="0"/>
          <w:numId w:val="1009"/>
        </w:numPr>
        <w:pStyle w:val="Compact"/>
      </w:pPr>
      <w:r>
        <w:t xml:space="preserve">empleo proyectado 2034:</w:t>
      </w:r>
      <w:r>
        <w:t xml:space="preserve"> </w:t>
      </w:r>
      <w:r>
        <w:rPr>
          <w:bCs/>
          <w:b/>
        </w:rPr>
        <w:t xml:space="preserve">104,900</w:t>
      </w:r>
      <w:r>
        <w:t xml:space="preserve">;</w:t>
      </w:r>
    </w:p>
    <w:p>
      <w:pPr>
        <w:numPr>
          <w:ilvl w:val="0"/>
          <w:numId w:val="1009"/>
        </w:numPr>
        <w:pStyle w:val="Compact"/>
      </w:pPr>
      <w:r>
        <w:t xml:space="preserve">cambio:</w:t>
      </w:r>
      <w:r>
        <w:t xml:space="preserve"> </w:t>
      </w:r>
      <w:r>
        <w:rPr>
          <w:bCs/>
          <w:b/>
        </w:rPr>
        <w:t xml:space="preserve">-26%</w:t>
      </w:r>
      <w:r>
        <w:t xml:space="preserve">;</w:t>
      </w:r>
    </w:p>
    <w:p>
      <w:pPr>
        <w:numPr>
          <w:ilvl w:val="0"/>
          <w:numId w:val="1009"/>
        </w:numPr>
        <w:pStyle w:val="Compact"/>
      </w:pPr>
      <w:r>
        <w:t xml:space="preserve">vacantes proyectadas</w:t>
      </w:r>
      <w:r>
        <w:t xml:space="preserve"> </w:t>
      </w:r>
      <w:r>
        <w:rPr>
          <w:bCs/>
          <w:b/>
        </w:rPr>
        <w:t xml:space="preserve">anuales</w:t>
      </w:r>
      <w:r>
        <w:t xml:space="preserve">:</w:t>
      </w:r>
      <w:r>
        <w:t xml:space="preserve"> </w:t>
      </w:r>
      <w:r>
        <w:rPr>
          <w:bCs/>
          <w:b/>
        </w:rPr>
        <w:t xml:space="preserve">9,500</w:t>
      </w:r>
      <w:r>
        <w:t xml:space="preserve">.</w:t>
      </w:r>
    </w:p>
    <w:p>
      <w:pPr>
        <w:pStyle w:val="FirstParagraph"/>
      </w:pPr>
      <w:r>
        <w:t xml:space="preserve">Esto exige una estrategia de crecimiento hacia validación, registros, control documental, calidad y sistemas.</w:t>
      </w:r>
    </w:p>
    <w:p>
      <w:pPr>
        <w:pStyle w:val="BodyText"/>
      </w:pPr>
      <w:r>
        <w:t xml:space="preserve">Señales de software en ofertas O*NET 2025:</w:t>
      </w:r>
      <w:r>
        <w:t xml:space="preserve"> </w:t>
      </w:r>
      <w:r>
        <w:rPr>
          <w:bCs/>
          <w:b/>
        </w:rPr>
        <w:t xml:space="preserve">Excel 24%</w:t>
      </w:r>
      <w:r>
        <w:t xml:space="preserve">,</w:t>
      </w:r>
      <w:r>
        <w:t xml:space="preserve"> </w:t>
      </w:r>
      <w:r>
        <w:rPr>
          <w:bCs/>
          <w:b/>
        </w:rPr>
        <w:t xml:space="preserve">Microsoft Office 20%</w:t>
      </w:r>
      <w:r>
        <w:t xml:space="preserve">,</w:t>
      </w:r>
      <w:r>
        <w:t xml:space="preserve"> </w:t>
      </w:r>
      <w:r>
        <w:rPr>
          <w:bCs/>
          <w:b/>
        </w:rPr>
        <w:t xml:space="preserve">Outlook 9%</w:t>
      </w:r>
      <w:r>
        <w:t xml:space="preserve">,</w:t>
      </w:r>
      <w:r>
        <w:t xml:space="preserve"> </w:t>
      </w:r>
      <w:r>
        <w:rPr>
          <w:bCs/>
          <w:b/>
        </w:rPr>
        <w:t xml:space="preserve">Word 7%</w:t>
      </w:r>
      <w:r>
        <w:t xml:space="preserve">. Son señales de mercado, no requisitos universales.</w:t>
      </w:r>
    </w:p>
    <w:bookmarkEnd w:id="48"/>
    <w:bookmarkStart w:id="49" w:name="ruta-en-canadá"/>
    <w:p>
      <w:pPr>
        <w:pStyle w:val="Heading2"/>
      </w:pPr>
      <w:r>
        <w:t xml:space="preserve">Ruta en Canadá</w:t>
      </w:r>
    </w:p>
    <w:p>
      <w:pPr>
        <w:pStyle w:val="FirstParagraph"/>
      </w:pPr>
      <w:r>
        <w:t xml:space="preserve">Job Bank identifica</w:t>
      </w:r>
      <w:r>
        <w:t xml:space="preserve"> </w:t>
      </w:r>
      <w:r>
        <w:rPr>
          <w:bCs/>
          <w:b/>
        </w:rPr>
        <w:t xml:space="preserve">NOC 14111 — Data entry clerks</w:t>
      </w:r>
      <w:r>
        <w:t xml:space="preserve">. Los requisitos pueden incluir secundaria y/o cursos de ingreso de datos. Los registros actuales indican que la ocupación</w:t>
      </w:r>
      <w:r>
        <w:t xml:space="preserve"> </w:t>
      </w:r>
      <w:r>
        <w:rPr>
          <w:bCs/>
          <w:b/>
        </w:rPr>
        <w:t xml:space="preserve">no está regulada en Canadá</w:t>
      </w:r>
      <w:r>
        <w:t xml:space="preserve">.</w:t>
      </w:r>
    </w:p>
    <w:p>
      <w:pPr>
        <w:pStyle w:val="BodyText"/>
      </w:pPr>
      <w:r>
        <w:t xml:space="preserve">Salarios nacionales actualizados el 19 de noviembre de 2025:</w:t>
      </w:r>
    </w:p>
    <w:p>
      <w:pPr>
        <w:numPr>
          <w:ilvl w:val="0"/>
          <w:numId w:val="1010"/>
        </w:numPr>
        <w:pStyle w:val="Compact"/>
      </w:pPr>
      <w:r>
        <w:t xml:space="preserve">bajo:</w:t>
      </w:r>
      <w:r>
        <w:t xml:space="preserve"> </w:t>
      </w:r>
      <w:r>
        <w:rPr>
          <w:bCs/>
          <w:b/>
        </w:rPr>
        <w:t xml:space="preserve">C$17.00/hora</w:t>
      </w:r>
      <w:r>
        <w:t xml:space="preserve">;</w:t>
      </w:r>
    </w:p>
    <w:p>
      <w:pPr>
        <w:numPr>
          <w:ilvl w:val="0"/>
          <w:numId w:val="1010"/>
        </w:numPr>
        <w:pStyle w:val="Compact"/>
      </w:pPr>
      <w:r>
        <w:t xml:space="preserve">mediana:</w:t>
      </w:r>
      <w:r>
        <w:t xml:space="preserve"> </w:t>
      </w:r>
      <w:r>
        <w:rPr>
          <w:bCs/>
          <w:b/>
        </w:rPr>
        <w:t xml:space="preserve">C$23.50/hora</w:t>
      </w:r>
      <w:r>
        <w:t xml:space="preserve">;</w:t>
      </w:r>
    </w:p>
    <w:p>
      <w:pPr>
        <w:numPr>
          <w:ilvl w:val="0"/>
          <w:numId w:val="1010"/>
        </w:numPr>
        <w:pStyle w:val="Compact"/>
      </w:pPr>
      <w:r>
        <w:t xml:space="preserve">alto:</w:t>
      </w:r>
      <w:r>
        <w:t xml:space="preserve"> </w:t>
      </w:r>
      <w:r>
        <w:rPr>
          <w:bCs/>
          <w:b/>
        </w:rPr>
        <w:t xml:space="preserve">C$32.60/hora</w:t>
      </w:r>
      <w:r>
        <w:t xml:space="preserve">.</w:t>
      </w:r>
    </w:p>
    <w:p>
      <w:pPr>
        <w:pStyle w:val="FirstParagraph"/>
      </w:pPr>
      <w:r>
        <w:t xml:space="preserve">Canada.ca ofrece rutas para localizar capacitación corta pagada/gratuita, proveedores reconocidos, ayuda estudiantil y recursos de habilidades. Verifique elegibilidad.</w:t>
      </w:r>
    </w:p>
    <w:bookmarkEnd w:id="49"/>
    <w:bookmarkStart w:id="54" w:name="ruta-en-colombia"/>
    <w:p>
      <w:pPr>
        <w:pStyle w:val="Heading2"/>
      </w:pPr>
      <w:r>
        <w:t xml:space="preserve">Ruta en Colombia</w:t>
      </w:r>
    </w:p>
    <w:bookmarkStart w:id="50" w:name="cuoc-41321--grabadores-de-datos"/>
    <w:p>
      <w:pPr>
        <w:pStyle w:val="Heading3"/>
      </w:pPr>
      <w:r>
        <w:t xml:space="preserve">CUOC 41321 — Grabadores de datos</w:t>
      </w:r>
    </w:p>
    <w:p>
      <w:pPr>
        <w:pStyle w:val="FirstParagraph"/>
      </w:pPr>
      <w:r>
        <w:t xml:space="preserve">Apoya captura/digitalización: preparación de fuente, digitalización, transcripción, verificación de exactitud/integridad/calidad de imagen, almacenamiento, importación/exportación, indexación y registro de datos.</w:t>
      </w:r>
    </w:p>
    <w:p>
      <w:pPr>
        <w:pStyle w:val="BodyText"/>
      </w:pPr>
      <w:r>
        <w:t xml:space="preserve">Denominaciones relevantes:</w:t>
      </w:r>
      <w:r>
        <w:t xml:space="preserve"> </w:t>
      </w:r>
      <w:r>
        <w:rPr>
          <w:bCs/>
          <w:b/>
        </w:rPr>
        <w:t xml:space="preserve">Auxiliar de entrada de datos, Digitalizador, Operador de entrada de datos, Procesador de datos, Registrador de datos, Tabulador de datos</w:t>
      </w:r>
      <w:r>
        <w:t xml:space="preserve"> </w:t>
      </w:r>
      <w:r>
        <w:t xml:space="preserve">y</w:t>
      </w:r>
      <w:r>
        <w:t xml:space="preserve"> </w:t>
      </w:r>
      <w:r>
        <w:rPr>
          <w:bCs/>
          <w:b/>
        </w:rPr>
        <w:t xml:space="preserve">Técnico de Introducción de datos</w:t>
      </w:r>
      <w:r>
        <w:t xml:space="preserve">.</w:t>
      </w:r>
    </w:p>
    <w:p>
      <w:pPr>
        <w:pStyle w:val="BodyText"/>
      </w:pPr>
      <w:r>
        <w:t xml:space="preserve">OCUPACOL muestra COP 1,002,500–2,209,640, pero advierte expresamente que los datos no tienen representatividad estadística. Esta guía</w:t>
      </w:r>
      <w:r>
        <w:t xml:space="preserve"> </w:t>
      </w:r>
      <w:r>
        <w:rPr>
          <w:bCs/>
          <w:b/>
        </w:rPr>
        <w:t xml:space="preserve">no</w:t>
      </w:r>
      <w:r>
        <w:t xml:space="preserve"> </w:t>
      </w:r>
      <w:r>
        <w:t xml:space="preserve">usa ese rango como salario nacional representativo.</w:t>
      </w:r>
    </w:p>
    <w:bookmarkEnd w:id="50"/>
    <w:bookmarkStart w:id="51" w:name="cuoc-44150--empleados-de-archivos"/>
    <w:p>
      <w:pPr>
        <w:pStyle w:val="Heading3"/>
      </w:pPr>
      <w:r>
        <w:t xml:space="preserve">CUOC 44150 — Empleados de archivos</w:t>
      </w:r>
    </w:p>
    <w:p>
      <w:pPr>
        <w:pStyle w:val="FirstParagraph"/>
      </w:pPr>
      <w:r>
        <w:t xml:space="preserve">Apoya clasificación/codificación/registro/archivo, recuperación, sistemas de captura, bases/listas de acceso, revisión de integridad, índices, preservación y transferencias.</w:t>
      </w:r>
    </w:p>
    <w:p>
      <w:pPr>
        <w:pStyle w:val="BodyText"/>
      </w:pPr>
      <w:r>
        <w:t xml:space="preserve">Denominaciones:</w:t>
      </w:r>
      <w:r>
        <w:t xml:space="preserve"> </w:t>
      </w:r>
      <w:r>
        <w:rPr>
          <w:bCs/>
          <w:b/>
        </w:rPr>
        <w:t xml:space="preserve">Auxiliar de archivo, Auxiliar de archivo y registro, Ayudante de archivo y registro</w:t>
      </w:r>
      <w:r>
        <w:t xml:space="preserve"> </w:t>
      </w:r>
      <w:r>
        <w:t xml:space="preserve">y</w:t>
      </w:r>
      <w:r>
        <w:t xml:space="preserve"> </w:t>
      </w:r>
      <w:r>
        <w:rPr>
          <w:bCs/>
          <w:b/>
        </w:rPr>
        <w:t xml:space="preserve">Oficinista registro de archivo</w:t>
      </w:r>
      <w:r>
        <w:t xml:space="preserve">.</w:t>
      </w:r>
    </w:p>
    <w:bookmarkEnd w:id="51"/>
    <w:bookmarkStart w:id="52" w:name="contexto-de-mercado-no-gubernamental"/>
    <w:p>
      <w:pPr>
        <w:pStyle w:val="Heading3"/>
      </w:pPr>
      <w:r>
        <w:t xml:space="preserve">Contexto de mercado no gubernamental</w:t>
      </w:r>
    </w:p>
    <w:p>
      <w:pPr>
        <w:pStyle w:val="FirstParagraph"/>
      </w:pPr>
      <w:r>
        <w:t xml:space="preserve">Indeed Colombia reportó aproximadamente</w:t>
      </w:r>
      <w:r>
        <w:t xml:space="preserve"> </w:t>
      </w:r>
      <w:r>
        <w:rPr>
          <w:bCs/>
          <w:b/>
        </w:rPr>
        <w:t xml:space="preserve">COP 1,327,533/mes</w:t>
      </w:r>
      <w:r>
        <w:t xml:space="preserve"> </w:t>
      </w:r>
      <w:r>
        <w:t xml:space="preserve">para</w:t>
      </w:r>
      <w:r>
        <w:t xml:space="preserve"> </w:t>
      </w:r>
      <w:r>
        <w:rPr>
          <w:bCs/>
          <w:b/>
        </w:rPr>
        <w:t xml:space="preserve">Digitador/a</w:t>
      </w:r>
      <w:r>
        <w:t xml:space="preserve">, con</w:t>
      </w:r>
      <w:r>
        <w:t xml:space="preserve"> </w:t>
      </w:r>
      <w:r>
        <w:rPr>
          <w:bCs/>
          <w:b/>
        </w:rPr>
        <w:t xml:space="preserve">72 salarios</w:t>
      </w:r>
      <w:r>
        <w:t xml:space="preserve">, actualizado el</w:t>
      </w:r>
      <w:r>
        <w:t xml:space="preserve"> </w:t>
      </w:r>
      <w:r>
        <w:rPr>
          <w:bCs/>
          <w:b/>
        </w:rPr>
        <w:t xml:space="preserve">30 de julio de 2026</w:t>
      </w:r>
      <w:r>
        <w:t xml:space="preserve">. Es una estimación ilustrativa, no compensación garantizada.</w:t>
      </w:r>
    </w:p>
    <w:bookmarkEnd w:id="52"/>
    <w:bookmarkStart w:id="53" w:name="sena"/>
    <w:p>
      <w:pPr>
        <w:pStyle w:val="Heading3"/>
      </w:pPr>
      <w:r>
        <w:t xml:space="preserve">SENA</w:t>
      </w:r>
    </w:p>
    <w:p>
      <w:pPr>
        <w:numPr>
          <w:ilvl w:val="0"/>
          <w:numId w:val="1011"/>
        </w:numPr>
        <w:pStyle w:val="Compact"/>
      </w:pPr>
      <w:r>
        <w:rPr>
          <w:bCs/>
          <w:b/>
        </w:rPr>
        <w:t xml:space="preserve">Gestión documental</w:t>
      </w:r>
      <w:r>
        <w:t xml:space="preserve"> </w:t>
      </w:r>
      <w:r>
        <w:t xml:space="preserve">— Tecnólogo —</w:t>
      </w:r>
      <w:r>
        <w:t xml:space="preserve"> </w:t>
      </w:r>
      <w:r>
        <w:rPr>
          <w:bCs/>
          <w:b/>
        </w:rPr>
        <w:t xml:space="preserve">3,984 horas</w:t>
      </w:r>
      <w:r>
        <w:t xml:space="preserve">;</w:t>
      </w:r>
    </w:p>
    <w:p>
      <w:pPr>
        <w:numPr>
          <w:ilvl w:val="0"/>
          <w:numId w:val="1011"/>
        </w:numPr>
        <w:pStyle w:val="Compact"/>
      </w:pPr>
      <w:r>
        <w:rPr>
          <w:bCs/>
          <w:b/>
        </w:rPr>
        <w:t xml:space="preserve">Bases de datos generalidades y sistemas de gestión</w:t>
      </w:r>
      <w:r>
        <w:t xml:space="preserve"> </w:t>
      </w:r>
      <w:r>
        <w:t xml:space="preserve">— complementaria virtual —</w:t>
      </w:r>
      <w:r>
        <w:t xml:space="preserve"> </w:t>
      </w:r>
      <w:r>
        <w:rPr>
          <w:bCs/>
          <w:b/>
        </w:rPr>
        <w:t xml:space="preserve">40 horas</w:t>
      </w:r>
      <w:r>
        <w:t xml:space="preserve">;</w:t>
      </w:r>
    </w:p>
    <w:p>
      <w:pPr>
        <w:numPr>
          <w:ilvl w:val="0"/>
          <w:numId w:val="1011"/>
        </w:numPr>
        <w:pStyle w:val="Compact"/>
      </w:pPr>
      <w:r>
        <w:rPr>
          <w:bCs/>
          <w:b/>
        </w:rPr>
        <w:t xml:space="preserve">Manejo de datos con Microsoft Excel en entornos organizacionales</w:t>
      </w:r>
      <w:r>
        <w:t xml:space="preserve"> </w:t>
      </w:r>
      <w:r>
        <w:t xml:space="preserve">— complementaria virtual —</w:t>
      </w:r>
      <w:r>
        <w:t xml:space="preserve"> </w:t>
      </w:r>
      <w:r>
        <w:rPr>
          <w:bCs/>
          <w:b/>
        </w:rPr>
        <w:t xml:space="preserve">48 horas</w:t>
      </w:r>
      <w:r>
        <w:t xml:space="preserve">.</w:t>
      </w:r>
    </w:p>
    <w:p>
      <w:pPr>
        <w:pStyle w:val="FirstParagraph"/>
      </w:pPr>
      <w:r>
        <w:t xml:space="preserve">Cupos, cohortes, ubicación, modalidad y admisión cambian. Verifique Betowa.</w:t>
      </w:r>
    </w:p>
    <w:bookmarkEnd w:id="53"/>
    <w:bookmarkEnd w:id="54"/>
    <w:bookmarkStart w:id="55" w:name="américa-latina-y-el-caribe"/>
    <w:p>
      <w:pPr>
        <w:pStyle w:val="Heading2"/>
      </w:pPr>
      <w:r>
        <w:t xml:space="preserve">América Latina y el Caribe</w:t>
      </w:r>
    </w:p>
    <w:p>
      <w:pPr>
        <w:pStyle w:val="FirstParagraph"/>
      </w:pPr>
      <w:r>
        <w:t xml:space="preserve">El observatorio por país/institución de OIT/Cinterfor ayuda a identificar instituciones nacionales de formación profesional. Luego verifique directamente catálogo, costo, modalidad, elegibilidad y matrícula. No garantiza curso ni beca.</w:t>
      </w:r>
    </w:p>
    <w:bookmarkEnd w:id="55"/>
    <w:bookmarkStart w:id="56" w:name="portafolio-sin-exponer-datos-reales"/>
    <w:p>
      <w:pPr>
        <w:pStyle w:val="Heading2"/>
      </w:pPr>
      <w:r>
        <w:t xml:space="preserve">Portafolio sin exponer datos reales</w:t>
      </w:r>
    </w:p>
    <w:p>
      <w:pPr>
        <w:pStyle w:val="FirstParagraph"/>
      </w:pPr>
      <w:r>
        <w:t xml:space="preserve">Use datos sintéticos. Un portafolio inicial puede incluir un dataset ficticio de 100 filas, lista de validación, limpieza con bitácora de cambios, detección de duplicados, ejercicio de nomenclatura/indexación, log de control de OCR con documentos propios/públicos, esquema simple de base de datos, procedimiento de escalamiento y lista de protección de registros confidenciales.</w:t>
      </w:r>
    </w:p>
    <w:p>
      <w:pPr>
        <w:pStyle w:val="BodyText"/>
      </w:pPr>
      <w:r>
        <w:t xml:space="preserve">Nunca use registros de un empleador o cliente sin autorización explícita.</w:t>
      </w:r>
    </w:p>
    <w:bookmarkEnd w:id="56"/>
    <w:bookmarkStart w:id="57" w:name="evidencia-para-el-currículum"/>
    <w:p>
      <w:pPr>
        <w:pStyle w:val="Heading2"/>
      </w:pPr>
      <w:r>
        <w:t xml:space="preserve">Evidencia para el currículum</w:t>
      </w:r>
    </w:p>
    <w:p>
      <w:pPr>
        <w:pStyle w:val="FirstParagraph"/>
      </w:pPr>
      <w:r>
        <w:t xml:space="preserve">Puede demostrar volumen real medido, precisión/retrabajo, reducción de backlog, digitalización, indexación, validación en hojas de cálculo, resolución de excepciones, recuperación de registros, controles de calidad y cumplimiento de privacidad/seguridad. No invente porcentajes ni volúmenes.</w:t>
      </w:r>
    </w:p>
    <w:bookmarkEnd w:id="57"/>
    <w:bookmarkStart w:id="58" w:name="preparación-para-entrevista"/>
    <w:p>
      <w:pPr>
        <w:pStyle w:val="Heading2"/>
      </w:pPr>
      <w:r>
        <w:t xml:space="preserve">Preparación para entrevista</w:t>
      </w:r>
    </w:p>
    <w:p>
      <w:pPr>
        <w:pStyle w:val="FirstParagraph"/>
      </w:pPr>
      <w:r>
        <w:t xml:space="preserve">Prepárese para explicar cómo previene errores, qué hace si la fuente parece equivocada, cómo protege información confidencial, cómo valida una importación masiva, cómo detecta duplicados, cómo organiza registros escaneados y cómo usa OCR o IA de forma segura.</w:t>
      </w:r>
    </w:p>
    <w:p>
      <w:pPr>
        <w:pStyle w:val="BodyText"/>
      </w:pPr>
      <w:r>
        <w:t xml:space="preserve">Una buena respuesta describe un proceso repetible y escalamiento, no “nunca cometo errores”.</w:t>
      </w:r>
    </w:p>
    <w:bookmarkEnd w:id="58"/>
    <w:bookmarkStart w:id="59" w:name="preguntas-para-el-empleador"/>
    <w:p>
      <w:pPr>
        <w:pStyle w:val="Heading2"/>
      </w:pPr>
      <w:r>
        <w:t xml:space="preserve">Preguntas para el empleador</w:t>
      </w:r>
    </w:p>
    <w:p>
      <w:pPr>
        <w:pStyle w:val="FirstParagraph"/>
      </w:pPr>
      <w:r>
        <w:t xml:space="preserve">Pregunte por sistema de registro autorizado, campos de doble verificación, flujo de correcciones, métricas, datos confidenciales, herramientas, controles de revisión, permisos de acceso, dueño de reglas de retención, capacitación, progresión y automatización/OCR existente.</w:t>
      </w:r>
    </w:p>
    <w:bookmarkEnd w:id="59"/>
    <w:bookmarkStart w:id="60" w:name="X63c38d3cf77ba22d7cb8dca2a110b7896743c4f"/>
    <w:p>
      <w:pPr>
        <w:pStyle w:val="Heading2"/>
      </w:pPr>
      <w:r>
        <w:t xml:space="preserve">Advertencia sobre estafas de “data entry” remoto</w:t>
      </w:r>
    </w:p>
    <w:p>
      <w:pPr>
        <w:pStyle w:val="FirstParagraph"/>
      </w:pPr>
      <w:r>
        <w:t xml:space="preserve">Señales de alerta: entrevista solo por texto en plataforma desconocida, correo de dominio parecido/gratuito, oferta inmediata con poca evaluación, pago inusualmente alto, cuotas por capacitación/equipo, cheque para comprar equipo a un proveedor indicado, tarjetas de regalo/cripto, mover dinero por su cuenta bancaria o entregar datos bancarios/identidad antes de un onboarding legítimo.</w:t>
      </w:r>
    </w:p>
    <w:p>
      <w:pPr>
        <w:pStyle w:val="BodyText"/>
      </w:pPr>
      <w:r>
        <w:t xml:space="preserve">Verifique el empleador mediante su sitio oficial e información de contacto independiente. No pague a un reclutador para recibir un empleo.</w:t>
      </w:r>
    </w:p>
    <w:bookmarkEnd w:id="60"/>
    <w:bookmarkStart w:id="64" w:name="primeros-30-días"/>
    <w:p>
      <w:pPr>
        <w:pStyle w:val="Heading2"/>
      </w:pPr>
      <w:r>
        <w:t xml:space="preserve">Primeros 30 días</w:t>
      </w:r>
    </w:p>
    <w:bookmarkStart w:id="61" w:name="días-15"/>
    <w:p>
      <w:pPr>
        <w:pStyle w:val="Heading3"/>
      </w:pPr>
      <w:r>
        <w:t xml:space="preserve">Días 1–5</w:t>
      </w:r>
    </w:p>
    <w:p>
      <w:pPr>
        <w:numPr>
          <w:ilvl w:val="0"/>
          <w:numId w:val="1012"/>
        </w:numPr>
        <w:pStyle w:val="Compact"/>
      </w:pPr>
      <w:r>
        <w:t xml:space="preserve">aprender clasificaciones y confidencialidad;</w:t>
      </w:r>
    </w:p>
    <w:p>
      <w:pPr>
        <w:numPr>
          <w:ilvl w:val="0"/>
          <w:numId w:val="1012"/>
        </w:numPr>
        <w:pStyle w:val="Compact"/>
      </w:pPr>
      <w:r>
        <w:t xml:space="preserve">identificar fuentes/sistemas autorizados;</w:t>
      </w:r>
    </w:p>
    <w:p>
      <w:pPr>
        <w:numPr>
          <w:ilvl w:val="0"/>
          <w:numId w:val="1012"/>
        </w:numPr>
        <w:pStyle w:val="Compact"/>
      </w:pPr>
      <w:r>
        <w:t xml:space="preserve">aprender corrección/escalamiento;</w:t>
      </w:r>
    </w:p>
    <w:p>
      <w:pPr>
        <w:numPr>
          <w:ilvl w:val="0"/>
          <w:numId w:val="1012"/>
        </w:numPr>
        <w:pStyle w:val="Compact"/>
      </w:pPr>
      <w:r>
        <w:t xml:space="preserve">aprender nomenclatura/indexación;</w:t>
      </w:r>
    </w:p>
    <w:p>
      <w:pPr>
        <w:numPr>
          <w:ilvl w:val="0"/>
          <w:numId w:val="1012"/>
        </w:numPr>
        <w:pStyle w:val="Compact"/>
      </w:pPr>
      <w:r>
        <w:t xml:space="preserve">entender métricas y reglas de acceso.</w:t>
      </w:r>
    </w:p>
    <w:bookmarkEnd w:id="61"/>
    <w:bookmarkStart w:id="62" w:name="días-615"/>
    <w:p>
      <w:pPr>
        <w:pStyle w:val="Heading3"/>
      </w:pPr>
      <w:r>
        <w:t xml:space="preserve">Días 6–15</w:t>
      </w:r>
    </w:p>
    <w:p>
      <w:pPr>
        <w:numPr>
          <w:ilvl w:val="0"/>
          <w:numId w:val="1013"/>
        </w:numPr>
        <w:pStyle w:val="Compact"/>
      </w:pPr>
      <w:r>
        <w:t xml:space="preserve">procesar lotes supervisados;</w:t>
      </w:r>
    </w:p>
    <w:p>
      <w:pPr>
        <w:numPr>
          <w:ilvl w:val="0"/>
          <w:numId w:val="1013"/>
        </w:numPr>
        <w:pStyle w:val="Compact"/>
      </w:pPr>
      <w:r>
        <w:t xml:space="preserve">mantener log de excepciones;</w:t>
      </w:r>
    </w:p>
    <w:p>
      <w:pPr>
        <w:numPr>
          <w:ilvl w:val="0"/>
          <w:numId w:val="1013"/>
        </w:numPr>
        <w:pStyle w:val="Compact"/>
      </w:pPr>
      <w:r>
        <w:t xml:space="preserve">practicar verificación fuente–registro;</w:t>
      </w:r>
    </w:p>
    <w:p>
      <w:pPr>
        <w:numPr>
          <w:ilvl w:val="0"/>
          <w:numId w:val="1013"/>
        </w:numPr>
        <w:pStyle w:val="Compact"/>
      </w:pPr>
      <w:r>
        <w:t xml:space="preserve">aprender controles de duplicados/campos faltantes;</w:t>
      </w:r>
    </w:p>
    <w:p>
      <w:pPr>
        <w:numPr>
          <w:ilvl w:val="0"/>
          <w:numId w:val="1013"/>
        </w:numPr>
        <w:pStyle w:val="Compact"/>
      </w:pPr>
      <w:r>
        <w:t xml:space="preserve">revisar calidad de escaneo/OCR y recuperación.</w:t>
      </w:r>
    </w:p>
    <w:bookmarkEnd w:id="62"/>
    <w:bookmarkStart w:id="63" w:name="días-1630"/>
    <w:p>
      <w:pPr>
        <w:pStyle w:val="Heading3"/>
      </w:pPr>
      <w:r>
        <w:t xml:space="preserve">Días 16–30</w:t>
      </w:r>
    </w:p>
    <w:p>
      <w:pPr>
        <w:numPr>
          <w:ilvl w:val="0"/>
          <w:numId w:val="1014"/>
        </w:numPr>
        <w:pStyle w:val="Compact"/>
      </w:pPr>
      <w:r>
        <w:t xml:space="preserve">aumentar productividad sin debilitar precisión;</w:t>
      </w:r>
    </w:p>
    <w:p>
      <w:pPr>
        <w:numPr>
          <w:ilvl w:val="0"/>
          <w:numId w:val="1014"/>
        </w:numPr>
        <w:pStyle w:val="Compact"/>
      </w:pPr>
      <w:r>
        <w:t xml:space="preserve">identificar patrones de error;</w:t>
      </w:r>
    </w:p>
    <w:p>
      <w:pPr>
        <w:numPr>
          <w:ilvl w:val="0"/>
          <w:numId w:val="1014"/>
        </w:numPr>
        <w:pStyle w:val="Compact"/>
      </w:pPr>
      <w:r>
        <w:t xml:space="preserve">crear atajos/plantillas aprobados;</w:t>
      </w:r>
    </w:p>
    <w:p>
      <w:pPr>
        <w:numPr>
          <w:ilvl w:val="0"/>
          <w:numId w:val="1014"/>
        </w:numPr>
        <w:pStyle w:val="Compact"/>
      </w:pPr>
      <w:r>
        <w:t xml:space="preserve">aprender una habilidad adyacente: Excel, bases, control documental o indexación;</w:t>
      </w:r>
    </w:p>
    <w:p>
      <w:pPr>
        <w:numPr>
          <w:ilvl w:val="0"/>
          <w:numId w:val="1014"/>
        </w:numPr>
        <w:pStyle w:val="Compact"/>
      </w:pPr>
      <w:r>
        <w:t xml:space="preserve">pedir retroalimentación con métricas reales.</w:t>
      </w:r>
    </w:p>
    <w:bookmarkEnd w:id="63"/>
    <w:bookmarkEnd w:id="64"/>
    <w:bookmarkStart w:id="65" w:name="plan-de-90-días"/>
    <w:p>
      <w:pPr>
        <w:pStyle w:val="Heading2"/>
      </w:pPr>
      <w:r>
        <w:t xml:space="preserve">Plan de 90 días</w:t>
      </w:r>
    </w:p>
    <w:p>
      <w:pPr>
        <w:pStyle w:val="FirstParagraph"/>
      </w:pPr>
      <w:r>
        <w:rPr>
          <w:bCs/>
          <w:b/>
        </w:rPr>
        <w:t xml:space="preserve">Mes 1:</w:t>
      </w:r>
      <w:r>
        <w:t xml:space="preserve"> </w:t>
      </w:r>
      <w:r>
        <w:t xml:space="preserve">precisión, herramientas de oficina, archivos, verificación y seguridad.</w:t>
      </w:r>
      <w:r>
        <w:br/>
      </w:r>
      <w:r>
        <w:rPr>
          <w:bCs/>
          <w:b/>
        </w:rPr>
        <w:t xml:space="preserve">Mes 2:</w:t>
      </w:r>
      <w:r>
        <w:t xml:space="preserve"> </w:t>
      </w:r>
      <w:r>
        <w:t xml:space="preserve">bases de datos, OCR, importación/exportación, índices, metadatos, ciclo de registros y acceso.</w:t>
      </w:r>
      <w:r>
        <w:br/>
      </w:r>
      <w:r>
        <w:rPr>
          <w:bCs/>
          <w:b/>
        </w:rPr>
        <w:t xml:space="preserve">Mes 3:</w:t>
      </w:r>
      <w:r>
        <w:t xml:space="preserve"> </w:t>
      </w:r>
      <w:r>
        <w:t xml:space="preserve">especializarse en Excel avanzado/limpieza, control documental, registros/archivo, información de salud, calidad/datos, soporte CRM/ERP o reporting.</w:t>
      </w:r>
    </w:p>
    <w:bookmarkEnd w:id="65"/>
    <w:bookmarkStart w:id="66" w:name="lista-práctica-de-ingreso-de-datos"/>
    <w:p>
      <w:pPr>
        <w:pStyle w:val="Heading2"/>
      </w:pPr>
      <w:r>
        <w:t xml:space="preserve">Lista práctica de ingreso de datos</w:t>
      </w:r>
    </w:p>
    <w:p>
      <w:pPr>
        <w:pStyle w:val="FirstParagraph"/>
      </w:pPr>
      <w:r>
        <w:t xml:space="preserve">Antes:</w:t>
      </w:r>
    </w:p>
    <w:p>
      <w:pPr>
        <w:numPr>
          <w:ilvl w:val="0"/>
          <w:numId w:val="1015"/>
        </w:numPr>
        <w:pStyle w:val="Compact"/>
      </w:pPr>
      <w:r>
        <w:t xml:space="preserve">☐ Fuente e identidad correctas.</w:t>
      </w:r>
    </w:p>
    <w:p>
      <w:pPr>
        <w:numPr>
          <w:ilvl w:val="0"/>
          <w:numId w:val="1015"/>
        </w:numPr>
        <w:pStyle w:val="Compact"/>
      </w:pPr>
      <w:r>
        <w:t xml:space="preserve">☐ Páginas/campos obligatorios presentes.</w:t>
      </w:r>
    </w:p>
    <w:p>
      <w:pPr>
        <w:numPr>
          <w:ilvl w:val="0"/>
          <w:numId w:val="1015"/>
        </w:numPr>
        <w:pStyle w:val="Compact"/>
      </w:pPr>
      <w:r>
        <w:t xml:space="preserve">☐ Sistema/plantilla correcta.</w:t>
      </w:r>
    </w:p>
    <w:p>
      <w:pPr>
        <w:numPr>
          <w:ilvl w:val="0"/>
          <w:numId w:val="1015"/>
        </w:numPr>
        <w:pStyle w:val="Compact"/>
      </w:pPr>
      <w:r>
        <w:t xml:space="preserve">☐ Sensibilidad entendida.</w:t>
      </w:r>
    </w:p>
    <w:p>
      <w:pPr>
        <w:pStyle w:val="FirstParagraph"/>
      </w:pPr>
      <w:r>
        <w:t xml:space="preserve">Durante:</w:t>
      </w:r>
    </w:p>
    <w:p>
      <w:pPr>
        <w:numPr>
          <w:ilvl w:val="0"/>
          <w:numId w:val="1016"/>
        </w:numPr>
        <w:pStyle w:val="Compact"/>
      </w:pPr>
      <w:r>
        <w:t xml:space="preserve">☐ No adivinar valores dudosos.</w:t>
      </w:r>
    </w:p>
    <w:p>
      <w:pPr>
        <w:numPr>
          <w:ilvl w:val="0"/>
          <w:numId w:val="1016"/>
        </w:numPr>
        <w:pStyle w:val="Compact"/>
      </w:pPr>
      <w:r>
        <w:t xml:space="preserve">☐ Formatos/códigos aprobados.</w:t>
      </w:r>
    </w:p>
    <w:p>
      <w:pPr>
        <w:numPr>
          <w:ilvl w:val="0"/>
          <w:numId w:val="1016"/>
        </w:numPr>
        <w:pStyle w:val="Compact"/>
      </w:pPr>
      <w:r>
        <w:t xml:space="preserve">☐ Campos críticos revisados.</w:t>
      </w:r>
    </w:p>
    <w:p>
      <w:pPr>
        <w:numPr>
          <w:ilvl w:val="0"/>
          <w:numId w:val="1016"/>
        </w:numPr>
        <w:pStyle w:val="Compact"/>
      </w:pPr>
      <w:r>
        <w:t xml:space="preserve">☐ Excepciones registradas.</w:t>
      </w:r>
    </w:p>
    <w:p>
      <w:pPr>
        <w:pStyle w:val="FirstParagraph"/>
      </w:pPr>
      <w:r>
        <w:t xml:space="preserve">Antes de completar:</w:t>
      </w:r>
    </w:p>
    <w:p>
      <w:pPr>
        <w:numPr>
          <w:ilvl w:val="0"/>
          <w:numId w:val="1017"/>
        </w:numPr>
        <w:pStyle w:val="Compact"/>
      </w:pPr>
      <w:r>
        <w:t xml:space="preserve">☐ Campos requeridos validados.</w:t>
      </w:r>
    </w:p>
    <w:p>
      <w:pPr>
        <w:numPr>
          <w:ilvl w:val="0"/>
          <w:numId w:val="1017"/>
        </w:numPr>
        <w:pStyle w:val="Compact"/>
      </w:pPr>
      <w:r>
        <w:t xml:space="preserve">☐ Comparación con fuente realizada.</w:t>
      </w:r>
    </w:p>
    <w:p>
      <w:pPr>
        <w:numPr>
          <w:ilvl w:val="0"/>
          <w:numId w:val="1017"/>
        </w:numPr>
        <w:pStyle w:val="Compact"/>
      </w:pPr>
      <w:r>
        <w:t xml:space="preserve">☐ Totales/conteos reconciliados donde aplique.</w:t>
      </w:r>
    </w:p>
    <w:p>
      <w:pPr>
        <w:numPr>
          <w:ilvl w:val="0"/>
          <w:numId w:val="1017"/>
        </w:numPr>
        <w:pStyle w:val="Compact"/>
      </w:pPr>
      <w:r>
        <w:t xml:space="preserve">☐ Registro/versión correcta guardada.</w:t>
      </w:r>
    </w:p>
    <w:p>
      <w:pPr>
        <w:numPr>
          <w:ilvl w:val="0"/>
          <w:numId w:val="1017"/>
        </w:numPr>
        <w:pStyle w:val="Compact"/>
      </w:pPr>
      <w:r>
        <w:t xml:space="preserve">☐ Log/estado actualizado.</w:t>
      </w:r>
    </w:p>
    <w:bookmarkEnd w:id="66"/>
    <w:bookmarkStart w:id="67" w:name="lista-práctica-de-registros"/>
    <w:p>
      <w:pPr>
        <w:pStyle w:val="Heading2"/>
      </w:pPr>
      <w:r>
        <w:t xml:space="preserve">Lista práctica de registros</w:t>
      </w:r>
    </w:p>
    <w:p>
      <w:pPr>
        <w:numPr>
          <w:ilvl w:val="0"/>
          <w:numId w:val="1018"/>
        </w:numPr>
        <w:pStyle w:val="Compact"/>
      </w:pPr>
      <w:r>
        <w:t xml:space="preserve">☐ Clasificación/índice correcto.</w:t>
      </w:r>
    </w:p>
    <w:p>
      <w:pPr>
        <w:numPr>
          <w:ilvl w:val="0"/>
          <w:numId w:val="1018"/>
        </w:numPr>
        <w:pStyle w:val="Compact"/>
      </w:pPr>
      <w:r>
        <w:t xml:space="preserve">☐ Nombre/metadatos correctos.</w:t>
      </w:r>
    </w:p>
    <w:p>
      <w:pPr>
        <w:numPr>
          <w:ilvl w:val="0"/>
          <w:numId w:val="1018"/>
        </w:numPr>
        <w:pStyle w:val="Compact"/>
      </w:pPr>
      <w:r>
        <w:t xml:space="preserve">☐ Repositorio autorizado.</w:t>
      </w:r>
    </w:p>
    <w:p>
      <w:pPr>
        <w:numPr>
          <w:ilvl w:val="0"/>
          <w:numId w:val="1018"/>
        </w:numPr>
        <w:pStyle w:val="Compact"/>
      </w:pPr>
      <w:r>
        <w:t xml:space="preserve">☐ Nivel de acceso apropiado.</w:t>
      </w:r>
    </w:p>
    <w:p>
      <w:pPr>
        <w:numPr>
          <w:ilvl w:val="0"/>
          <w:numId w:val="1018"/>
        </w:numPr>
        <w:pStyle w:val="Compact"/>
      </w:pPr>
      <w:r>
        <w:t xml:space="preserve">☐ Versión/estado claros.</w:t>
      </w:r>
    </w:p>
    <w:p>
      <w:pPr>
        <w:numPr>
          <w:ilvl w:val="0"/>
          <w:numId w:val="1018"/>
        </w:numPr>
        <w:pStyle w:val="Compact"/>
      </w:pPr>
      <w:r>
        <w:t xml:space="preserve">☐ Destinatario verificado.</w:t>
      </w:r>
    </w:p>
    <w:p>
      <w:pPr>
        <w:numPr>
          <w:ilvl w:val="0"/>
          <w:numId w:val="1018"/>
        </w:numPr>
        <w:pStyle w:val="Compact"/>
      </w:pPr>
      <w:r>
        <w:t xml:space="preserve">☐ Retención/disposición proviene de política aprobada.</w:t>
      </w:r>
    </w:p>
    <w:p>
      <w:pPr>
        <w:numPr>
          <w:ilvl w:val="0"/>
          <w:numId w:val="1018"/>
        </w:numPr>
        <w:pStyle w:val="Compact"/>
      </w:pPr>
      <w:r>
        <w:t xml:space="preserve">☐ Ningún dato confidencial copiado a sistema no autorizado.</w:t>
      </w:r>
    </w:p>
    <w:bookmarkEnd w:id="67"/>
    <w:bookmarkStart w:id="68" w:name="lista-práctica-de-ocrimportación"/>
    <w:p>
      <w:pPr>
        <w:pStyle w:val="Heading2"/>
      </w:pPr>
      <w:r>
        <w:t xml:space="preserve">Lista práctica de OCR/importación</w:t>
      </w:r>
    </w:p>
    <w:p>
      <w:pPr>
        <w:numPr>
          <w:ilvl w:val="0"/>
          <w:numId w:val="1019"/>
        </w:numPr>
        <w:pStyle w:val="Compact"/>
      </w:pPr>
      <w:r>
        <w:t xml:space="preserve">☐ Mapeo de campos probado.</w:t>
      </w:r>
    </w:p>
    <w:p>
      <w:pPr>
        <w:numPr>
          <w:ilvl w:val="0"/>
          <w:numId w:val="1019"/>
        </w:numPr>
        <w:pStyle w:val="Compact"/>
      </w:pPr>
      <w:r>
        <w:t xml:space="preserve">☐ Conteo de páginas/filas reconciliado.</w:t>
      </w:r>
    </w:p>
    <w:p>
      <w:pPr>
        <w:numPr>
          <w:ilvl w:val="0"/>
          <w:numId w:val="1019"/>
        </w:numPr>
        <w:pStyle w:val="Compact"/>
      </w:pPr>
      <w:r>
        <w:t xml:space="preserve">☐ Excepciones OCR revisadas.</w:t>
      </w:r>
    </w:p>
    <w:p>
      <w:pPr>
        <w:numPr>
          <w:ilvl w:val="0"/>
          <w:numId w:val="1019"/>
        </w:numPr>
        <w:pStyle w:val="Compact"/>
      </w:pPr>
      <w:r>
        <w:t xml:space="preserve">☐ Identificadores críticos comparados con fuente.</w:t>
      </w:r>
    </w:p>
    <w:p>
      <w:pPr>
        <w:numPr>
          <w:ilvl w:val="0"/>
          <w:numId w:val="1019"/>
        </w:numPr>
        <w:pStyle w:val="Compact"/>
      </w:pPr>
      <w:r>
        <w:t xml:space="preserve">☐ Duplicados revisados.</w:t>
      </w:r>
    </w:p>
    <w:p>
      <w:pPr>
        <w:numPr>
          <w:ilvl w:val="0"/>
          <w:numId w:val="1019"/>
        </w:numPr>
        <w:pStyle w:val="Compact"/>
      </w:pPr>
      <w:r>
        <w:t xml:space="preserve">☐ Filas fallidas/rechazadas revisadas.</w:t>
      </w:r>
    </w:p>
    <w:p>
      <w:pPr>
        <w:numPr>
          <w:ilvl w:val="0"/>
          <w:numId w:val="1019"/>
        </w:numPr>
        <w:pStyle w:val="Compact"/>
      </w:pPr>
      <w:r>
        <w:t xml:space="preserve">☐ Ambiente prueba/producción confirmado.</w:t>
      </w:r>
    </w:p>
    <w:p>
      <w:pPr>
        <w:numPr>
          <w:ilvl w:val="0"/>
          <w:numId w:val="1019"/>
        </w:numPr>
        <w:pStyle w:val="Compact"/>
      </w:pPr>
      <w:r>
        <w:t xml:space="preserve">☐ Evidencia de auditoría conservada según procedimiento.</w:t>
      </w:r>
    </w:p>
    <w:bookmarkEnd w:id="68"/>
    <w:bookmarkStart w:id="90" w:name="Xe7271093d7cea6000477b0cc60517aeffe3fbce"/>
    <w:p>
      <w:pPr>
        <w:pStyle w:val="Heading2"/>
      </w:pPr>
      <w:r>
        <w:t xml:space="preserve">Fuentes para verificar antes de decisiones importantes</w:t>
      </w:r>
    </w:p>
    <w:p>
      <w:pPr>
        <w:numPr>
          <w:ilvl w:val="0"/>
          <w:numId w:val="1020"/>
        </w:numPr>
        <w:pStyle w:val="Compact"/>
      </w:pPr>
      <w:r>
        <w:t xml:space="preserve">O*NET Data Entry Keyers:</w:t>
      </w:r>
      <w:r>
        <w:t xml:space="preserve"> </w:t>
      </w:r>
      <w:hyperlink r:id="rId69">
        <w:hyperlink r:id="rId69">
          <w:r>
            <w:rPr>
              <w:rStyle w:val="Hyperlink"/>
            </w:rPr>
            <w:t xml:space="preserve">Source link</w:t>
          </w:r>
        </w:hyperlink>
      </w:hyperlink>
    </w:p>
    <w:p>
      <w:pPr>
        <w:numPr>
          <w:ilvl w:val="0"/>
          <w:numId w:val="1020"/>
        </w:numPr>
        <w:pStyle w:val="Compact"/>
      </w:pPr>
      <w:r>
        <w:t xml:space="preserve">O*NET resumen:</w:t>
      </w:r>
      <w:r>
        <w:t xml:space="preserve"> </w:t>
      </w:r>
      <w:hyperlink r:id="rId70">
        <w:hyperlink r:id="rId70">
          <w:r>
            <w:rPr>
              <w:rStyle w:val="Hyperlink"/>
            </w:rPr>
            <w:t xml:space="preserve">Source link</w:t>
          </w:r>
        </w:hyperlink>
      </w:hyperlink>
    </w:p>
    <w:p>
      <w:pPr>
        <w:numPr>
          <w:ilvl w:val="0"/>
          <w:numId w:val="1020"/>
        </w:numPr>
        <w:pStyle w:val="Compact"/>
      </w:pPr>
      <w:r>
        <w:t xml:space="preserve">O*NET/BLS salarios:</w:t>
      </w:r>
      <w:r>
        <w:t xml:space="preserve"> </w:t>
      </w:r>
      <w:hyperlink r:id="rId71">
        <w:hyperlink r:id="rId71">
          <w:r>
            <w:rPr>
              <w:rStyle w:val="Hyperlink"/>
            </w:rPr>
            <w:t xml:space="preserve">Source link</w:t>
          </w:r>
        </w:hyperlink>
      </w:hyperlink>
    </w:p>
    <w:p>
      <w:pPr>
        <w:numPr>
          <w:ilvl w:val="0"/>
          <w:numId w:val="1020"/>
        </w:numPr>
        <w:pStyle w:val="Compact"/>
      </w:pPr>
      <w:r>
        <w:t xml:space="preserve">O*NET tendencias:</w:t>
      </w:r>
      <w:r>
        <w:t xml:space="preserve"> </w:t>
      </w:r>
      <w:hyperlink r:id="rId72">
        <w:hyperlink r:id="rId72">
          <w:r>
            <w:rPr>
              <w:rStyle w:val="Hyperlink"/>
            </w:rPr>
            <w:t xml:space="preserve">Source link</w:t>
          </w:r>
        </w:hyperlink>
      </w:hyperlink>
    </w:p>
    <w:p>
      <w:pPr>
        <w:numPr>
          <w:ilvl w:val="0"/>
          <w:numId w:val="1020"/>
        </w:numPr>
        <w:pStyle w:val="Compact"/>
      </w:pPr>
      <w:r>
        <w:t xml:space="preserve">O*NET software demandado:</w:t>
      </w:r>
      <w:r>
        <w:t xml:space="preserve"> </w:t>
      </w:r>
      <w:hyperlink r:id="rId73">
        <w:hyperlink r:id="rId73">
          <w:r>
            <w:rPr>
              <w:rStyle w:val="Hyperlink"/>
            </w:rPr>
            <w:t xml:space="preserve">Source link</w:t>
          </w:r>
        </w:hyperlink>
      </w:hyperlink>
    </w:p>
    <w:p>
      <w:pPr>
        <w:numPr>
          <w:ilvl w:val="0"/>
          <w:numId w:val="1020"/>
        </w:numPr>
        <w:pStyle w:val="Compact"/>
      </w:pPr>
      <w:r>
        <w:t xml:space="preserve">CareerOneStop WIOA:</w:t>
      </w:r>
      <w:r>
        <w:t xml:space="preserve"> </w:t>
      </w:r>
      <w:hyperlink r:id="rId74">
        <w:hyperlink r:id="rId74">
          <w:r>
            <w:rPr>
              <w:rStyle w:val="Hyperlink"/>
            </w:rPr>
            <w:t xml:space="preserve">Source link</w:t>
          </w:r>
        </w:hyperlink>
      </w:hyperlink>
    </w:p>
    <w:p>
      <w:pPr>
        <w:numPr>
          <w:ilvl w:val="0"/>
          <w:numId w:val="1020"/>
        </w:numPr>
        <w:pStyle w:val="Compact"/>
      </w:pPr>
      <w:r>
        <w:t xml:space="preserve">Canada Job Bank resumen:</w:t>
      </w:r>
      <w:r>
        <w:t xml:space="preserve"> </w:t>
      </w:r>
      <w:hyperlink r:id="rId75">
        <w:hyperlink r:id="rId75">
          <w:r>
            <w:rPr>
              <w:rStyle w:val="Hyperlink"/>
            </w:rPr>
            <w:t xml:space="preserve">Source link</w:t>
          </w:r>
        </w:hyperlink>
      </w:hyperlink>
    </w:p>
    <w:p>
      <w:pPr>
        <w:numPr>
          <w:ilvl w:val="0"/>
          <w:numId w:val="1020"/>
        </w:numPr>
        <w:pStyle w:val="Compact"/>
      </w:pPr>
      <w:r>
        <w:t xml:space="preserve">Canada Job Bank requisitos:</w:t>
      </w:r>
      <w:r>
        <w:t xml:space="preserve"> </w:t>
      </w:r>
      <w:hyperlink r:id="rId76">
        <w:hyperlink r:id="rId76">
          <w:r>
            <w:rPr>
              <w:rStyle w:val="Hyperlink"/>
            </w:rPr>
            <w:t xml:space="preserve">Source link</w:t>
          </w:r>
        </w:hyperlink>
      </w:hyperlink>
    </w:p>
    <w:p>
      <w:pPr>
        <w:numPr>
          <w:ilvl w:val="0"/>
          <w:numId w:val="1020"/>
        </w:numPr>
        <w:pStyle w:val="Compact"/>
      </w:pPr>
      <w:r>
        <w:t xml:space="preserve">Canada Job Bank salarios:</w:t>
      </w:r>
      <w:r>
        <w:t xml:space="preserve"> </w:t>
      </w:r>
      <w:hyperlink r:id="rId77">
        <w:hyperlink r:id="rId77">
          <w:r>
            <w:rPr>
              <w:rStyle w:val="Hyperlink"/>
            </w:rPr>
            <w:t xml:space="preserve">Source link</w:t>
          </w:r>
        </w:hyperlink>
      </w:hyperlink>
    </w:p>
    <w:p>
      <w:pPr>
        <w:numPr>
          <w:ilvl w:val="0"/>
          <w:numId w:val="1020"/>
        </w:numPr>
        <w:pStyle w:val="Compact"/>
      </w:pPr>
      <w:r>
        <w:t xml:space="preserve">Canada capacitación:</w:t>
      </w:r>
      <w:r>
        <w:t xml:space="preserve"> </w:t>
      </w:r>
      <w:hyperlink r:id="rId78">
        <w:hyperlink r:id="rId78">
          <w:r>
            <w:rPr>
              <w:rStyle w:val="Hyperlink"/>
            </w:rPr>
            <w:t xml:space="preserve">Source link</w:t>
          </w:r>
        </w:hyperlink>
      </w:hyperlink>
    </w:p>
    <w:p>
      <w:pPr>
        <w:numPr>
          <w:ilvl w:val="0"/>
          <w:numId w:val="1020"/>
        </w:numPr>
        <w:pStyle w:val="Compact"/>
      </w:pPr>
      <w:r>
        <w:t xml:space="preserve">OCUPACOL 41321:</w:t>
      </w:r>
      <w:r>
        <w:t xml:space="preserve"> </w:t>
      </w:r>
      <w:hyperlink r:id="rId79">
        <w:hyperlink r:id="rId79">
          <w:r>
            <w:rPr>
              <w:rStyle w:val="Hyperlink"/>
            </w:rPr>
            <w:t xml:space="preserve">Source link</w:t>
          </w:r>
        </w:hyperlink>
      </w:hyperlink>
    </w:p>
    <w:p>
      <w:pPr>
        <w:numPr>
          <w:ilvl w:val="0"/>
          <w:numId w:val="1020"/>
        </w:numPr>
        <w:pStyle w:val="Compact"/>
      </w:pPr>
      <w:r>
        <w:t xml:space="preserve">OCUPACOL 44150:</w:t>
      </w:r>
      <w:r>
        <w:t xml:space="preserve"> </w:t>
      </w:r>
      <w:hyperlink r:id="rId80">
        <w:hyperlink r:id="rId80">
          <w:r>
            <w:rPr>
              <w:rStyle w:val="Hyperlink"/>
            </w:rPr>
            <w:t xml:space="preserve">Source link</w:t>
          </w:r>
        </w:hyperlink>
      </w:hyperlink>
    </w:p>
    <w:p>
      <w:pPr>
        <w:numPr>
          <w:ilvl w:val="0"/>
          <w:numId w:val="1020"/>
        </w:numPr>
        <w:pStyle w:val="Compact"/>
      </w:pPr>
      <w:r>
        <w:t xml:space="preserve">Indeed Colombia Digitador/a:</w:t>
      </w:r>
      <w:r>
        <w:t xml:space="preserve"> </w:t>
      </w:r>
      <w:hyperlink r:id="rId81">
        <w:hyperlink r:id="rId81">
          <w:r>
            <w:rPr>
              <w:rStyle w:val="Hyperlink"/>
            </w:rPr>
            <w:t xml:space="preserve">Source link</w:t>
          </w:r>
        </w:hyperlink>
      </w:hyperlink>
    </w:p>
    <w:p>
      <w:pPr>
        <w:numPr>
          <w:ilvl w:val="0"/>
          <w:numId w:val="1020"/>
        </w:numPr>
        <w:pStyle w:val="Compact"/>
      </w:pPr>
      <w:r>
        <w:t xml:space="preserve">SENA Gestión documental:</w:t>
      </w:r>
      <w:r>
        <w:t xml:space="preserve"> </w:t>
      </w:r>
      <w:hyperlink r:id="rId82">
        <w:hyperlink r:id="rId82">
          <w:r>
            <w:rPr>
              <w:rStyle w:val="Hyperlink"/>
            </w:rPr>
            <w:t xml:space="preserve">Source link</w:t>
          </w:r>
        </w:hyperlink>
      </w:hyperlink>
    </w:p>
    <w:p>
      <w:pPr>
        <w:numPr>
          <w:ilvl w:val="0"/>
          <w:numId w:val="1020"/>
        </w:numPr>
        <w:pStyle w:val="Compact"/>
      </w:pPr>
      <w:r>
        <w:t xml:space="preserve">SENA bases de datos:</w:t>
      </w:r>
      <w:r>
        <w:t xml:space="preserve"> </w:t>
      </w:r>
      <w:hyperlink r:id="rId83">
        <w:hyperlink r:id="rId83">
          <w:r>
            <w:rPr>
              <w:rStyle w:val="Hyperlink"/>
            </w:rPr>
            <w:t xml:space="preserve">Source link</w:t>
          </w:r>
        </w:hyperlink>
      </w:hyperlink>
    </w:p>
    <w:p>
      <w:pPr>
        <w:numPr>
          <w:ilvl w:val="0"/>
          <w:numId w:val="1020"/>
        </w:numPr>
        <w:pStyle w:val="Compact"/>
      </w:pPr>
      <w:r>
        <w:t xml:space="preserve">SENA Excel/datos:</w:t>
      </w:r>
      <w:r>
        <w:t xml:space="preserve"> </w:t>
      </w:r>
      <w:hyperlink r:id="rId84">
        <w:hyperlink r:id="rId84">
          <w:r>
            <w:rPr>
              <w:rStyle w:val="Hyperlink"/>
            </w:rPr>
            <w:t xml:space="preserve">Source link</w:t>
          </w:r>
        </w:hyperlink>
      </w:hyperlink>
    </w:p>
    <w:p>
      <w:pPr>
        <w:numPr>
          <w:ilvl w:val="0"/>
          <w:numId w:val="1020"/>
        </w:numPr>
        <w:pStyle w:val="Compact"/>
      </w:pPr>
      <w:r>
        <w:t xml:space="preserve">OIT/Cinterfor:</w:t>
      </w:r>
      <w:r>
        <w:t xml:space="preserve"> </w:t>
      </w:r>
      <w:hyperlink r:id="rId85">
        <w:r>
          <w:rPr>
            <w:rStyle w:val="Hyperlink"/>
          </w:rPr>
          <w:t xml:space="preserve">https://www.oitcinterfor.org/statsfp/paises</w:t>
        </w:r>
      </w:hyperlink>
    </w:p>
    <w:p>
      <w:pPr>
        <w:numPr>
          <w:ilvl w:val="0"/>
          <w:numId w:val="1020"/>
        </w:numPr>
        <w:pStyle w:val="Compact"/>
      </w:pPr>
      <w:r>
        <w:t xml:space="preserve">CISA Secure Our World:</w:t>
      </w:r>
      <w:r>
        <w:t xml:space="preserve"> </w:t>
      </w:r>
      <w:hyperlink r:id="rId86">
        <w:r>
          <w:rPr>
            <w:rStyle w:val="Hyperlink"/>
          </w:rPr>
          <w:t xml:space="preserve">https://www.cisa.gov/secure-our-world</w:t>
        </w:r>
      </w:hyperlink>
    </w:p>
    <w:p>
      <w:pPr>
        <w:numPr>
          <w:ilvl w:val="0"/>
          <w:numId w:val="1020"/>
        </w:numPr>
        <w:pStyle w:val="Compact"/>
      </w:pPr>
      <w:r>
        <w:t xml:space="preserve">NIST AI RMF:</w:t>
      </w:r>
      <w:r>
        <w:t xml:space="preserve"> </w:t>
      </w:r>
      <w:hyperlink r:id="rId87">
        <w:hyperlink r:id="rId87">
          <w:r>
            <w:rPr>
              <w:rStyle w:val="Hyperlink"/>
            </w:rPr>
            <w:t xml:space="preserve">Source link</w:t>
          </w:r>
        </w:hyperlink>
      </w:hyperlink>
    </w:p>
    <w:p>
      <w:pPr>
        <w:numPr>
          <w:ilvl w:val="0"/>
          <w:numId w:val="1020"/>
        </w:numPr>
        <w:pStyle w:val="Compact"/>
      </w:pPr>
      <w:r>
        <w:t xml:space="preserve">NIST perfil de IA generativa:</w:t>
      </w:r>
      <w:r>
        <w:t xml:space="preserve"> </w:t>
      </w:r>
      <w:hyperlink r:id="rId88">
        <w:hyperlink r:id="rId88">
          <w:r>
            <w:rPr>
              <w:rStyle w:val="Hyperlink"/>
            </w:rPr>
            <w:t xml:space="preserve">Source link</w:t>
          </w:r>
        </w:hyperlink>
      </w:hyperlink>
    </w:p>
    <w:p>
      <w:pPr>
        <w:numPr>
          <w:ilvl w:val="0"/>
          <w:numId w:val="1020"/>
        </w:numPr>
        <w:pStyle w:val="Compact"/>
      </w:pPr>
      <w:r>
        <w:t xml:space="preserve">Section508.gov:</w:t>
      </w:r>
      <w:r>
        <w:t xml:space="preserve"> </w:t>
      </w:r>
      <w:hyperlink r:id="rId89">
        <w:r>
          <w:rPr>
            <w:rStyle w:val="Hyperlink"/>
          </w:rPr>
          <w:t xml:space="preserve">https://www.section508.gov/create/</w:t>
        </w:r>
      </w:hyperlink>
    </w:p>
    <w:bookmarkEnd w:id="90"/>
    <w:bookmarkStart w:id="91" w:name="límite-de-aseguramiento"/>
    <w:p>
      <w:pPr>
        <w:pStyle w:val="Heading2"/>
      </w:pPr>
      <w:r>
        <w:t xml:space="preserve">Límite de aseguramiento</w:t>
      </w:r>
    </w:p>
    <w:p>
      <w:pPr>
        <w:pStyle w:val="FirstParagraph"/>
      </w:pPr>
      <w:r>
        <w:t xml:space="preserve">Esta guía ofrece información educativa y de planificación profesional general. No es asesoría legal, de privacidad, retención de registros, ciberseguridad, contable, médica, laboral, migratoria, financiera ni regulatoria. No certifica gestión documental, accesibilidad, ciberseguridad ni calidad de traducción.</w:t>
      </w:r>
    </w:p>
    <w:p>
      <w:pPr>
        <w:pStyle w:val="BodyText"/>
      </w:pPr>
      <w:r>
        <w:t xml:space="preserve">No se garantiza empleo, ingreso, admisión, financiación, licencia, certificación ni promoción.</w:t>
      </w:r>
    </w:p>
    <w:bookmarkEnd w:id="91"/>
    <w:bookmarkStart w:id="92" w:name="autor-asistencia-de-ia-y-licencia"/>
    <w:p>
      <w:pPr>
        <w:pStyle w:val="Heading2"/>
      </w:pPr>
      <w:r>
        <w:t xml:space="preserve">Autor, asistencia de IA y licencia</w:t>
      </w:r>
    </w:p>
    <w:p>
      <w:pPr>
        <w:pStyle w:val="FirstParagraph"/>
      </w:pPr>
      <w:r>
        <w:t xml:space="preserve">Creada y dirigida por</w:t>
      </w:r>
      <w:r>
        <w:t xml:space="preserve"> </w:t>
      </w:r>
      <w:r>
        <w:rPr>
          <w:bCs/>
          <w:b/>
        </w:rPr>
        <w:t xml:space="preserve">Alberto “Al” Leiva</w:t>
      </w:r>
      <w:r>
        <w:t xml:space="preserve">. ChatGPT apoyó investigación de fuentes actuales, organización, edición, apoyo de traducción y preparación documental bajo dirección del autor. El autor mantiene la responsabilidad por las decisiones editoriales y de publicación.</w:t>
      </w:r>
    </w:p>
    <w:p>
      <w:pPr>
        <w:pStyle w:val="BodyText"/>
      </w:pPr>
      <w:r>
        <w:t xml:space="preserve">Salvo indicación distinta, este material se licencia bajo</w:t>
      </w:r>
      <w:r>
        <w:t xml:space="preserve"> </w:t>
      </w:r>
      <w:r>
        <w:rPr>
          <w:bCs/>
          <w:b/>
        </w:rPr>
        <w:t xml:space="preserve">CC BY-NC-SA 4.0</w:t>
      </w:r>
      <w:r>
        <w:t xml:space="preserve">.</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bases-de-datos-generalidades-y-sistemas-de-gestion?modality=V&amp;offertype=open&amp;programId=73885" TargetMode="External" /><Relationship Type="http://schemas.openxmlformats.org/officeDocument/2006/relationships/hyperlink" Id="rId82" Target="https://betowa.sena.edu.co/oferta/gestion-documental?location=57011001&amp;modality=P&amp;programId=120174" TargetMode="External" /><Relationship Type="http://schemas.openxmlformats.org/officeDocument/2006/relationships/hyperlink" Id="rId84" Target="https://betowa.sena.edu.co/oferta/manejo-de-datos-con-microsoft-excel-en-entornos-organizacionales?modality=V&amp;offertype=company&amp;programId=231589&amp;technology=1" TargetMode="External" /><Relationship Type="http://schemas.openxmlformats.org/officeDocument/2006/relationships/hyperlink" Id="rId81" Target="https://co.indeed.com/career/digitador/salaries" TargetMode="External" /><Relationship Type="http://schemas.openxmlformats.org/officeDocument/2006/relationships/hyperlink" Id="rId79" Target="https://ocupacol.mintrabajo.gov.co/Profile/OccupationalProfile/41321" TargetMode="External" /><Relationship Type="http://schemas.openxmlformats.org/officeDocument/2006/relationships/hyperlink" Id="rId80" Target="https://ocupacol.mintrabajo.gov.co/Profile/OccupationalProfile/44150" TargetMode="External" /><Relationship Type="http://schemas.openxmlformats.org/officeDocument/2006/relationships/hyperlink" Id="rId78"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6" Target="https://www.cisa.gov/secure-our-world" TargetMode="External" /><Relationship Type="http://schemas.openxmlformats.org/officeDocument/2006/relationships/hyperlink" Id="rId76" Target="https://www.jobbank.gc.ca/marketreport/requirements/17772/ca" TargetMode="External" /><Relationship Type="http://schemas.openxmlformats.org/officeDocument/2006/relationships/hyperlink" Id="rId75" Target="https://www.jobbank.gc.ca/marketreport/summary-occupation/19213/ca" TargetMode="External" /><Relationship Type="http://schemas.openxmlformats.org/officeDocument/2006/relationships/hyperlink" Id="rId77" Target="https://www.jobbank.gc.ca/wagereport/occupation/19213"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85" Target="https://www.oitcinterfor.org/statsfp/paises" TargetMode="External" /><Relationship Type="http://schemas.openxmlformats.org/officeDocument/2006/relationships/hyperlink" Id="rId73" Target="https://www.onetonline.org/link/demand/43-9021.00" TargetMode="External" /><Relationship Type="http://schemas.openxmlformats.org/officeDocument/2006/relationships/hyperlink" Id="rId69" Target="https://www.onetonline.org/link/details/43-9021.00" TargetMode="External" /><Relationship Type="http://schemas.openxmlformats.org/officeDocument/2006/relationships/hyperlink" Id="rId72" Target="https://www.onetonline.org/link/localtrends/43-9021.00" TargetMode="External" /><Relationship Type="http://schemas.openxmlformats.org/officeDocument/2006/relationships/hyperlink" Id="rId71" Target="https://www.onetonline.org/link/localwages/43-9021.00" TargetMode="External" /><Relationship Type="http://schemas.openxmlformats.org/officeDocument/2006/relationships/hyperlink" Id="rId70" Target="https://www.onetonline.org/link/summary/43-9021.00" TargetMode="External" /><Relationship Type="http://schemas.openxmlformats.org/officeDocument/2006/relationships/hyperlink" Id="rId89"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bases-de-datos-generalidades-y-sistemas-de-gestion?modality=V&amp;offertype=open&amp;programId=73885" TargetMode="External" /><Relationship Type="http://schemas.openxmlformats.org/officeDocument/2006/relationships/hyperlink" Id="rId82" Target="https://betowa.sena.edu.co/oferta/gestion-documental?location=57011001&amp;modality=P&amp;programId=120174" TargetMode="External" /><Relationship Type="http://schemas.openxmlformats.org/officeDocument/2006/relationships/hyperlink" Id="rId84" Target="https://betowa.sena.edu.co/oferta/manejo-de-datos-con-microsoft-excel-en-entornos-organizacionales?modality=V&amp;offertype=company&amp;programId=231589&amp;technology=1" TargetMode="External" /><Relationship Type="http://schemas.openxmlformats.org/officeDocument/2006/relationships/hyperlink" Id="rId81" Target="https://co.indeed.com/career/digitador/salaries" TargetMode="External" /><Relationship Type="http://schemas.openxmlformats.org/officeDocument/2006/relationships/hyperlink" Id="rId79" Target="https://ocupacol.mintrabajo.gov.co/Profile/OccupationalProfile/41321" TargetMode="External" /><Relationship Type="http://schemas.openxmlformats.org/officeDocument/2006/relationships/hyperlink" Id="rId80" Target="https://ocupacol.mintrabajo.gov.co/Profile/OccupationalProfile/44150" TargetMode="External" /><Relationship Type="http://schemas.openxmlformats.org/officeDocument/2006/relationships/hyperlink" Id="rId78"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6" Target="https://www.cisa.gov/secure-our-world" TargetMode="External" /><Relationship Type="http://schemas.openxmlformats.org/officeDocument/2006/relationships/hyperlink" Id="rId76" Target="https://www.jobbank.gc.ca/marketreport/requirements/17772/ca" TargetMode="External" /><Relationship Type="http://schemas.openxmlformats.org/officeDocument/2006/relationships/hyperlink" Id="rId75" Target="https://www.jobbank.gc.ca/marketreport/summary-occupation/19213/ca" TargetMode="External" /><Relationship Type="http://schemas.openxmlformats.org/officeDocument/2006/relationships/hyperlink" Id="rId77" Target="https://www.jobbank.gc.ca/wagereport/occupation/19213"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85" Target="https://www.oitcinterfor.org/statsfp/paises" TargetMode="External" /><Relationship Type="http://schemas.openxmlformats.org/officeDocument/2006/relationships/hyperlink" Id="rId73" Target="https://www.onetonline.org/link/demand/43-9021.00" TargetMode="External" /><Relationship Type="http://schemas.openxmlformats.org/officeDocument/2006/relationships/hyperlink" Id="rId69" Target="https://www.onetonline.org/link/details/43-9021.00" TargetMode="External" /><Relationship Type="http://schemas.openxmlformats.org/officeDocument/2006/relationships/hyperlink" Id="rId72" Target="https://www.onetonline.org/link/localtrends/43-9021.00" TargetMode="External" /><Relationship Type="http://schemas.openxmlformats.org/officeDocument/2006/relationships/hyperlink" Id="rId71" Target="https://www.onetonline.org/link/localwages/43-9021.00" TargetMode="External" /><Relationship Type="http://schemas.openxmlformats.org/officeDocument/2006/relationships/hyperlink" Id="rId70" Target="https://www.onetonline.org/link/summary/43-9021.00" TargetMode="External" /><Relationship Type="http://schemas.openxmlformats.org/officeDocument/2006/relationships/hyperlink" Id="rId89"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2026-08-22T02:49:52Z</dcterms:created>
  <dcterms:modified xsi:type="dcterms:W3CDTF">2026-08-22T02:49:52Z</dcterms:modified>
</cp:coreProperties>
</file>

<file path=docProps/custom.xml><?xml version="1.0" encoding="utf-8"?>
<Properties xmlns="http://schemas.openxmlformats.org/officeDocument/2006/custom-properties" xmlns:vt="http://schemas.openxmlformats.org/officeDocument/2006/docPropsVTypes"/>
</file>