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0fb247f20662a8bea65b0e4c1e9d9ac457616b1"/>
    <w:p>
      <w:pPr>
        <w:pStyle w:val="Heading1"/>
      </w:pPr>
      <w:r>
        <w:t xml:space="preserve">Guia de Oportunidades para Toda a Vida 82 — Técnico de suporte de computadores e help desk</w:t>
      </w:r>
    </w:p>
    <w:p>
      <w:pPr>
        <w:pStyle w:val="FirstParagraph"/>
      </w:pPr>
      <w:r>
        <w:rPr>
          <w:bCs/>
          <w:b/>
        </w:rPr>
        <w:t xml:space="preserve">Versão:</w:t>
      </w:r>
      <w:r>
        <w:t xml:space="preserve"> </w:t>
      </w:r>
      <w:r>
        <w:t xml:space="preserve">2.0, mestre de trabalho controlado</w:t>
      </w:r>
      <w:r>
        <w:br/>
      </w:r>
      <w:r>
        <w:rPr>
          <w:bCs/>
          <w:b/>
        </w:rPr>
        <w:t xml:space="preserve">Idioma:</w:t>
      </w:r>
      <w:r>
        <w:t xml:space="preserve"> </w:t>
      </w:r>
      <w:r>
        <w:t xml:space="preserve">português brasileiro (</w:t>
      </w:r>
      <w:r>
        <w:rPr>
          <w:rStyle w:val="VerbatimChar"/>
        </w:rPr>
        <w:t xml:space="preserve">pt-BR</w:t>
      </w:r>
      <w:r>
        <w:t xml:space="preserve">)</w:t>
      </w:r>
      <w:r>
        <w:br/>
      </w:r>
      <w:r>
        <w:rPr>
          <w:bCs/>
          <w:b/>
        </w:rPr>
        <w:t xml:space="preserve">Fonte inglesa congelada:</w:t>
      </w:r>
      <w:r>
        <w:t xml:space="preserve"> </w:t>
      </w:r>
      <w:r>
        <w:t xml:space="preserve">blob</w:t>
      </w:r>
      <w:r>
        <w:t xml:space="preserve"> </w:t>
      </w:r>
      <w:r>
        <w:rPr>
          <w:rStyle w:val="VerbatimChar"/>
        </w:rPr>
        <w:t xml:space="preserve">2310072e0cdc2fd48e4a37a57106b37bcf51bd84</w:t>
      </w:r>
      <w:r>
        <w:br/>
      </w:r>
      <w:r>
        <w:rPr>
          <w:bCs/>
          <w:b/>
        </w:rPr>
        <w:t xml:space="preserve">Referência principal dos EUA:</w:t>
      </w:r>
      <w:r>
        <w:t xml:space="preserve"> </w:t>
      </w:r>
      <w:r>
        <w:t xml:space="preserve">O*NET-SOC 15-1232.00 — Computer User Support Specialists</w:t>
      </w:r>
      <w:r>
        <w:br/>
      </w:r>
      <w:r>
        <w:rPr>
          <w:bCs/>
          <w:b/>
        </w:rPr>
        <w:t xml:space="preserve">Comparação do Canadá:</w:t>
      </w:r>
      <w:r>
        <w:t xml:space="preserve"> </w:t>
      </w:r>
      <w:r>
        <w:t xml:space="preserve">NOC 22221 — User support technicians</w:t>
      </w:r>
      <w:r>
        <w:br/>
      </w:r>
      <w:r>
        <w:rPr>
          <w:bCs/>
          <w:b/>
        </w:rPr>
        <w:t xml:space="preserve">Comparação da Colômbia:</w:t>
      </w:r>
      <w:r>
        <w:t xml:space="preserve"> </w:t>
      </w:r>
      <w:r>
        <w:t xml:space="preserve">CUOC 35121 — ocupações de suporte a usuários e help desk de TI</w:t>
      </w:r>
      <w:r>
        <w:br/>
      </w:r>
      <w:r>
        <w:rPr>
          <w:bCs/>
          <w:b/>
        </w:rPr>
        <w:t xml:space="preserve">Data de revisão:</w:t>
      </w:r>
      <w:r>
        <w:t xml:space="preserve"> </w:t>
      </w:r>
      <w:r>
        <w:t xml:space="preserve">2026-08-21</w:t>
      </w:r>
    </w:p>
    <w:bookmarkStart w:id="20" w:name="o-que-é-esta-carreira"/>
    <w:p>
      <w:pPr>
        <w:pStyle w:val="Heading2"/>
      </w:pPr>
      <w:r>
        <w:t xml:space="preserve">O que é esta carreira</w:t>
      </w:r>
    </w:p>
    <w:p>
      <w:pPr>
        <w:pStyle w:val="FirstParagraph"/>
      </w:pPr>
      <w:r>
        <w:t xml:space="preserve">Profissionais de suporte de computadores e help desk ajudam pessoas a usar tecnologia com segurança e produtividade. Eles diagnosticam problemas, explicam soluções, configuram dispositivos e aplicativos autorizados, restauram acesso dentro da autoridade atribuída, documentam o que ocorreu e escalam situações que exigem outro responsável técnico ou de negócio.</w:t>
      </w:r>
    </w:p>
    <w:p>
      <w:pPr>
        <w:pStyle w:val="BodyText"/>
      </w:pPr>
      <w:r>
        <w:t xml:space="preserve">O atendimento pode ocorrer em balcão, telefone, chat, e-mail, sistema de tickets, sessão remota ou presencialmente. Os títulos variam: técnico de help desk, analista de service desk, especialista de suporte de TI, técnico de suporte de desktop, especialista de suporte de computadores, suporte a usuários ou suporte técnico.</w:t>
      </w:r>
    </w:p>
    <w:p>
      <w:pPr>
        <w:pStyle w:val="BodyText"/>
      </w:pPr>
      <w:r>
        <w:t xml:space="preserve">Este guia usa</w:t>
      </w:r>
      <w:r>
        <w:t xml:space="preserve"> </w:t>
      </w:r>
      <w:r>
        <w:rPr>
          <w:bCs/>
          <w:b/>
        </w:rPr>
        <w:t xml:space="preserve">O*NET-SOC 15-1232.00 — Computer User Support Specialists</w:t>
      </w:r>
      <w:r>
        <w:t xml:space="preserve"> </w:t>
      </w:r>
      <w:r>
        <w:t xml:space="preserve">como principal referência dos Estados Unidos. O*NET descreve profissionais que respondem perguntas, investigam problemas de hardware/software, configuram equipamentos, fazem pequenos reparos, consultam documentação técnica e verificam o funcionamento dos sistemas. A ocupação está em</w:t>
      </w:r>
      <w:r>
        <w:t xml:space="preserve"> </w:t>
      </w:r>
      <w:r>
        <w:rPr>
          <w:bCs/>
          <w:b/>
        </w:rPr>
        <w:t xml:space="preserve">Job Zone Three — Medium Preparation Needed</w:t>
      </w:r>
      <w:r>
        <w:t xml:space="preserve">.</w:t>
      </w:r>
    </w:p>
    <w:p>
      <w:pPr>
        <w:pStyle w:val="BodyText"/>
      </w:pPr>
      <w:r>
        <w:t xml:space="preserve">Suporte não é apenas “consertar computadores”. Um bom atendimento protege identidade, acesso, dados, disponibilidade, confiança e continuidade operacional. Uma correção rápida que cria um risco de segurança, privacidade, acessibilidade ou controle de mudança não é uma boa correção.</w:t>
      </w:r>
    </w:p>
    <w:bookmarkEnd w:id="20"/>
    <w:bookmarkStart w:id="21" w:name="por-que-ainda-pode-ser-uma-oportunidade"/>
    <w:p>
      <w:pPr>
        <w:pStyle w:val="Heading2"/>
      </w:pPr>
      <w:r>
        <w:t xml:space="preserve">Por que ainda pode ser uma oportunidade</w:t>
      </w:r>
    </w:p>
    <w:p>
      <w:pPr>
        <w:pStyle w:val="FirstParagraph"/>
      </w:pPr>
      <w:r>
        <w:t xml:space="preserve">A projeção oficial dos Estados Unidos mostra redução do emprego total entre 2024 e 2034. Este guia não promete crescimento contínuo do trabalho básico e repetitivo de help desk. Mesmo assim, O*NET/BLS projeta</w:t>
      </w:r>
      <w:r>
        <w:t xml:space="preserve"> </w:t>
      </w:r>
      <w:r>
        <w:rPr>
          <w:bCs/>
          <w:b/>
        </w:rPr>
        <w:t xml:space="preserve">40,800 vagas anuais</w:t>
      </w:r>
      <w:r>
        <w:t xml:space="preserve"> </w:t>
      </w:r>
      <w:r>
        <w:t xml:space="preserve">no período, porque as vagas incluem substituições, não apenas crescimento líquido.</w:t>
      </w:r>
    </w:p>
    <w:p>
      <w:pPr>
        <w:pStyle w:val="BodyText"/>
      </w:pPr>
      <w:r>
        <w:t xml:space="preserve">A experiência também pode abrir caminho para:</w:t>
      </w:r>
    </w:p>
    <w:p>
      <w:pPr>
        <w:numPr>
          <w:ilvl w:val="0"/>
          <w:numId w:val="1001"/>
        </w:numPr>
        <w:pStyle w:val="Compact"/>
      </w:pPr>
      <w:r>
        <w:t xml:space="preserve">suporte de endpoints e desktop;</w:t>
      </w:r>
    </w:p>
    <w:p>
      <w:pPr>
        <w:numPr>
          <w:ilvl w:val="0"/>
          <w:numId w:val="1001"/>
        </w:numPr>
        <w:pStyle w:val="Compact"/>
      </w:pPr>
      <w:r>
        <w:t xml:space="preserve">suporte de redes;</w:t>
      </w:r>
    </w:p>
    <w:p>
      <w:pPr>
        <w:numPr>
          <w:ilvl w:val="0"/>
          <w:numId w:val="1001"/>
        </w:numPr>
        <w:pStyle w:val="Compact"/>
      </w:pPr>
      <w:r>
        <w:t xml:space="preserve">suporte em nuvem;</w:t>
      </w:r>
    </w:p>
    <w:p>
      <w:pPr>
        <w:numPr>
          <w:ilvl w:val="0"/>
          <w:numId w:val="1001"/>
        </w:numPr>
        <w:pStyle w:val="Compact"/>
      </w:pPr>
      <w:r>
        <w:t xml:space="preserve">identidade e gestão de acesso;</w:t>
      </w:r>
    </w:p>
    <w:p>
      <w:pPr>
        <w:numPr>
          <w:ilvl w:val="0"/>
          <w:numId w:val="1001"/>
        </w:numPr>
        <w:pStyle w:val="Compact"/>
      </w:pPr>
      <w:r>
        <w:t xml:space="preserve">cibersegurança;</w:t>
      </w:r>
    </w:p>
    <w:p>
      <w:pPr>
        <w:numPr>
          <w:ilvl w:val="0"/>
          <w:numId w:val="1001"/>
        </w:numPr>
        <w:pStyle w:val="Compact"/>
      </w:pPr>
      <w:r>
        <w:t xml:space="preserve">administração de sistemas;</w:t>
      </w:r>
    </w:p>
    <w:p>
      <w:pPr>
        <w:numPr>
          <w:ilvl w:val="0"/>
          <w:numId w:val="1001"/>
        </w:numPr>
        <w:pStyle w:val="Compact"/>
      </w:pPr>
      <w:r>
        <w:t xml:space="preserve">gestão de serviços de TI;</w:t>
      </w:r>
    </w:p>
    <w:p>
      <w:pPr>
        <w:numPr>
          <w:ilvl w:val="0"/>
          <w:numId w:val="1001"/>
        </w:numPr>
        <w:pStyle w:val="Compact"/>
      </w:pPr>
      <w:r>
        <w:t xml:space="preserve">suporte de aplicações;</w:t>
      </w:r>
    </w:p>
    <w:p>
      <w:pPr>
        <w:numPr>
          <w:ilvl w:val="0"/>
          <w:numId w:val="1001"/>
        </w:numPr>
        <w:pStyle w:val="Compact"/>
      </w:pPr>
      <w:r>
        <w:t xml:space="preserve">treinamento técnico.</w:t>
      </w:r>
    </w:p>
    <w:p>
      <w:pPr>
        <w:pStyle w:val="FirstParagraph"/>
      </w:pPr>
      <w:r>
        <w:t xml:space="preserve">Uma estratégia mais resistente à automação combina diagnóstico preciso, comunicação humana, verificação de identidade, remediação segura, documentação, contexto de dispositivos/aplicações, disciplina de escalonamento, acessibilidade, segurança e aprendizagem contínua.</w:t>
      </w:r>
    </w:p>
    <w:bookmarkEnd w:id="21"/>
    <w:bookmarkStart w:id="27" w:name="X243b083ed78064ee192b550ee0893f5569ce534"/>
    <w:p>
      <w:pPr>
        <w:pStyle w:val="Heading2"/>
      </w:pPr>
      <w:r>
        <w:t xml:space="preserve">Help desk, desktop, redes, administração e segurança são funções diferentes</w:t>
      </w:r>
    </w:p>
    <w:bookmarkStart w:id="22" w:name="help-desk-ou-service-desk"/>
    <w:p>
      <w:pPr>
        <w:pStyle w:val="Heading3"/>
      </w:pPr>
      <w:r>
        <w:t xml:space="preserve">Help desk ou service desk</w:t>
      </w:r>
    </w:p>
    <w:p>
      <w:pPr>
        <w:pStyle w:val="FirstParagraph"/>
      </w:pPr>
      <w:r>
        <w:t xml:space="preserve">Normalmente cobre triagem inicial, problemas comuns, fluxos de acesso autorizados, diagnósticos básicos, artigos de conhecimento, tickets, comunicação e escalonamento.</w:t>
      </w:r>
    </w:p>
    <w:bookmarkEnd w:id="22"/>
    <w:bookmarkStart w:id="23" w:name="suporte-de-desktop-ou-endpoint"/>
    <w:p>
      <w:pPr>
        <w:pStyle w:val="Heading3"/>
      </w:pPr>
      <w:r>
        <w:t xml:space="preserve">Suporte de desktop ou endpoint</w:t>
      </w:r>
    </w:p>
    <w:p>
      <w:pPr>
        <w:pStyle w:val="FirstParagraph"/>
      </w:pPr>
      <w:r>
        <w:t xml:space="preserve">Pode incluir implantação de estações, instalação de software aprovado, configuração de sistema operacional, periféricos, registro de dispositivos e suporte presencial/remoto mais profundo.</w:t>
      </w:r>
    </w:p>
    <w:bookmarkEnd w:id="23"/>
    <w:bookmarkStart w:id="24" w:name="suporte-de-redes"/>
    <w:p>
      <w:pPr>
        <w:pStyle w:val="Heading3"/>
      </w:pPr>
      <w:r>
        <w:t xml:space="preserve">Suporte de redes</w:t>
      </w:r>
    </w:p>
    <w:p>
      <w:pPr>
        <w:pStyle w:val="FirstParagraph"/>
      </w:pPr>
      <w:r>
        <w:t xml:space="preserve">Pode trabalhar com Wi-Fi, switches, VPN, DNS, DHCP, monitoramento e conectividade conforme a autoridade atribuída. O Guia 83 trata essa área separadamente.</w:t>
      </w:r>
    </w:p>
    <w:bookmarkEnd w:id="24"/>
    <w:bookmarkStart w:id="25" w:name="X06b84e56f1a565e62fd7eeda6a541cbc6356dcf"/>
    <w:p>
      <w:pPr>
        <w:pStyle w:val="Heading3"/>
      </w:pPr>
      <w:r>
        <w:t xml:space="preserve">Administração de sistemas, nuvem ou identidade</w:t>
      </w:r>
    </w:p>
    <w:p>
      <w:pPr>
        <w:pStyle w:val="FirstParagraph"/>
      </w:pPr>
      <w:r>
        <w:t xml:space="preserve">Pode manter privilégios sobre servidores, tenants de nuvem, diretórios, políticas ou aplicações corporativas. Conseguir abrir uma console não significa estar autorizado a mudar qualquer configuração.</w:t>
      </w:r>
    </w:p>
    <w:bookmarkEnd w:id="25"/>
    <w:bookmarkStart w:id="26" w:name="cibersegurança"/>
    <w:p>
      <w:pPr>
        <w:pStyle w:val="Heading3"/>
      </w:pPr>
      <w:r>
        <w:t xml:space="preserve">Cibersegurança</w:t>
      </w:r>
    </w:p>
    <w:p>
      <w:pPr>
        <w:pStyle w:val="FirstParagraph"/>
      </w:pPr>
      <w:r>
        <w:t xml:space="preserve">Equipes de segurança podem ser responsáveis por resposta a incidentes, investigação, arquitetura, política de acesso e exceções. O help desk pode detectar sinais iniciais, mas deve preservar evidências e escalar em vez de ultrapassar seu papel.</w:t>
      </w:r>
    </w:p>
    <w:bookmarkEnd w:id="26"/>
    <w:bookmarkEnd w:id="27"/>
    <w:bookmarkStart w:id="28" w:name="limites-de-autoridade-profissional"/>
    <w:p>
      <w:pPr>
        <w:pStyle w:val="Heading2"/>
      </w:pPr>
      <w:r>
        <w:t xml:space="preserve">Limites de autoridade profissional</w:t>
      </w:r>
    </w:p>
    <w:p>
      <w:pPr>
        <w:pStyle w:val="FirstParagraph"/>
      </w:pPr>
      <w:r>
        <w:t xml:space="preserve">Um cargo de suporte</w:t>
      </w:r>
      <w:r>
        <w:t xml:space="preserve"> </w:t>
      </w:r>
      <w:r>
        <w:rPr>
          <w:bCs/>
          <w:b/>
        </w:rPr>
        <w:t xml:space="preserve">não</w:t>
      </w:r>
      <w:r>
        <w:t xml:space="preserve"> </w:t>
      </w:r>
      <w:r>
        <w:t xml:space="preserve">autoriza automaticamente a pessoa a:</w:t>
      </w:r>
    </w:p>
    <w:p>
      <w:pPr>
        <w:numPr>
          <w:ilvl w:val="0"/>
          <w:numId w:val="1002"/>
        </w:numPr>
        <w:pStyle w:val="Compact"/>
      </w:pPr>
      <w:r>
        <w:t xml:space="preserve">redefinir/desbloquear conta sem a verificação de identidade exigida;</w:t>
      </w:r>
    </w:p>
    <w:p>
      <w:pPr>
        <w:numPr>
          <w:ilvl w:val="0"/>
          <w:numId w:val="1002"/>
        </w:numPr>
        <w:pStyle w:val="Compact"/>
      </w:pPr>
      <w:r>
        <w:t xml:space="preserve">contornar MFA;</w:t>
      </w:r>
    </w:p>
    <w:p>
      <w:pPr>
        <w:numPr>
          <w:ilvl w:val="0"/>
          <w:numId w:val="1002"/>
        </w:numPr>
        <w:pStyle w:val="Compact"/>
      </w:pPr>
      <w:r>
        <w:t xml:space="preserve">desativar proteção endpoint só para fazer um aplicativo funcionar;</w:t>
      </w:r>
    </w:p>
    <w:p>
      <w:pPr>
        <w:numPr>
          <w:ilvl w:val="0"/>
          <w:numId w:val="1002"/>
        </w:numPr>
        <w:pStyle w:val="Compact"/>
      </w:pPr>
      <w:r>
        <w:t xml:space="preserve">conceder privilégios locais, de domínio, nuvem, banco de dados ou aplicativo sem aprovação;</w:t>
      </w:r>
    </w:p>
    <w:p>
      <w:pPr>
        <w:numPr>
          <w:ilvl w:val="0"/>
          <w:numId w:val="1002"/>
        </w:numPr>
        <w:pStyle w:val="Compact"/>
      </w:pPr>
      <w:r>
        <w:t xml:space="preserve">alterar firewall, rede, identidade, segurança, retenção ou privacidade de forma independente;</w:t>
      </w:r>
    </w:p>
    <w:p>
      <w:pPr>
        <w:numPr>
          <w:ilvl w:val="0"/>
          <w:numId w:val="1002"/>
        </w:numPr>
        <w:pStyle w:val="Compact"/>
      </w:pPr>
      <w:r>
        <w:t xml:space="preserve">copiar arquivos do usuário para armazenamento pessoal;</w:t>
      </w:r>
    </w:p>
    <w:p>
      <w:pPr>
        <w:numPr>
          <w:ilvl w:val="0"/>
          <w:numId w:val="1002"/>
        </w:numPr>
        <w:pStyle w:val="Compact"/>
      </w:pPr>
      <w:r>
        <w:t xml:space="preserve">explorar informações não relacionadas porque há acesso técnico;</w:t>
      </w:r>
    </w:p>
    <w:p>
      <w:pPr>
        <w:numPr>
          <w:ilvl w:val="0"/>
          <w:numId w:val="1002"/>
        </w:numPr>
        <w:pStyle w:val="Compact"/>
      </w:pPr>
      <w:r>
        <w:t xml:space="preserve">pedir senha quando a política proíbe;</w:t>
      </w:r>
    </w:p>
    <w:p>
      <w:pPr>
        <w:numPr>
          <w:ilvl w:val="0"/>
          <w:numId w:val="1002"/>
        </w:numPr>
        <w:pStyle w:val="Compact"/>
      </w:pPr>
      <w:r>
        <w:t xml:space="preserve">armazenar senhas, tokens ou códigos de recuperação em tickets;</w:t>
      </w:r>
    </w:p>
    <w:p>
      <w:pPr>
        <w:numPr>
          <w:ilvl w:val="0"/>
          <w:numId w:val="1002"/>
        </w:numPr>
        <w:pStyle w:val="Compact"/>
      </w:pPr>
      <w:r>
        <w:t xml:space="preserve">usar ferramenta remota não aprovada;</w:t>
      </w:r>
    </w:p>
    <w:p>
      <w:pPr>
        <w:numPr>
          <w:ilvl w:val="0"/>
          <w:numId w:val="1002"/>
        </w:numPr>
        <w:pStyle w:val="Compact"/>
      </w:pPr>
      <w:r>
        <w:t xml:space="preserve">instalar software não autorizado ou sem licença;</w:t>
      </w:r>
    </w:p>
    <w:p>
      <w:pPr>
        <w:numPr>
          <w:ilvl w:val="0"/>
          <w:numId w:val="1002"/>
        </w:numPr>
        <w:pStyle w:val="Compact"/>
      </w:pPr>
      <w:r>
        <w:t xml:space="preserve">executar mudanças produtivas fora da autoridade;</w:t>
      </w:r>
    </w:p>
    <w:p>
      <w:pPr>
        <w:numPr>
          <w:ilvl w:val="0"/>
          <w:numId w:val="1002"/>
        </w:numPr>
        <w:pStyle w:val="Compact"/>
      </w:pPr>
      <w:r>
        <w:t xml:space="preserve">apagar/reinstalar dispositivo sem verificar backup, retenção e aprovação;</w:t>
      </w:r>
    </w:p>
    <w:p>
      <w:pPr>
        <w:numPr>
          <w:ilvl w:val="0"/>
          <w:numId w:val="1002"/>
        </w:numPr>
        <w:pStyle w:val="Compact"/>
      </w:pPr>
      <w:r>
        <w:t xml:space="preserve">esconder erro, suspeita de comprometimento, exposição de dados ou mudança malsucedida;</w:t>
      </w:r>
    </w:p>
    <w:p>
      <w:pPr>
        <w:numPr>
          <w:ilvl w:val="0"/>
          <w:numId w:val="1002"/>
        </w:numPr>
        <w:pStyle w:val="Compact"/>
      </w:pPr>
      <w:r>
        <w:t xml:space="preserve">enviar logs, credenciais, capturas ou configurações internas a IA não aprovada;</w:t>
      </w:r>
    </w:p>
    <w:p>
      <w:pPr>
        <w:numPr>
          <w:ilvl w:val="0"/>
          <w:numId w:val="1002"/>
        </w:numPr>
        <w:pStyle w:val="Compact"/>
      </w:pPr>
      <w:r>
        <w:t xml:space="preserve">tratar recomendação de IA como autoridade sem verificação humana.</w:t>
      </w:r>
    </w:p>
    <w:p>
      <w:pPr>
        <w:pStyle w:val="FirstParagraph"/>
      </w:pPr>
      <w:r>
        <w:t xml:space="preserve">Quando a autoridade não estiver clara, pare e escale. Saber fazer e estar autorizado a fazer são coisas diferentes.</w:t>
      </w:r>
    </w:p>
    <w:bookmarkEnd w:id="28"/>
    <w:bookmarkStart w:id="29" w:name="responsabilidades-típicas"/>
    <w:p>
      <w:pPr>
        <w:pStyle w:val="Heading2"/>
      </w:pPr>
      <w:r>
        <w:t xml:space="preserve">Responsabilidades típicas</w:t>
      </w:r>
    </w:p>
    <w:p>
      <w:pPr>
        <w:pStyle w:val="FirstParagraph"/>
      </w:pPr>
      <w:r>
        <w:t xml:space="preserve">Conforme o empregador e o nível, o profissional pode:</w:t>
      </w:r>
    </w:p>
    <w:p>
      <w:pPr>
        <w:numPr>
          <w:ilvl w:val="0"/>
          <w:numId w:val="1003"/>
        </w:numPr>
        <w:pStyle w:val="Compact"/>
      </w:pPr>
      <w:r>
        <w:t xml:space="preserve">receber incidentes e solicitações;</w:t>
      </w:r>
    </w:p>
    <w:p>
      <w:pPr>
        <w:numPr>
          <w:ilvl w:val="0"/>
          <w:numId w:val="1003"/>
        </w:numPr>
        <w:pStyle w:val="Compact"/>
      </w:pPr>
      <w:r>
        <w:t xml:space="preserve">identificar usuário, dispositivo, aplicação, localização e impacto;</w:t>
      </w:r>
    </w:p>
    <w:p>
      <w:pPr>
        <w:numPr>
          <w:ilvl w:val="0"/>
          <w:numId w:val="1003"/>
        </w:numPr>
        <w:pStyle w:val="Compact"/>
      </w:pPr>
      <w:r>
        <w:t xml:space="preserve">reproduzir ou esclarecer o sintoma;</w:t>
      </w:r>
    </w:p>
    <w:p>
      <w:pPr>
        <w:numPr>
          <w:ilvl w:val="0"/>
          <w:numId w:val="1003"/>
        </w:numPr>
        <w:pStyle w:val="Compact"/>
      </w:pPr>
      <w:r>
        <w:t xml:space="preserve">fazer perguntas de diagnóstico;</w:t>
      </w:r>
    </w:p>
    <w:p>
      <w:pPr>
        <w:numPr>
          <w:ilvl w:val="0"/>
          <w:numId w:val="1003"/>
        </w:numPr>
        <w:pStyle w:val="Compact"/>
      </w:pPr>
      <w:r>
        <w:t xml:space="preserve">verificar indisponibilidades conhecidas e manutenções;</w:t>
      </w:r>
    </w:p>
    <w:p>
      <w:pPr>
        <w:numPr>
          <w:ilvl w:val="0"/>
          <w:numId w:val="1003"/>
        </w:numPr>
        <w:pStyle w:val="Compact"/>
      </w:pPr>
      <w:r>
        <w:t xml:space="preserve">consultar logs/diagnósticos autorizados;</w:t>
      </w:r>
    </w:p>
    <w:p>
      <w:pPr>
        <w:numPr>
          <w:ilvl w:val="0"/>
          <w:numId w:val="1003"/>
        </w:numPr>
        <w:pStyle w:val="Compact"/>
      </w:pPr>
      <w:r>
        <w:t xml:space="preserve">verificar rede, conta, armazenamento, atualizações e aplicativos;</w:t>
      </w:r>
    </w:p>
    <w:p>
      <w:pPr>
        <w:numPr>
          <w:ilvl w:val="0"/>
          <w:numId w:val="1003"/>
        </w:numPr>
        <w:pStyle w:val="Compact"/>
      </w:pPr>
      <w:r>
        <w:t xml:space="preserve">redefinir credenciais por processo aprovado;</w:t>
      </w:r>
    </w:p>
    <w:p>
      <w:pPr>
        <w:numPr>
          <w:ilvl w:val="0"/>
          <w:numId w:val="1003"/>
        </w:numPr>
        <w:pStyle w:val="Compact"/>
      </w:pPr>
      <w:r>
        <w:t xml:space="preserve">apoiar cadastro/recuperação de MFA conforme política;</w:t>
      </w:r>
    </w:p>
    <w:p>
      <w:pPr>
        <w:numPr>
          <w:ilvl w:val="0"/>
          <w:numId w:val="1003"/>
        </w:numPr>
        <w:pStyle w:val="Compact"/>
      </w:pPr>
      <w:r>
        <w:t xml:space="preserve">configurar dispositivos e aplicativos autorizados;</w:t>
      </w:r>
    </w:p>
    <w:p>
      <w:pPr>
        <w:numPr>
          <w:ilvl w:val="0"/>
          <w:numId w:val="1003"/>
        </w:numPr>
        <w:pStyle w:val="Compact"/>
      </w:pPr>
      <w:r>
        <w:t xml:space="preserve">instalar software aprovado;</w:t>
      </w:r>
    </w:p>
    <w:p>
      <w:pPr>
        <w:numPr>
          <w:ilvl w:val="0"/>
          <w:numId w:val="1003"/>
        </w:numPr>
        <w:pStyle w:val="Compact"/>
      </w:pPr>
      <w:r>
        <w:t xml:space="preserve">conectar impressoras/periféricos;</w:t>
      </w:r>
    </w:p>
    <w:p>
      <w:pPr>
        <w:numPr>
          <w:ilvl w:val="0"/>
          <w:numId w:val="1003"/>
        </w:numPr>
        <w:pStyle w:val="Compact"/>
      </w:pPr>
      <w:r>
        <w:t xml:space="preserve">apoiar e-mail, colaboração, navegadores e aplicações de negócio;</w:t>
      </w:r>
    </w:p>
    <w:p>
      <w:pPr>
        <w:numPr>
          <w:ilvl w:val="0"/>
          <w:numId w:val="1003"/>
        </w:numPr>
        <w:pStyle w:val="Compact"/>
      </w:pPr>
      <w:r>
        <w:t xml:space="preserve">apoiar Windows, macOS, Linux, iOS, Android ou plataformas atribuídas;</w:t>
      </w:r>
    </w:p>
    <w:p>
      <w:pPr>
        <w:numPr>
          <w:ilvl w:val="0"/>
          <w:numId w:val="1003"/>
        </w:numPr>
        <w:pStyle w:val="Compact"/>
      </w:pPr>
      <w:r>
        <w:t xml:space="preserve">ajudar com VPN e acesso remoto;</w:t>
      </w:r>
    </w:p>
    <w:p>
      <w:pPr>
        <w:numPr>
          <w:ilvl w:val="0"/>
          <w:numId w:val="1003"/>
        </w:numPr>
        <w:pStyle w:val="Compact"/>
      </w:pPr>
      <w:r>
        <w:t xml:space="preserve">executar pequenos reparos;</w:t>
      </w:r>
    </w:p>
    <w:p>
      <w:pPr>
        <w:numPr>
          <w:ilvl w:val="0"/>
          <w:numId w:val="1003"/>
        </w:numPr>
        <w:pStyle w:val="Compact"/>
      </w:pPr>
      <w:r>
        <w:t xml:space="preserve">documentar achados, ações e resultados;</w:t>
      </w:r>
    </w:p>
    <w:p>
      <w:pPr>
        <w:numPr>
          <w:ilvl w:val="0"/>
          <w:numId w:val="1003"/>
        </w:numPr>
        <w:pStyle w:val="Compact"/>
      </w:pPr>
      <w:r>
        <w:t xml:space="preserve">usar e melhorar bases de conhecimento;</w:t>
      </w:r>
    </w:p>
    <w:p>
      <w:pPr>
        <w:numPr>
          <w:ilvl w:val="0"/>
          <w:numId w:val="1003"/>
        </w:numPr>
        <w:pStyle w:val="Compact"/>
      </w:pPr>
      <w:r>
        <w:t xml:space="preserve">comunicar status e expectativas;</w:t>
      </w:r>
    </w:p>
    <w:p>
      <w:pPr>
        <w:numPr>
          <w:ilvl w:val="0"/>
          <w:numId w:val="1003"/>
        </w:numPr>
        <w:pStyle w:val="Compact"/>
      </w:pPr>
      <w:r>
        <w:t xml:space="preserve">escalar com evidência útil;</w:t>
      </w:r>
    </w:p>
    <w:p>
      <w:pPr>
        <w:numPr>
          <w:ilvl w:val="0"/>
          <w:numId w:val="1003"/>
        </w:numPr>
        <w:pStyle w:val="Compact"/>
      </w:pPr>
      <w:r>
        <w:t xml:space="preserve">confirmar restauração antes do encerramento;</w:t>
      </w:r>
    </w:p>
    <w:p>
      <w:pPr>
        <w:numPr>
          <w:ilvl w:val="0"/>
          <w:numId w:val="1003"/>
        </w:numPr>
        <w:pStyle w:val="Compact"/>
      </w:pPr>
      <w:r>
        <w:t xml:space="preserve">identificar padrões recorrentes.</w:t>
      </w:r>
    </w:p>
    <w:bookmarkEnd w:id="29"/>
    <w:bookmarkStart w:id="37" w:name="método-repetível-de-troubleshooting"/>
    <w:p>
      <w:pPr>
        <w:pStyle w:val="Heading2"/>
      </w:pPr>
      <w:r>
        <w:t xml:space="preserve">Método repetível de troubleshooting</w:t>
      </w:r>
    </w:p>
    <w:bookmarkStart w:id="30" w:name="X0cea715176ad8ba0ae31e3e49d3061e0f699138"/>
    <w:p>
      <w:pPr>
        <w:pStyle w:val="Heading3"/>
      </w:pPr>
      <w:r>
        <w:t xml:space="preserve">1. Confirmar solicitação e impacto</w:t>
      </w:r>
    </w:p>
    <w:p>
      <w:pPr>
        <w:pStyle w:val="FirstParagraph"/>
      </w:pPr>
      <w:r>
        <w:t xml:space="preserve">Defina quem é afetado, o objetivo do usuário, o que acontece de fato, quando começou, se afeta uma ou várias pessoas, se é intermitente, o que mudou, quais dispositivo/sistema/aplicativo/rede/conta participam e qual é o impacto.</w:t>
      </w:r>
    </w:p>
    <w:p>
      <w:pPr>
        <w:pStyle w:val="BodyText"/>
      </w:pPr>
      <w:r>
        <w:t xml:space="preserve">“Internet caiu” pode significar DNS, Wi-Fi, VPN, navegador, autenticação, aplicação ou indisponibilidade geral.</w:t>
      </w:r>
    </w:p>
    <w:bookmarkEnd w:id="30"/>
    <w:bookmarkStart w:id="31" w:name="X3b6bcd9cbfdc7bebc5c0094012867a5dd996b12"/>
    <w:p>
      <w:pPr>
        <w:pStyle w:val="Heading3"/>
      </w:pPr>
      <w:r>
        <w:t xml:space="preserve">2. Verificar escopo e condições conhecidas</w:t>
      </w:r>
    </w:p>
    <w:p>
      <w:pPr>
        <w:pStyle w:val="FirstParagraph"/>
      </w:pPr>
      <w:r>
        <w:t xml:space="preserve">Antes de mudar algo, verifique painel de serviço, incidentes ativos, manutenção, mudanças recentes e se outras pessoas reproduzem o problema.</w:t>
      </w:r>
    </w:p>
    <w:bookmarkEnd w:id="31"/>
    <w:bookmarkStart w:id="32" w:name="Xce86cf1bf86c9f8d03a0eafda17afbe5e0faeaa"/>
    <w:p>
      <w:pPr>
        <w:pStyle w:val="Heading3"/>
      </w:pPr>
      <w:r>
        <w:t xml:space="preserve">3. Estabelecer uma linha de base segura</w:t>
      </w:r>
    </w:p>
    <w:p>
      <w:pPr>
        <w:pStyle w:val="FirstParagraph"/>
      </w:pPr>
      <w:r>
        <w:t xml:space="preserve">Colete apenas dados necessários e autorizados: erro exato, horário, ativo, versão, conexão, saída de diagnóstico permitida e ações já realizadas.</w:t>
      </w:r>
    </w:p>
    <w:p>
      <w:pPr>
        <w:pStyle w:val="BodyText"/>
      </w:pPr>
      <w:r>
        <w:t xml:space="preserve">Proteja capturas e logs: podem conter nomes, e-mails, tokens, hosts internos, dados de clientes, saúde, finanças ou segurança.</w:t>
      </w:r>
    </w:p>
    <w:bookmarkEnd w:id="32"/>
    <w:bookmarkStart w:id="33" w:name="X4e14eea0d8a8b43a2a4c063c27a93f52af259e5"/>
    <w:p>
      <w:pPr>
        <w:pStyle w:val="Heading3"/>
      </w:pPr>
      <w:r>
        <w:t xml:space="preserve">4. Testar uma hipótese por vez</w:t>
      </w:r>
    </w:p>
    <w:p>
      <w:pPr>
        <w:pStyle w:val="FirstParagraph"/>
      </w:pPr>
      <w:r>
        <w:t xml:space="preserve">Comece por verificações de baixo risco e alto valor de informação. Não altere várias variáveis e depois tente adivinhar qual funcionou.</w:t>
      </w:r>
    </w:p>
    <w:bookmarkEnd w:id="33"/>
    <w:bookmarkStart w:id="34" w:name="X6e3de147aa4317ab1a12383373c913f4b913005"/>
    <w:p>
      <w:pPr>
        <w:pStyle w:val="Heading3"/>
      </w:pPr>
      <w:r>
        <w:t xml:space="preserve">5. Aplicar apenas remediação aprovada</w:t>
      </w:r>
    </w:p>
    <w:p>
      <w:pPr>
        <w:pStyle w:val="FirstParagraph"/>
      </w:pPr>
      <w:r>
        <w:t xml:space="preserve">Use procedimentos documentados, scripts autorizados, pacotes padrão e mudanças dentro de sua função. Se for necessário privilégio superior, alteração de rede, exceção de segurança, banco de dados ou produção, escale.</w:t>
      </w:r>
    </w:p>
    <w:bookmarkEnd w:id="34"/>
    <w:bookmarkStart w:id="35" w:name="Xd9a80838aef27dc42045416fd6b008c75d166d3"/>
    <w:p>
      <w:pPr>
        <w:pStyle w:val="Heading3"/>
      </w:pPr>
      <w:r>
        <w:t xml:space="preserve">6. Verificar restauração</w:t>
      </w:r>
    </w:p>
    <w:p>
      <w:pPr>
        <w:pStyle w:val="FirstParagraph"/>
      </w:pPr>
      <w:r>
        <w:t xml:space="preserve">Não encerre apenas porque a mensagem desapareceu. Repita a tarefa original, confirme o resultado e verifique que controles de segurança continuam ativos.</w:t>
      </w:r>
    </w:p>
    <w:bookmarkEnd w:id="35"/>
    <w:bookmarkStart w:id="36" w:name="X30fdb6283112c20855455202424576485a98c60"/>
    <w:p>
      <w:pPr>
        <w:pStyle w:val="Heading3"/>
      </w:pPr>
      <w:r>
        <w:t xml:space="preserve">7. Documentar e fechar</w:t>
      </w:r>
    </w:p>
    <w:p>
      <w:pPr>
        <w:pStyle w:val="FirstParagraph"/>
      </w:pPr>
      <w:r>
        <w:t xml:space="preserve">Registre sintoma/impacto, ambiente, achados, ação, resultado, acompanhamento e escalonamento relacionado. Evite “resolvido” sem contexto.</w:t>
      </w:r>
    </w:p>
    <w:bookmarkEnd w:id="36"/>
    <w:bookmarkEnd w:id="37"/>
    <w:bookmarkStart w:id="38" w:name="X12bcedf65c2365d8d20d73692439b8487db3dd8"/>
    <w:p>
      <w:pPr>
        <w:pStyle w:val="Heading2"/>
      </w:pPr>
      <w:r>
        <w:t xml:space="preserve">Qualidade de tickets e gestão de serviços</w:t>
      </w:r>
    </w:p>
    <w:p>
      <w:pPr>
        <w:pStyle w:val="FirstParagraph"/>
      </w:pPr>
      <w:r>
        <w:t xml:space="preserve">Tickets são registros operacionais. Um registro útil contém título, usuário/serviço afetado conforme política, impacto, categoria, descrição do problema, horários importantes, diagnóstico, evidência segura, escalonamento e resolução validada.</w:t>
      </w:r>
    </w:p>
    <w:p>
      <w:pPr>
        <w:pStyle w:val="BodyText"/>
      </w:pPr>
      <w:r>
        <w:t xml:space="preserve">Nunca cole senhas, chaves privadas, tokens, dados completos de cartões ou informações pessoais desnecessárias.</w:t>
      </w:r>
    </w:p>
    <w:p>
      <w:pPr>
        <w:pStyle w:val="BodyText"/>
      </w:pPr>
      <w:r>
        <w:t xml:space="preserve">Diferencie:</w:t>
      </w:r>
    </w:p>
    <w:p>
      <w:pPr>
        <w:numPr>
          <w:ilvl w:val="0"/>
          <w:numId w:val="1004"/>
        </w:numPr>
        <w:pStyle w:val="Compact"/>
      </w:pPr>
      <w:r>
        <w:rPr>
          <w:bCs/>
          <w:b/>
        </w:rPr>
        <w:t xml:space="preserve">incidente:</w:t>
      </w:r>
      <w:r>
        <w:t xml:space="preserve"> </w:t>
      </w:r>
      <w:r>
        <w:t xml:space="preserve">interrupção/degradação de serviço;</w:t>
      </w:r>
    </w:p>
    <w:p>
      <w:pPr>
        <w:numPr>
          <w:ilvl w:val="0"/>
          <w:numId w:val="1004"/>
        </w:numPr>
        <w:pStyle w:val="Compact"/>
      </w:pPr>
      <w:r>
        <w:rPr>
          <w:bCs/>
          <w:b/>
        </w:rPr>
        <w:t xml:space="preserve">solicitação de serviço:</w:t>
      </w:r>
      <w:r>
        <w:t xml:space="preserve"> </w:t>
      </w:r>
      <w:r>
        <w:t xml:space="preserve">pedido padrão, como software ou acesso aprovado;</w:t>
      </w:r>
    </w:p>
    <w:p>
      <w:pPr>
        <w:numPr>
          <w:ilvl w:val="0"/>
          <w:numId w:val="1004"/>
        </w:numPr>
        <w:pStyle w:val="Compact"/>
      </w:pPr>
      <w:r>
        <w:rPr>
          <w:bCs/>
          <w:b/>
        </w:rPr>
        <w:t xml:space="preserve">problema:</w:t>
      </w:r>
      <w:r>
        <w:t xml:space="preserve"> </w:t>
      </w:r>
      <w:r>
        <w:t xml:space="preserve">causa subjacente ou padrão recorrente;</w:t>
      </w:r>
    </w:p>
    <w:p>
      <w:pPr>
        <w:numPr>
          <w:ilvl w:val="0"/>
          <w:numId w:val="1004"/>
        </w:numPr>
        <w:pStyle w:val="Compact"/>
      </w:pPr>
      <w:r>
        <w:rPr>
          <w:bCs/>
          <w:b/>
        </w:rPr>
        <w:t xml:space="preserve">mudança:</w:t>
      </w:r>
      <w:r>
        <w:t xml:space="preserve"> </w:t>
      </w:r>
      <w:r>
        <w:t xml:space="preserve">modificação autorizada do ambiente.</w:t>
      </w:r>
    </w:p>
    <w:bookmarkEnd w:id="38"/>
    <w:bookmarkStart w:id="39" w:name="identidade-contas-senhas-e-mfa"/>
    <w:p>
      <w:pPr>
        <w:pStyle w:val="Heading2"/>
      </w:pPr>
      <w:r>
        <w:t xml:space="preserve">Identidade, contas, senhas e MFA</w:t>
      </w:r>
    </w:p>
    <w:p>
      <w:pPr>
        <w:pStyle w:val="FirstParagraph"/>
      </w:pPr>
      <w:r>
        <w:t xml:space="preserve">Redefinições de conta são alvos frequentes de engenharia social. Antes de ações sensíveis, siga o processo de verificação de identidade. Não enfraqueça o controle porque alguém alega urgência ou cargo elevado.</w:t>
      </w:r>
    </w:p>
    <w:p>
      <w:pPr>
        <w:pStyle w:val="BodyText"/>
      </w:pPr>
      <w:r>
        <w:t xml:space="preserve">Use fluxos aprovados para redefinição de senha, desbloqueio, recuperação de MFA, troca de dispositivo, alterações de conta, acesso e usuários transferidos/desligados.</w:t>
      </w:r>
    </w:p>
    <w:p>
      <w:pPr>
        <w:pStyle w:val="BodyText"/>
      </w:pPr>
      <w:r>
        <w:t xml:space="preserve">Sinais de alerta incluem pressão para pular verificação, urgência incomum, segredo, canal não aprovado, reset de MFA combinado com privilégio, ferramenta remota fora do padrão, identidade inconsistente ou pedido de acesso de outra pessoa.</w:t>
      </w:r>
    </w:p>
    <w:p>
      <w:pPr>
        <w:pStyle w:val="BodyText"/>
      </w:pPr>
      <w:r>
        <w:t xml:space="preserve">CISA Secure Our World enfatiza phishing, senhas/gerenciadores, MFA e atualizações. O suporte deve fortalecer esses controles.</w:t>
      </w:r>
    </w:p>
    <w:bookmarkEnd w:id="39"/>
    <w:bookmarkStart w:id="40" w:name="suporte-remoto"/>
    <w:p>
      <w:pPr>
        <w:pStyle w:val="Heading2"/>
      </w:pPr>
      <w:r>
        <w:t xml:space="preserve">Suporte remoto</w:t>
      </w:r>
    </w:p>
    <w:p>
      <w:pPr>
        <w:pStyle w:val="FirstParagraph"/>
      </w:pPr>
      <w:r>
        <w:t xml:space="preserve">Use somente plataforma aprovada. Verifique usuário e solicitação, explique o que será feito, obtenha consentimento quando necessário, peça que informações não relacionadas sejam fechadas e use o menor privilégio possível.</w:t>
      </w:r>
    </w:p>
    <w:p>
      <w:pPr>
        <w:pStyle w:val="BodyText"/>
      </w:pPr>
      <w:r>
        <w:t xml:space="preserve">Não explore arquivos não relacionados, não copie dados sem necessidade e não deixe sessões privilegiadas abertas. Ao terminar, desconecte, documente e confirme o resultado.</w:t>
      </w:r>
    </w:p>
    <w:bookmarkEnd w:id="40"/>
    <w:bookmarkStart w:id="41" w:name="hardware-e-endpoints"/>
    <w:p>
      <w:pPr>
        <w:pStyle w:val="Heading2"/>
      </w:pPr>
      <w:r>
        <w:t xml:space="preserve">Hardware e endpoints</w:t>
      </w:r>
    </w:p>
    <w:p>
      <w:pPr>
        <w:pStyle w:val="FirstParagraph"/>
      </w:pPr>
      <w:r>
        <w:t xml:space="preserve">O trabalho pode envolver estações, monitores, docks, teclados, câmeras, impressoras, armazenamento, memória, reparo leve, sistemas operacionais, registro de dispositivo, patches, drivers, firmware e inventário.</w:t>
      </w:r>
    </w:p>
    <w:p>
      <w:pPr>
        <w:pStyle w:val="BodyText"/>
      </w:pPr>
      <w:r>
        <w:t xml:space="preserve">Use segurança física/ESD. Bateria inchada, fonte danificada, líquido ou outros perigos devem seguir o processo de segurança e descarte do empregador.</w:t>
      </w:r>
    </w:p>
    <w:p>
      <w:pPr>
        <w:pStyle w:val="BodyText"/>
      </w:pPr>
      <w:r>
        <w:t xml:space="preserve">Antes de reimagem ou troca de armazenamento, confirme backup, criptografia, retenção e autorização.</w:t>
      </w:r>
    </w:p>
    <w:bookmarkEnd w:id="41"/>
    <w:bookmarkStart w:id="42" w:name="sistemas-operacionais-e-aplicações"/>
    <w:p>
      <w:pPr>
        <w:pStyle w:val="Heading2"/>
      </w:pPr>
      <w:r>
        <w:t xml:space="preserve">Sistemas operacionais e aplicações</w:t>
      </w:r>
    </w:p>
    <w:p>
      <w:pPr>
        <w:pStyle w:val="FirstParagraph"/>
      </w:pPr>
      <w:r>
        <w:t xml:space="preserve">Aprenda conceitos transferíveis: usuários, grupos, permissões, perfis, arquivos, armazenamento, processos, serviços, atualizações, drivers, logs, instalação de aplicações, navegador, login e linha de comando básica.</w:t>
      </w:r>
    </w:p>
    <w:p>
      <w:pPr>
        <w:pStyle w:val="BodyText"/>
      </w:pPr>
      <w:r>
        <w:t xml:space="preserve">Os sinais de mercado de O*NET incluem Microsoft Office, Active Directory, ServiceNow, macOS, Linux, Excel, Outlook, Azure, Windows, SQL, firewall e iOS. São sinais, não requisitos universais.</w:t>
      </w:r>
    </w:p>
    <w:bookmarkEnd w:id="42"/>
    <w:bookmarkStart w:id="43" w:name="redes-básicas-para-help-desk"/>
    <w:p>
      <w:pPr>
        <w:pStyle w:val="Heading2"/>
      </w:pPr>
      <w:r>
        <w:t xml:space="preserve">Redes básicas para help desk</w:t>
      </w:r>
    </w:p>
    <w:p>
      <w:pPr>
        <w:pStyle w:val="FirstParagraph"/>
      </w:pPr>
      <w:r>
        <w:t xml:space="preserve">Compreenda conexão cabeada/sem fio, IP, gateway, DNS, DHCP, VPN, latência, perda de pacotes e diferença entre falha local, de rede e de aplicação.</w:t>
      </w:r>
    </w:p>
    <w:p>
      <w:pPr>
        <w:pStyle w:val="BodyText"/>
      </w:pPr>
      <w:r>
        <w:t xml:space="preserve">Colete evidência útil para a equipe de redes sem executar mudanças não autorizadas.</w:t>
      </w:r>
    </w:p>
    <w:bookmarkEnd w:id="43"/>
    <w:bookmarkStart w:id="44" w:name="impressoras-e-periféricos"/>
    <w:p>
      <w:pPr>
        <w:pStyle w:val="Heading2"/>
      </w:pPr>
      <w:r>
        <w:t xml:space="preserve">Impressoras e periféricos</w:t>
      </w:r>
    </w:p>
    <w:p>
      <w:pPr>
        <w:pStyle w:val="FirstParagraph"/>
      </w:pPr>
      <w:r>
        <w:t xml:space="preserve">Verifique energia, conectividade, fila, impressora padrão, driver, servidor, rede, suprimentos, permissões e aplicativo antes de reinstalar drivers de forma repetitiva.</w:t>
      </w:r>
    </w:p>
    <w:bookmarkEnd w:id="44"/>
    <w:bookmarkStart w:id="45" w:name="base-de-conhecimento-e-documentação"/>
    <w:p>
      <w:pPr>
        <w:pStyle w:val="Heading2"/>
      </w:pPr>
      <w:r>
        <w:t xml:space="preserve">Base de conhecimento e documentação</w:t>
      </w:r>
    </w:p>
    <w:p>
      <w:pPr>
        <w:pStyle w:val="FirstParagraph"/>
      </w:pPr>
      <w:r>
        <w:t xml:space="preserve">Um artigo útil contém sintoma/objetivo, ambiente, pré-requisitos, diagnóstico seguro, resolução aprovada, resultado esperado, condição de escalonamento e proprietário/data de revisão.</w:t>
      </w:r>
    </w:p>
    <w:p>
      <w:pPr>
        <w:pStyle w:val="BodyText"/>
      </w:pPr>
      <w:r>
        <w:t xml:space="preserve">Uma improvisação bem-sucedida uma vez não deve virar procedimento sem revisão.</w:t>
      </w:r>
    </w:p>
    <w:bookmarkEnd w:id="45"/>
    <w:bookmarkStart w:id="46" w:name="escalar-é-uma-habilidade"/>
    <w:p>
      <w:pPr>
        <w:pStyle w:val="Heading2"/>
      </w:pPr>
      <w:r>
        <w:t xml:space="preserve">Escalar é uma habilidade</w:t>
      </w:r>
    </w:p>
    <w:p>
      <w:pPr>
        <w:pStyle w:val="FirstParagraph"/>
      </w:pPr>
      <w:r>
        <w:t xml:space="preserve">Escale quando faltar autoridade, houver impacto amplo/crítico, suspeita de comprometimento ou exposição, necessidade de mudança em rede/firewall/banco/produção, falha do procedimento aprovado, risco de perda de dados ou limite de SLA/incidente.</w:t>
      </w:r>
    </w:p>
    <w:p>
      <w:pPr>
        <w:pStyle w:val="BodyText"/>
      </w:pPr>
      <w:r>
        <w:t xml:space="preserve">Uma boa escalada inclui problema, impacto, ambiente, horários, ações, evidências e motivo concreto.</w:t>
      </w:r>
    </w:p>
    <w:bookmarkEnd w:id="46"/>
    <w:bookmarkStart w:id="47" w:name="cibersegurança-no-suporte"/>
    <w:p>
      <w:pPr>
        <w:pStyle w:val="Heading2"/>
      </w:pPr>
      <w:r>
        <w:t xml:space="preserve">Cibersegurança no suporte</w:t>
      </w:r>
    </w:p>
    <w:p>
      <w:pPr>
        <w:pStyle w:val="FirstParagraph"/>
      </w:pPr>
      <w:r>
        <w:t xml:space="preserve">Proteja suas credenciais, use MFA, não compartilhe contas, bloqueie a estação, use gerenciadores aprovados, verifique resets, reporte phishing/comprometimento, mantenha ferramentas atualizadas e não desative segurança por conveniência.</w:t>
      </w:r>
    </w:p>
    <w:p>
      <w:pPr>
        <w:pStyle w:val="BodyText"/>
      </w:pPr>
      <w:r>
        <w:t xml:space="preserve">O help desk pode coletar evidência inicial, mas não deve ultrapassar autoridade de resposta a incidentes nem fazer decisões legais/de privacidade independentes.</w:t>
      </w:r>
    </w:p>
    <w:bookmarkEnd w:id="47"/>
    <w:bookmarkStart w:id="48" w:name="privacidade-e-confidencialidade"/>
    <w:p>
      <w:pPr>
        <w:pStyle w:val="Heading2"/>
      </w:pPr>
      <w:r>
        <w:t xml:space="preserve">Privacidade e confidencialidade</w:t>
      </w:r>
    </w:p>
    <w:p>
      <w:pPr>
        <w:pStyle w:val="FirstParagraph"/>
      </w:pPr>
      <w:r>
        <w:t xml:space="preserve">O suporte pode ver dados de empregados, clientes, estudantes, pacientes, finanças, RH, jurídico ou engenharia. Use o mínimo necessário.</w:t>
      </w:r>
    </w:p>
    <w:p>
      <w:pPr>
        <w:pStyle w:val="BodyText"/>
      </w:pPr>
      <w:r>
        <w:t xml:space="preserve">Não leia e-mails/documentos não relacionados, não guarde capturas além da política, não mova evidências para armazenamento pessoal, não publique logs internos e não use dados reais em portfólio público.</w:t>
      </w:r>
    </w:p>
    <w:p>
      <w:pPr>
        <w:pStyle w:val="BodyText"/>
      </w:pPr>
      <w:r>
        <w:t xml:space="preserve">Acesso técnico não significa permissão de negócio.</w:t>
      </w:r>
    </w:p>
    <w:bookmarkEnd w:id="48"/>
    <w:bookmarkStart w:id="49" w:name="acessibilidade-e-suporte-inclusivo"/>
    <w:p>
      <w:pPr>
        <w:pStyle w:val="Heading2"/>
      </w:pPr>
      <w:r>
        <w:t xml:space="preserve">Acessibilidade e suporte inclusivo</w:t>
      </w:r>
    </w:p>
    <w:p>
      <w:pPr>
        <w:pStyle w:val="FirstParagraph"/>
      </w:pPr>
      <w:r>
        <w:t xml:space="preserve">Não desative leitor de tela, ampliação, legendas, alto contraste, navegação por teclado, voz, dispositivos alternativos ou escala de texto apenas porque são desconhecidos.</w:t>
      </w:r>
    </w:p>
    <w:p>
      <w:pPr>
        <w:pStyle w:val="BodyText"/>
      </w:pPr>
      <w:r>
        <w:t xml:space="preserve">Pergunte o que a pessoa precisa antes de alterar ajustes de acessibilidade. Escale incompatibilidades ao responsável adequado.</w:t>
      </w:r>
    </w:p>
    <w:p>
      <w:pPr>
        <w:pStyle w:val="BodyText"/>
      </w:pPr>
      <w:r>
        <w:t xml:space="preserve">Section508.gov e WCAG 2.2 são referências úteis, mas não transformam o técnico em certificador de acessibilidade.</w:t>
      </w:r>
    </w:p>
    <w:bookmarkEnd w:id="49"/>
    <w:bookmarkStart w:id="50" w:name="ia-responsável-no-suporte"/>
    <w:p>
      <w:pPr>
        <w:pStyle w:val="Heading2"/>
      </w:pPr>
      <w:r>
        <w:t xml:space="preserve">IA responsável no suporte</w:t>
      </w:r>
    </w:p>
    <w:p>
      <w:pPr>
        <w:pStyle w:val="FirstParagraph"/>
      </w:pPr>
      <w:r>
        <w:t xml:space="preserve">IA aprovada pode ajudar com perguntas de diagnóstico, resumo de ticket não sensível, rascunhos de conhecimento, explicação de erro público ou plano de teste.</w:t>
      </w:r>
    </w:p>
    <w:p>
      <w:pPr>
        <w:pStyle w:val="BodyText"/>
      </w:pPr>
      <w:r>
        <w:t xml:space="preserve">Também pode inventar comandos, causas e atalhos inseguros. Verifique plataforma, versão, efeito, reversibilidade, autoridade, segurança/privacidade e processo de mudança antes de usar uma recomendação.</w:t>
      </w:r>
    </w:p>
    <w:p>
      <w:pPr>
        <w:pStyle w:val="BodyText"/>
      </w:pPr>
      <w:r>
        <w:t xml:space="preserve">Nunca envie senhas, tokens, chaves, códigos de recuperação, dados privados, logs proprietários, capturas confidenciais, arquitetura interna, evidência de incidente ou código protegido para uma IA não aprovada.</w:t>
      </w:r>
    </w:p>
    <w:p>
      <w:pPr>
        <w:pStyle w:val="BodyText"/>
      </w:pPr>
      <w:r>
        <w:t xml:space="preserve">NIST AI RMF e o perfil de IA generativa são referências voluntárias, não substitutos dos controles organizacionais.</w:t>
      </w:r>
    </w:p>
    <w:bookmarkEnd w:id="50"/>
    <w:bookmarkStart w:id="51" w:name="comunicação-que-importa"/>
    <w:p>
      <w:pPr>
        <w:pStyle w:val="Heading2"/>
      </w:pPr>
      <w:r>
        <w:t xml:space="preserve">Comunicação que importa</w:t>
      </w:r>
    </w:p>
    <w:p>
      <w:pPr>
        <w:pStyle w:val="FirstParagraph"/>
      </w:pPr>
      <w:r>
        <w:t xml:space="preserve">Pratique escuta ativa, linguagem clara, respeito, expectativas realistas e instruções utilizáveis por pessoas com diferentes necessidades.</w:t>
      </w:r>
    </w:p>
    <w:bookmarkEnd w:id="51"/>
    <w:bookmarkStart w:id="52" w:name="famílias-de-ferramentas"/>
    <w:p>
      <w:pPr>
        <w:pStyle w:val="Heading2"/>
      </w:pPr>
      <w:r>
        <w:t xml:space="preserve">Famílias de ferramentas</w:t>
      </w:r>
    </w:p>
    <w:p>
      <w:pPr>
        <w:pStyle w:val="FirstParagraph"/>
      </w:pPr>
      <w:r>
        <w:t xml:space="preserve">Entenda ticketing/ITSM, suporte remoto, gestão de endpoints, diretório/identidade, sistemas operacionais, produtividade/colaboração, bases de conhecimento, inventário, diagnóstico de rede, status de segurança de endpoint e scripting/automação apropriada.</w:t>
      </w:r>
    </w:p>
    <w:bookmarkEnd w:id="52"/>
    <w:bookmarkStart w:id="53" w:name="educação-e-formação--estados-unidos"/>
    <w:p>
      <w:pPr>
        <w:pStyle w:val="Heading2"/>
      </w:pPr>
      <w:r>
        <w:t xml:space="preserve">Educação e formação — Estados Unidos</w:t>
      </w:r>
    </w:p>
    <w:p>
      <w:pPr>
        <w:pStyle w:val="FirstParagraph"/>
      </w:pPr>
      <w:r>
        <w:t xml:space="preserve">O*NET classifica a ocupação em Job Zone Three. Rotas podem incluir formação técnica, certificados, associate degrees, graduação, certificações de fornecedores, aprendizagem no trabalho ou experiência.</w:t>
      </w:r>
    </w:p>
    <w:p>
      <w:pPr>
        <w:pStyle w:val="BodyText"/>
      </w:pPr>
      <w:r>
        <w:t xml:space="preserve">CareerOneStop ajuda a localizar treinamento elegível para WIOA e opções locais. Confirme elegibilidade e provedor aprovado com o American Job Center antes de assumir financiamento.</w:t>
      </w:r>
    </w:p>
    <w:bookmarkEnd w:id="53"/>
    <w:bookmarkStart w:id="55" w:name="salários-e-projeção--estados-unidos"/>
    <w:p>
      <w:pPr>
        <w:pStyle w:val="Heading2"/>
      </w:pPr>
      <w:r>
        <w:t xml:space="preserve">Salários e projeção — Estados Unidos</w:t>
      </w:r>
    </w:p>
    <w:p>
      <w:pPr>
        <w:pStyle w:val="FirstParagraph"/>
      </w:pPr>
      <w:r>
        <w:t xml:space="preserve">O*NET/BLS 2025 para</w:t>
      </w:r>
      <w:r>
        <w:t xml:space="preserve"> </w:t>
      </w:r>
      <w:r>
        <w:rPr>
          <w:bCs/>
          <w:b/>
        </w:rPr>
        <w:t xml:space="preserve">15-1232.00</w:t>
      </w:r>
      <w:r>
        <w:t xml:space="preserve">:</w:t>
      </w:r>
    </w:p>
    <w:p>
      <w:pPr>
        <w:numPr>
          <w:ilvl w:val="0"/>
          <w:numId w:val="1005"/>
        </w:numPr>
        <w:pStyle w:val="Compact"/>
      </w:pPr>
      <w:r>
        <w:t xml:space="preserve">10º percentil:</w:t>
      </w:r>
      <w:r>
        <w:t xml:space="preserve"> </w:t>
      </w:r>
      <w:r>
        <w:rPr>
          <w:bCs/>
          <w:b/>
        </w:rPr>
        <w:t xml:space="preserve">$40,980/ano</w:t>
      </w:r>
      <w:r>
        <w:t xml:space="preserve"> </w:t>
      </w:r>
      <w:r>
        <w:t xml:space="preserve">ou</w:t>
      </w:r>
      <w:r>
        <w:t xml:space="preserve"> </w:t>
      </w:r>
      <w:r>
        <w:rPr>
          <w:bCs/>
          <w:b/>
        </w:rPr>
        <w:t xml:space="preserve">$19.70/hora</w:t>
      </w:r>
      <w:r>
        <w:t xml:space="preserve">;</w:t>
      </w:r>
    </w:p>
    <w:p>
      <w:pPr>
        <w:numPr>
          <w:ilvl w:val="0"/>
          <w:numId w:val="1005"/>
        </w:numPr>
        <w:pStyle w:val="Compact"/>
      </w:pPr>
      <w:r>
        <w:t xml:space="preserve">25º percentil:</w:t>
      </w:r>
      <w:r>
        <w:t xml:space="preserve"> </w:t>
      </w:r>
      <w:r>
        <w:rPr>
          <w:bCs/>
          <w:b/>
        </w:rPr>
        <w:t xml:space="preserve">$49,000/ano</w:t>
      </w:r>
      <w:r>
        <w:t xml:space="preserve"> </w:t>
      </w:r>
      <w:r>
        <w:t xml:space="preserve">ou</w:t>
      </w:r>
      <w:r>
        <w:t xml:space="preserve"> </w:t>
      </w:r>
      <w:r>
        <w:rPr>
          <w:bCs/>
          <w:b/>
        </w:rPr>
        <w:t xml:space="preserve">$23.56/hora</w:t>
      </w:r>
      <w:r>
        <w:t xml:space="preserve">;</w:t>
      </w:r>
    </w:p>
    <w:p>
      <w:pPr>
        <w:numPr>
          <w:ilvl w:val="0"/>
          <w:numId w:val="1005"/>
        </w:numPr>
        <w:pStyle w:val="Compact"/>
      </w:pPr>
      <w:r>
        <w:t xml:space="preserve">mediana:</w:t>
      </w:r>
      <w:r>
        <w:t xml:space="preserve"> </w:t>
      </w:r>
      <w:r>
        <w:rPr>
          <w:bCs/>
          <w:b/>
        </w:rPr>
        <w:t xml:space="preserve">$61,860/ano</w:t>
      </w:r>
      <w:r>
        <w:t xml:space="preserve"> </w:t>
      </w:r>
      <w:r>
        <w:t xml:space="preserve">ou</w:t>
      </w:r>
      <w:r>
        <w:t xml:space="preserve"> </w:t>
      </w:r>
      <w:r>
        <w:rPr>
          <w:bCs/>
          <w:b/>
        </w:rPr>
        <w:t xml:space="preserve">$29.74/hora</w:t>
      </w:r>
      <w:r>
        <w:t xml:space="preserve">;</w:t>
      </w:r>
    </w:p>
    <w:p>
      <w:pPr>
        <w:numPr>
          <w:ilvl w:val="0"/>
          <w:numId w:val="1005"/>
        </w:numPr>
        <w:pStyle w:val="Compact"/>
      </w:pPr>
      <w:r>
        <w:t xml:space="preserve">75º percentil:</w:t>
      </w:r>
      <w:r>
        <w:t xml:space="preserve"> </w:t>
      </w:r>
      <w:r>
        <w:rPr>
          <w:bCs/>
          <w:b/>
        </w:rPr>
        <w:t xml:space="preserve">$79,040/ano</w:t>
      </w:r>
      <w:r>
        <w:t xml:space="preserve"> </w:t>
      </w:r>
      <w:r>
        <w:t xml:space="preserve">ou</w:t>
      </w:r>
      <w:r>
        <w:t xml:space="preserve"> </w:t>
      </w:r>
      <w:r>
        <w:rPr>
          <w:bCs/>
          <w:b/>
        </w:rPr>
        <w:t xml:space="preserve">$38.00/hora</w:t>
      </w:r>
      <w:r>
        <w:t xml:space="preserve">;</w:t>
      </w:r>
    </w:p>
    <w:p>
      <w:pPr>
        <w:numPr>
          <w:ilvl w:val="0"/>
          <w:numId w:val="1005"/>
        </w:numPr>
        <w:pStyle w:val="Compact"/>
      </w:pPr>
      <w:r>
        <w:t xml:space="preserve">90º percentil:</w:t>
      </w:r>
      <w:r>
        <w:t xml:space="preserve"> </w:t>
      </w:r>
      <w:r>
        <w:rPr>
          <w:bCs/>
          <w:b/>
        </w:rPr>
        <w:t xml:space="preserve">$100,540/ano</w:t>
      </w:r>
      <w:r>
        <w:t xml:space="preserve"> </w:t>
      </w:r>
      <w:r>
        <w:t xml:space="preserve">ou</w:t>
      </w:r>
      <w:r>
        <w:t xml:space="preserve"> </w:t>
      </w:r>
      <w:r>
        <w:rPr>
          <w:bCs/>
          <w:b/>
        </w:rPr>
        <w:t xml:space="preserve">$48.34/hora</w:t>
      </w:r>
      <w:r>
        <w:t xml:space="preserve">.</w:t>
      </w:r>
    </w:p>
    <w:p>
      <w:pPr>
        <w:pStyle w:val="FirstParagraph"/>
      </w:pPr>
      <w:r>
        <w:t xml:space="preserve">Projeção 2024–2034:</w:t>
      </w:r>
    </w:p>
    <w:p>
      <w:pPr>
        <w:numPr>
          <w:ilvl w:val="0"/>
          <w:numId w:val="1006"/>
        </w:numPr>
        <w:pStyle w:val="Compact"/>
      </w:pPr>
      <w:r>
        <w:rPr>
          <w:bCs/>
          <w:b/>
        </w:rPr>
        <w:t xml:space="preserve">729,500</w:t>
      </w:r>
      <w:r>
        <w:t xml:space="preserve"> </w:t>
      </w:r>
      <w:r>
        <w:t xml:space="preserve">empregos em 2024;</w:t>
      </w:r>
    </w:p>
    <w:p>
      <w:pPr>
        <w:numPr>
          <w:ilvl w:val="0"/>
          <w:numId w:val="1006"/>
        </w:numPr>
        <w:pStyle w:val="Compact"/>
      </w:pPr>
      <w:r>
        <w:rPr>
          <w:bCs/>
          <w:b/>
        </w:rPr>
        <w:t xml:space="preserve">702,500</w:t>
      </w:r>
      <w:r>
        <w:t xml:space="preserve"> </w:t>
      </w:r>
      <w:r>
        <w:t xml:space="preserve">projetados em 2034;</w:t>
      </w:r>
    </w:p>
    <w:p>
      <w:pPr>
        <w:numPr>
          <w:ilvl w:val="0"/>
          <w:numId w:val="1006"/>
        </w:numPr>
        <w:pStyle w:val="Compact"/>
      </w:pPr>
      <w:r>
        <w:rPr>
          <w:bCs/>
          <w:b/>
        </w:rPr>
        <w:t xml:space="preserve">-4%</w:t>
      </w:r>
      <w:r>
        <w:t xml:space="preserve"> </w:t>
      </w:r>
      <w:r>
        <w:t xml:space="preserve">de crescimento projetado;</w:t>
      </w:r>
    </w:p>
    <w:p>
      <w:pPr>
        <w:numPr>
          <w:ilvl w:val="0"/>
          <w:numId w:val="1006"/>
        </w:numPr>
        <w:pStyle w:val="Compact"/>
      </w:pPr>
      <w:r>
        <w:rPr>
          <w:bCs/>
          <w:b/>
        </w:rPr>
        <w:t xml:space="preserve">40,800</w:t>
      </w:r>
      <w:r>
        <w:t xml:space="preserve"> </w:t>
      </w:r>
      <w:r>
        <w:t xml:space="preserve">vagas anuais projetadas.</w:t>
      </w:r>
    </w:p>
    <w:p>
      <w:pPr>
        <w:pStyle w:val="FirstParagraph"/>
      </w:pPr>
      <w:r>
        <w:t xml:space="preserve">A queda precisa fazer parte do planejamento de carreira.</w:t>
      </w:r>
    </w:p>
    <w:bookmarkStart w:id="54" w:name="contexto-não-governamental-dos-eua"/>
    <w:p>
      <w:pPr>
        <w:pStyle w:val="Heading3"/>
      </w:pPr>
      <w:r>
        <w:t xml:space="preserve">Contexto não governamental dos EUA</w:t>
      </w:r>
    </w:p>
    <w:p>
      <w:pPr>
        <w:pStyle w:val="FirstParagraph"/>
      </w:pPr>
      <w:r>
        <w:t xml:space="preserve">Indeed reportou aproximadamente</w:t>
      </w:r>
      <w:r>
        <w:t xml:space="preserve"> </w:t>
      </w:r>
      <w:r>
        <w:rPr>
          <w:bCs/>
          <w:b/>
        </w:rPr>
        <w:t xml:space="preserve">$23.59/hora</w:t>
      </w:r>
      <w:r>
        <w:t xml:space="preserve"> </w:t>
      </w:r>
      <w:r>
        <w:t xml:space="preserve">de salário-base médio para Helpdesk Technician, com faixa mostrada de aproximadamente</w:t>
      </w:r>
      <w:r>
        <w:t xml:space="preserve"> </w:t>
      </w:r>
      <w:r>
        <w:rPr>
          <w:bCs/>
          <w:b/>
        </w:rPr>
        <w:t xml:space="preserve">$16.86–$33.00/hora</w:t>
      </w:r>
      <w:r>
        <w:t xml:space="preserve">, com cerca de</w:t>
      </w:r>
      <w:r>
        <w:t xml:space="preserve"> </w:t>
      </w:r>
      <w:r>
        <w:rPr>
          <w:bCs/>
          <w:b/>
        </w:rPr>
        <w:t xml:space="preserve">2.7k salários</w:t>
      </w:r>
      <w:r>
        <w:t xml:space="preserve"> </w:t>
      </w:r>
      <w:r>
        <w:t xml:space="preserve">derivados de vagas nos</w:t>
      </w:r>
      <w:r>
        <w:t xml:space="preserve"> </w:t>
      </w:r>
      <w:r>
        <w:rPr>
          <w:bCs/>
          <w:b/>
        </w:rPr>
        <w:t xml:space="preserve">36 meses</w:t>
      </w:r>
      <w:r>
        <w:t xml:space="preserve"> </w:t>
      </w:r>
      <w:r>
        <w:t xml:space="preserve">anteriores, atualizado em</w:t>
      </w:r>
      <w:r>
        <w:t xml:space="preserve"> </w:t>
      </w:r>
      <w:r>
        <w:rPr>
          <w:bCs/>
          <w:b/>
        </w:rPr>
        <w:t xml:space="preserve">3 de agosto de 2026</w:t>
      </w:r>
      <w:r>
        <w:t xml:space="preserve">.</w:t>
      </w:r>
    </w:p>
    <w:p>
      <w:pPr>
        <w:pStyle w:val="BodyText"/>
      </w:pPr>
      <w:r>
        <w:t xml:space="preserve">É contexto não governamental e não substitui O*NET/BLS nem garante oferta.</w:t>
      </w:r>
    </w:p>
    <w:bookmarkEnd w:id="54"/>
    <w:bookmarkEnd w:id="55"/>
    <w:bookmarkStart w:id="56" w:name="caminho-no-canadá"/>
    <w:p>
      <w:pPr>
        <w:pStyle w:val="Heading2"/>
      </w:pPr>
      <w:r>
        <w:t xml:space="preserve">Caminho no Canadá</w:t>
      </w:r>
    </w:p>
    <w:p>
      <w:pPr>
        <w:pStyle w:val="FirstParagraph"/>
      </w:pPr>
      <w:r>
        <w:t xml:space="preserve">Job Bank identifica</w:t>
      </w:r>
      <w:r>
        <w:t xml:space="preserve"> </w:t>
      </w:r>
      <w:r>
        <w:rPr>
          <w:bCs/>
          <w:b/>
        </w:rPr>
        <w:t xml:space="preserve">NOC 22221 — User support technicians</w:t>
      </w:r>
      <w:r>
        <w:t xml:space="preserve">. Requisitos típicos incluem programa de college em ciência da computação, programação ou administração de redes, ou cursos relacionados. Alguns empregadores podem pedir treinamento/certificação de fornecedores.</w:t>
      </w:r>
    </w:p>
    <w:p>
      <w:pPr>
        <w:pStyle w:val="BodyText"/>
      </w:pPr>
      <w:r>
        <w:t xml:space="preserve">Salários nacionais:</w:t>
      </w:r>
    </w:p>
    <w:p>
      <w:pPr>
        <w:numPr>
          <w:ilvl w:val="0"/>
          <w:numId w:val="1007"/>
        </w:numPr>
        <w:pStyle w:val="Compact"/>
      </w:pPr>
      <w:r>
        <w:rPr>
          <w:bCs/>
          <w:b/>
        </w:rPr>
        <w:t xml:space="preserve">C$20.50/hora</w:t>
      </w:r>
      <w:r>
        <w:t xml:space="preserve"> </w:t>
      </w:r>
      <w:r>
        <w:t xml:space="preserve">baixo;</w:t>
      </w:r>
    </w:p>
    <w:p>
      <w:pPr>
        <w:numPr>
          <w:ilvl w:val="0"/>
          <w:numId w:val="1007"/>
        </w:numPr>
        <w:pStyle w:val="Compact"/>
      </w:pPr>
      <w:r>
        <w:rPr>
          <w:bCs/>
          <w:b/>
        </w:rPr>
        <w:t xml:space="preserve">C$31.47/hora</w:t>
      </w:r>
      <w:r>
        <w:t xml:space="preserve"> </w:t>
      </w:r>
      <w:r>
        <w:t xml:space="preserve">mediano;</w:t>
      </w:r>
    </w:p>
    <w:p>
      <w:pPr>
        <w:numPr>
          <w:ilvl w:val="0"/>
          <w:numId w:val="1007"/>
        </w:numPr>
        <w:pStyle w:val="Compact"/>
      </w:pPr>
      <w:r>
        <w:rPr>
          <w:bCs/>
          <w:b/>
        </w:rPr>
        <w:t xml:space="preserve">C$49.00/hora</w:t>
      </w:r>
      <w:r>
        <w:t xml:space="preserve"> </w:t>
      </w:r>
      <w:r>
        <w:t xml:space="preserve">alto.</w:t>
      </w:r>
    </w:p>
    <w:p>
      <w:pPr>
        <w:pStyle w:val="FirstParagraph"/>
      </w:pPr>
      <w:r>
        <w:t xml:space="preserve">Canada.ca oferece um portal de formação, apoio estudantil e atualização de habilidades. Elegibilidade varia.</w:t>
      </w:r>
    </w:p>
    <w:bookmarkEnd w:id="56"/>
    <w:bookmarkStart w:id="58" w:name="caminho-na-colômbia"/>
    <w:p>
      <w:pPr>
        <w:pStyle w:val="Heading2"/>
      </w:pPr>
      <w:r>
        <w:t xml:space="preserve">Caminho na Colômbia</w:t>
      </w:r>
    </w:p>
    <w:p>
      <w:pPr>
        <w:pStyle w:val="FirstParagraph"/>
      </w:pPr>
      <w:r>
        <w:t xml:space="preserve">OCUPACOL</w:t>
      </w:r>
      <w:r>
        <w:t xml:space="preserve"> </w:t>
      </w:r>
      <w:r>
        <w:rPr>
          <w:bCs/>
          <w:b/>
        </w:rPr>
        <w:t xml:space="preserve">CUOC 35121</w:t>
      </w:r>
      <w:r>
        <w:t xml:space="preserve"> </w:t>
      </w:r>
      <w:r>
        <w:t xml:space="preserve">corresponde diretamente a suporte de usuários/help desk. Inclui instalação de computadores, gestão de incidentes, manutenção/reparo, suporte TI, orientação ao usuário e registro de operações/problemas/correções.</w:t>
      </w:r>
    </w:p>
    <w:p>
      <w:pPr>
        <w:pStyle w:val="BodyText"/>
      </w:pPr>
      <w:r>
        <w:t xml:space="preserve">Denominações incluem</w:t>
      </w:r>
      <w:r>
        <w:t xml:space="preserve"> </w:t>
      </w:r>
      <w:r>
        <w:rPr>
          <w:rStyle w:val="VerbatimChar"/>
        </w:rPr>
        <w:t xml:space="preserve">Analista de computadores mesa de ayuda</w:t>
      </w:r>
      <w:r>
        <w:t xml:space="preserve">,</w:t>
      </w:r>
      <w:r>
        <w:t xml:space="preserve"> </w:t>
      </w:r>
      <w:r>
        <w:rPr>
          <w:rStyle w:val="VerbatimChar"/>
        </w:rPr>
        <w:t xml:space="preserve">Técnico de servicios informáticos a usuarios</w:t>
      </w:r>
      <w:r>
        <w:t xml:space="preserve">,</w:t>
      </w:r>
      <w:r>
        <w:t xml:space="preserve"> </w:t>
      </w:r>
      <w:r>
        <w:rPr>
          <w:rStyle w:val="VerbatimChar"/>
        </w:rPr>
        <w:t xml:space="preserve">Técnico de soporte informático</w:t>
      </w:r>
      <w:r>
        <w:t xml:space="preserve">,</w:t>
      </w:r>
      <w:r>
        <w:t xml:space="preserve"> </w:t>
      </w:r>
      <w:r>
        <w:rPr>
          <w:rStyle w:val="VerbatimChar"/>
        </w:rPr>
        <w:t xml:space="preserve">Técnico en asistencia y soporte de tecnologías de la información</w:t>
      </w:r>
      <w:r>
        <w:t xml:space="preserve"> </w:t>
      </w:r>
      <w:r>
        <w:t xml:space="preserve">e</w:t>
      </w:r>
      <w:r>
        <w:t xml:space="preserve"> </w:t>
      </w:r>
      <w:r>
        <w:rPr>
          <w:rStyle w:val="VerbatimChar"/>
        </w:rPr>
        <w:t xml:space="preserve">Técnico soporte mesa de ayuda (help desk)</w:t>
      </w:r>
      <w:r>
        <w:t xml:space="preserve">.</w:t>
      </w:r>
    </w:p>
    <w:bookmarkStart w:id="57" w:name="sena"/>
    <w:p>
      <w:pPr>
        <w:pStyle w:val="Heading3"/>
      </w:pPr>
      <w:r>
        <w:t xml:space="preserve">SENA</w:t>
      </w:r>
    </w:p>
    <w:p>
      <w:pPr>
        <w:pStyle w:val="FirstParagraph"/>
      </w:pPr>
      <w:r>
        <w:t xml:space="preserve">Rotas atuais de 2026 incluem</w:t>
      </w:r>
      <w:r>
        <w:t xml:space="preserve"> </w:t>
      </w:r>
      <w:r>
        <w:rPr>
          <w:bCs/>
          <w:b/>
        </w:rPr>
        <w:t xml:space="preserve">Sistemas Teleinformáticos</w:t>
      </w:r>
      <w:r>
        <w:t xml:space="preserve">,</w:t>
      </w:r>
      <w:r>
        <w:t xml:space="preserve"> </w:t>
      </w:r>
      <w:r>
        <w:rPr>
          <w:bCs/>
          <w:b/>
        </w:rPr>
        <w:t xml:space="preserve">Instalación de Redes de Computadores</w:t>
      </w:r>
      <w:r>
        <w:t xml:space="preserve"> </w:t>
      </w:r>
      <w:r>
        <w:t xml:space="preserve">e, em algumas ofertas regionais,</w:t>
      </w:r>
      <w:r>
        <w:t xml:space="preserve"> </w:t>
      </w:r>
      <w:r>
        <w:rPr>
          <w:bCs/>
          <w:b/>
        </w:rPr>
        <w:t xml:space="preserve">Mantenimiento de equipos de cómputo</w:t>
      </w:r>
      <w:r>
        <w:t xml:space="preserve">. A oferta, município, turma, modalidade e vagas mudam; confirme Betowa.</w:t>
      </w:r>
    </w:p>
    <w:bookmarkEnd w:id="57"/>
    <w:bookmarkEnd w:id="58"/>
    <w:bookmarkStart w:id="59" w:name="américa-latina-e-caribe"/>
    <w:p>
      <w:pPr>
        <w:pStyle w:val="Heading2"/>
      </w:pPr>
      <w:r>
        <w:t xml:space="preserve">América Latina e Caribe</w:t>
      </w:r>
    </w:p>
    <w:p>
      <w:pPr>
        <w:pStyle w:val="FirstParagraph"/>
      </w:pPr>
      <w:r>
        <w:t xml:space="preserve">OIT/Cinterfor ajuda a identificar instituições nacionais de formação profissional. Depois, confirme catálogo, custo, modalidade, elegibilidade e credencial com a instituição responsável.</w:t>
      </w:r>
    </w:p>
    <w:bookmarkEnd w:id="59"/>
    <w:bookmarkStart w:id="60" w:name="portfólio-sem-expor-sistemas-reais"/>
    <w:p>
      <w:pPr>
        <w:pStyle w:val="Heading2"/>
      </w:pPr>
      <w:r>
        <w:t xml:space="preserve">Portfólio sem expor sistemas reais</w:t>
      </w:r>
    </w:p>
    <w:p>
      <w:pPr>
        <w:pStyle w:val="FirstParagraph"/>
      </w:pPr>
      <w:r>
        <w:t xml:space="preserve">Use laboratório, VMs, dados sintéticos e cenários fictícios. Mostre árvore de diagnóstico, ticket sintético, artigo de conhecimento, checklist de onboarding, fluxo de reset, planilha de diagnóstico, template de escalonamento ou script de laboratório.</w:t>
      </w:r>
    </w:p>
    <w:p>
      <w:pPr>
        <w:pStyle w:val="BodyText"/>
      </w:pPr>
      <w:r>
        <w:t xml:space="preserve">Nunca publique nomes/e-mails reais, hosts/IPs internos, credenciais, tokens, mapas de rede, incidentes reais, tickets internos ou dados de clientes/empregados.</w:t>
      </w:r>
    </w:p>
    <w:bookmarkEnd w:id="60"/>
    <w:bookmarkStart w:id="67" w:name="plano-prático-de-30-dias"/>
    <w:p>
      <w:pPr>
        <w:pStyle w:val="Heading2"/>
      </w:pPr>
      <w:r>
        <w:t xml:space="preserve">Plano prático de 30 dias</w:t>
      </w:r>
    </w:p>
    <w:bookmarkStart w:id="61" w:name="dias-15"/>
    <w:p>
      <w:pPr>
        <w:pStyle w:val="Heading3"/>
      </w:pPr>
      <w:r>
        <w:t xml:space="preserve">Dias 1–5</w:t>
      </w:r>
    </w:p>
    <w:p>
      <w:pPr>
        <w:pStyle w:val="FirstParagraph"/>
      </w:pPr>
      <w:r>
        <w:t xml:space="preserve">Aprenda ciclo de tickets, triagem, hardware/SO básico, verificação de identidade e crie tickets sintéticos.</w:t>
      </w:r>
    </w:p>
    <w:bookmarkEnd w:id="61"/>
    <w:bookmarkStart w:id="62" w:name="dias-610"/>
    <w:p>
      <w:pPr>
        <w:pStyle w:val="Heading3"/>
      </w:pPr>
      <w:r>
        <w:t xml:space="preserve">Dias 6–10</w:t>
      </w:r>
    </w:p>
    <w:p>
      <w:pPr>
        <w:pStyle w:val="FirstParagraph"/>
      </w:pPr>
      <w:r>
        <w:t xml:space="preserve">Pratique reproduzir → isolar → testar → verificar em laboratório/VM e documente mudanças.</w:t>
      </w:r>
    </w:p>
    <w:bookmarkEnd w:id="62"/>
    <w:bookmarkStart w:id="63" w:name="dias-1115"/>
    <w:p>
      <w:pPr>
        <w:pStyle w:val="Heading3"/>
      </w:pPr>
      <w:r>
        <w:t xml:space="preserve">Dias 11–15</w:t>
      </w:r>
    </w:p>
    <w:p>
      <w:pPr>
        <w:pStyle w:val="FirstParagraph"/>
      </w:pPr>
      <w:r>
        <w:t xml:space="preserve">Aprenda IP, gateway, DNS, DHCP, Wi-Fi, VPN, usuários/grupos/permissões, MFA e engenharia social.</w:t>
      </w:r>
    </w:p>
    <w:bookmarkEnd w:id="63"/>
    <w:bookmarkStart w:id="64" w:name="dias-1620"/>
    <w:p>
      <w:pPr>
        <w:pStyle w:val="Heading3"/>
      </w:pPr>
      <w:r>
        <w:t xml:space="preserve">Dias 16–20</w:t>
      </w:r>
    </w:p>
    <w:p>
      <w:pPr>
        <w:pStyle w:val="FirstParagraph"/>
      </w:pPr>
      <w:r>
        <w:t xml:space="preserve">Explore ticketing, crie dois artigos, uma escalada segura e pratique suporte remoto com dados fictícios.</w:t>
      </w:r>
    </w:p>
    <w:bookmarkEnd w:id="64"/>
    <w:bookmarkStart w:id="65" w:name="dias-2125"/>
    <w:p>
      <w:pPr>
        <w:pStyle w:val="Heading3"/>
      </w:pPr>
      <w:r>
        <w:t xml:space="preserve">Dias 21–25</w:t>
      </w:r>
    </w:p>
    <w:p>
      <w:pPr>
        <w:pStyle w:val="FirstParagraph"/>
      </w:pPr>
      <w:r>
        <w:t xml:space="preserve">Revise CISA Secure Our World, riscos de reset/MFA e configurações de acessibilidade.</w:t>
      </w:r>
    </w:p>
    <w:bookmarkEnd w:id="65"/>
    <w:bookmarkStart w:id="66" w:name="dias-2630"/>
    <w:p>
      <w:pPr>
        <w:pStyle w:val="Heading3"/>
      </w:pPr>
      <w:r>
        <w:t xml:space="preserve">Dias 26–30</w:t>
      </w:r>
    </w:p>
    <w:p>
      <w:pPr>
        <w:pStyle w:val="FirstParagraph"/>
      </w:pPr>
      <w:r>
        <w:t xml:space="preserve">Finalize três a cinco artefatos sintéticos, prepare currículo e busque help desk, service desk, desktop support, user support, IT support e technical support.</w:t>
      </w:r>
    </w:p>
    <w:bookmarkEnd w:id="66"/>
    <w:bookmarkEnd w:id="67"/>
    <w:bookmarkStart w:id="68" w:name="preparação-para-entrevistas"/>
    <w:p>
      <w:pPr>
        <w:pStyle w:val="Heading2"/>
      </w:pPr>
      <w:r>
        <w:t xml:space="preserve">Preparação para entrevistas</w:t>
      </w:r>
    </w:p>
    <w:p>
      <w:pPr>
        <w:pStyle w:val="FirstParagraph"/>
      </w:pPr>
      <w:r>
        <w:t xml:space="preserve">Explique seu processo. Para “a internet caiu”, comece com escopo e evidência. Para um executivo que pede bypass de MFA, mantenha a verificação. Se não souber, pesquise documentação aprovada, teste com segurança e escale. Se IA recomendar comando desconhecido, não execute sem entender. Se a correção depende de desativar segurança, não trate como resolução final sem autoridade e controle.</w:t>
      </w:r>
    </w:p>
    <w:bookmarkEnd w:id="68"/>
    <w:bookmarkStart w:id="69" w:name="perguntas-antes-de-pagar-por-formação"/>
    <w:p>
      <w:pPr>
        <w:pStyle w:val="Heading2"/>
      </w:pPr>
      <w:r>
        <w:t xml:space="preserve">Perguntas antes de pagar por formação</w:t>
      </w:r>
    </w:p>
    <w:p>
      <w:pPr>
        <w:numPr>
          <w:ilvl w:val="0"/>
          <w:numId w:val="1008"/>
        </w:numPr>
        <w:pStyle w:val="Compact"/>
      </w:pPr>
      <w:r>
        <w:t xml:space="preserve">Há prática real de troubleshooting?</w:t>
      </w:r>
    </w:p>
    <w:p>
      <w:pPr>
        <w:numPr>
          <w:ilvl w:val="0"/>
          <w:numId w:val="1008"/>
        </w:numPr>
        <w:pStyle w:val="Compact"/>
      </w:pPr>
      <w:r>
        <w:t xml:space="preserve">Há tickets e escalonamento?</w:t>
      </w:r>
    </w:p>
    <w:p>
      <w:pPr>
        <w:numPr>
          <w:ilvl w:val="0"/>
          <w:numId w:val="1008"/>
        </w:numPr>
        <w:pStyle w:val="Compact"/>
      </w:pPr>
      <w:r>
        <w:t xml:space="preserve">Cobre identidade, MFA e engenharia social?</w:t>
      </w:r>
    </w:p>
    <w:p>
      <w:pPr>
        <w:numPr>
          <w:ilvl w:val="0"/>
          <w:numId w:val="1008"/>
        </w:numPr>
        <w:pStyle w:val="Compact"/>
      </w:pPr>
      <w:r>
        <w:t xml:space="preserve">Inclui sistemas operacionais e redes básicas?</w:t>
      </w:r>
    </w:p>
    <w:p>
      <w:pPr>
        <w:numPr>
          <w:ilvl w:val="0"/>
          <w:numId w:val="1008"/>
        </w:numPr>
        <w:pStyle w:val="Compact"/>
      </w:pPr>
      <w:r>
        <w:t xml:space="preserve">Existem laboratórios?</w:t>
      </w:r>
    </w:p>
    <w:p>
      <w:pPr>
        <w:numPr>
          <w:ilvl w:val="0"/>
          <w:numId w:val="1008"/>
        </w:numPr>
        <w:pStyle w:val="Compact"/>
      </w:pPr>
      <w:r>
        <w:t xml:space="preserve">Exames de certificação estão incluídos?</w:t>
      </w:r>
    </w:p>
    <w:p>
      <w:pPr>
        <w:numPr>
          <w:ilvl w:val="0"/>
          <w:numId w:val="1008"/>
        </w:numPr>
        <w:pStyle w:val="Compact"/>
      </w:pPr>
      <w:r>
        <w:t xml:space="preserve">Existe prática profissional real?</w:t>
      </w:r>
    </w:p>
    <w:p>
      <w:pPr>
        <w:numPr>
          <w:ilvl w:val="0"/>
          <w:numId w:val="1008"/>
        </w:numPr>
        <w:pStyle w:val="Compact"/>
      </w:pPr>
      <w:r>
        <w:t xml:space="preserve">O provedor é elegível para o financiamento esperado?</w:t>
      </w:r>
    </w:p>
    <w:p>
      <w:pPr>
        <w:numPr>
          <w:ilvl w:val="0"/>
          <w:numId w:val="1008"/>
        </w:numPr>
        <w:pStyle w:val="Compact"/>
      </w:pPr>
      <w:r>
        <w:t xml:space="preserve">Que evidência sustenta promessas de emprego ou salário?</w:t>
      </w:r>
    </w:p>
    <w:bookmarkEnd w:id="69"/>
    <w:bookmarkStart w:id="93" w:name="X7310c3ed132d3f3210879b6eecf11b23a2ed307"/>
    <w:p>
      <w:pPr>
        <w:pStyle w:val="Heading2"/>
      </w:pPr>
      <w:r>
        <w:t xml:space="preserve">Fontes para verificar antes de decisões importantes</w:t>
      </w:r>
    </w:p>
    <w:p>
      <w:pPr>
        <w:numPr>
          <w:ilvl w:val="0"/>
          <w:numId w:val="1009"/>
        </w:numPr>
        <w:pStyle w:val="Compact"/>
      </w:pPr>
      <w:r>
        <w:t xml:space="preserve">O*NET Computer User Support Specialists summary:</w:t>
      </w:r>
      <w:r>
        <w:t xml:space="preserve"> </w:t>
      </w:r>
      <w:hyperlink r:id="rId70">
        <w:hyperlink r:id="rId70">
          <w:r>
            <w:rPr>
              <w:rStyle w:val="Hyperlink"/>
            </w:rPr>
            <w:t xml:space="preserve">Source link</w:t>
          </w:r>
        </w:hyperlink>
      </w:hyperlink>
    </w:p>
    <w:p>
      <w:pPr>
        <w:numPr>
          <w:ilvl w:val="0"/>
          <w:numId w:val="1009"/>
        </w:numPr>
        <w:pStyle w:val="Compact"/>
      </w:pPr>
      <w:r>
        <w:t xml:space="preserve">O*NET detailed profile:</w:t>
      </w:r>
      <w:r>
        <w:t xml:space="preserve"> </w:t>
      </w:r>
      <w:hyperlink r:id="rId71">
        <w:hyperlink r:id="rId71">
          <w:r>
            <w:rPr>
              <w:rStyle w:val="Hyperlink"/>
            </w:rPr>
            <w:t xml:space="preserve">Source link</w:t>
          </w:r>
        </w:hyperlink>
      </w:hyperlink>
    </w:p>
    <w:p>
      <w:pPr>
        <w:numPr>
          <w:ilvl w:val="0"/>
          <w:numId w:val="1009"/>
        </w:numPr>
        <w:pStyle w:val="Compact"/>
      </w:pPr>
      <w:r>
        <w:t xml:space="preserve">O*NET Job Zone:</w:t>
      </w:r>
      <w:r>
        <w:t xml:space="preserve"> </w:t>
      </w:r>
      <w:hyperlink r:id="rId72">
        <w:hyperlink r:id="rId72">
          <w:r>
            <w:rPr>
              <w:rStyle w:val="Hyperlink"/>
            </w:rPr>
            <w:t xml:space="preserve">Source link</w:t>
          </w:r>
        </w:hyperlink>
      </w:hyperlink>
    </w:p>
    <w:p>
      <w:pPr>
        <w:numPr>
          <w:ilvl w:val="0"/>
          <w:numId w:val="1009"/>
        </w:numPr>
        <w:pStyle w:val="Compact"/>
      </w:pPr>
      <w:r>
        <w:t xml:space="preserve">O*NET/BLS national wages:</w:t>
      </w:r>
      <w:r>
        <w:t xml:space="preserve"> </w:t>
      </w:r>
      <w:hyperlink r:id="rId73">
        <w:hyperlink r:id="rId73">
          <w:r>
            <w:rPr>
              <w:rStyle w:val="Hyperlink"/>
            </w:rPr>
            <w:t xml:space="preserve">Source link</w:t>
          </w:r>
        </w:hyperlink>
      </w:hyperlink>
    </w:p>
    <w:p>
      <w:pPr>
        <w:numPr>
          <w:ilvl w:val="0"/>
          <w:numId w:val="1009"/>
        </w:numPr>
        <w:pStyle w:val="Compact"/>
      </w:pPr>
      <w:r>
        <w:t xml:space="preserve">O*NET/BLS employment trends:</w:t>
      </w:r>
      <w:r>
        <w:t xml:space="preserve"> </w:t>
      </w:r>
      <w:hyperlink r:id="rId74">
        <w:hyperlink r:id="rId74">
          <w:r>
            <w:rPr>
              <w:rStyle w:val="Hyperlink"/>
            </w:rPr>
            <w:t xml:space="preserve">Source link</w:t>
          </w:r>
        </w:hyperlink>
      </w:hyperlink>
    </w:p>
    <w:p>
      <w:pPr>
        <w:numPr>
          <w:ilvl w:val="0"/>
          <w:numId w:val="1009"/>
        </w:numPr>
        <w:pStyle w:val="Compact"/>
      </w:pPr>
      <w:r>
        <w:t xml:space="preserve">O*NET employer-posting software signals:</w:t>
      </w:r>
      <w:r>
        <w:t xml:space="preserve"> </w:t>
      </w:r>
      <w:hyperlink r:id="rId75">
        <w:hyperlink r:id="rId75">
          <w:r>
            <w:rPr>
              <w:rStyle w:val="Hyperlink"/>
            </w:rPr>
            <w:t xml:space="preserve">Source link</w:t>
          </w:r>
        </w:hyperlink>
      </w:hyperlink>
    </w:p>
    <w:p>
      <w:pPr>
        <w:numPr>
          <w:ilvl w:val="0"/>
          <w:numId w:val="1009"/>
        </w:numPr>
        <w:pStyle w:val="Compact"/>
      </w:pPr>
      <w:r>
        <w:t xml:space="preserve">Indeed Helpdesk Technician salary context:</w:t>
      </w:r>
      <w:r>
        <w:t xml:space="preserve"> </w:t>
      </w:r>
      <w:hyperlink r:id="rId76">
        <w:hyperlink r:id="rId76">
          <w:r>
            <w:rPr>
              <w:rStyle w:val="Hyperlink"/>
            </w:rPr>
            <w:t xml:space="preserve">Source link</w:t>
          </w:r>
        </w:hyperlink>
      </w:hyperlink>
    </w:p>
    <w:p>
      <w:pPr>
        <w:numPr>
          <w:ilvl w:val="0"/>
          <w:numId w:val="1009"/>
        </w:numPr>
        <w:pStyle w:val="Compact"/>
      </w:pPr>
      <w:r>
        <w:t xml:space="preserve">CareerOneStop WIOA training locator:</w:t>
      </w:r>
      <w:r>
        <w:t xml:space="preserve"> </w:t>
      </w:r>
      <w:hyperlink r:id="rId77">
        <w:hyperlink r:id="rId77">
          <w:r>
            <w:rPr>
              <w:rStyle w:val="Hyperlink"/>
            </w:rPr>
            <w:t xml:space="preserve">Source link</w:t>
          </w:r>
        </w:hyperlink>
      </w:hyperlink>
    </w:p>
    <w:p>
      <w:pPr>
        <w:numPr>
          <w:ilvl w:val="0"/>
          <w:numId w:val="1009"/>
        </w:numPr>
        <w:pStyle w:val="Compact"/>
      </w:pPr>
      <w:r>
        <w:t xml:space="preserve">CareerOneStop training finder:</w:t>
      </w:r>
      <w:r>
        <w:t xml:space="preserve"> </w:t>
      </w:r>
      <w:hyperlink r:id="rId78">
        <w:hyperlink r:id="rId78">
          <w:r>
            <w:rPr>
              <w:rStyle w:val="Hyperlink"/>
            </w:rPr>
            <w:t xml:space="preserve">Source link</w:t>
          </w:r>
        </w:hyperlink>
      </w:hyperlink>
    </w:p>
    <w:p>
      <w:pPr>
        <w:numPr>
          <w:ilvl w:val="0"/>
          <w:numId w:val="1009"/>
        </w:numPr>
        <w:pStyle w:val="Compact"/>
      </w:pPr>
      <w:r>
        <w:t xml:space="preserve">Canada Job Bank NOC 22221 summary:</w:t>
      </w:r>
      <w:r>
        <w:t xml:space="preserve"> </w:t>
      </w:r>
      <w:hyperlink r:id="rId79">
        <w:hyperlink r:id="rId79">
          <w:r>
            <w:rPr>
              <w:rStyle w:val="Hyperlink"/>
            </w:rPr>
            <w:t xml:space="preserve">Source link</w:t>
          </w:r>
        </w:hyperlink>
      </w:hyperlink>
    </w:p>
    <w:p>
      <w:pPr>
        <w:numPr>
          <w:ilvl w:val="0"/>
          <w:numId w:val="1009"/>
        </w:numPr>
        <w:pStyle w:val="Compact"/>
      </w:pPr>
      <w:r>
        <w:t xml:space="preserve">Canada Job Bank requirements:</w:t>
      </w:r>
      <w:r>
        <w:t xml:space="preserve"> </w:t>
      </w:r>
      <w:hyperlink r:id="rId80">
        <w:hyperlink r:id="rId80">
          <w:r>
            <w:rPr>
              <w:rStyle w:val="Hyperlink"/>
            </w:rPr>
            <w:t xml:space="preserve">Source link</w:t>
          </w:r>
        </w:hyperlink>
      </w:hyperlink>
    </w:p>
    <w:p>
      <w:pPr>
        <w:numPr>
          <w:ilvl w:val="0"/>
          <w:numId w:val="1009"/>
        </w:numPr>
        <w:pStyle w:val="Compact"/>
      </w:pPr>
      <w:r>
        <w:t xml:space="preserve">Canada Job Bank national wages:</w:t>
      </w:r>
      <w:r>
        <w:t xml:space="preserve"> </w:t>
      </w:r>
      <w:hyperlink r:id="rId81">
        <w:hyperlink r:id="rId81">
          <w:r>
            <w:rPr>
              <w:rStyle w:val="Hyperlink"/>
            </w:rPr>
            <w:t xml:space="preserve">Source link</w:t>
          </w:r>
        </w:hyperlink>
      </w:hyperlink>
    </w:p>
    <w:p>
      <w:pPr>
        <w:numPr>
          <w:ilvl w:val="0"/>
          <w:numId w:val="1009"/>
        </w:numPr>
        <w:pStyle w:val="Compact"/>
      </w:pPr>
      <w:r>
        <w:t xml:space="preserve">Canada jobs/training gateway:</w:t>
      </w:r>
      <w:r>
        <w:t xml:space="preserve"> </w:t>
      </w:r>
      <w:hyperlink r:id="rId82">
        <w:hyperlink r:id="rId82">
          <w:r>
            <w:rPr>
              <w:rStyle w:val="Hyperlink"/>
            </w:rPr>
            <w:t xml:space="preserve">Source link</w:t>
          </w:r>
        </w:hyperlink>
      </w:hyperlink>
    </w:p>
    <w:p>
      <w:pPr>
        <w:numPr>
          <w:ilvl w:val="0"/>
          <w:numId w:val="1009"/>
        </w:numPr>
        <w:pStyle w:val="Compact"/>
      </w:pPr>
      <w:r>
        <w:t xml:space="preserve">Colombia OCUPACOL CUOC 35121:</w:t>
      </w:r>
      <w:r>
        <w:t xml:space="preserve"> </w:t>
      </w:r>
      <w:hyperlink r:id="rId83">
        <w:hyperlink r:id="rId83">
          <w:r>
            <w:rPr>
              <w:rStyle w:val="Hyperlink"/>
            </w:rPr>
            <w:t xml:space="preserve">Source link</w:t>
          </w:r>
        </w:hyperlink>
      </w:hyperlink>
    </w:p>
    <w:p>
      <w:pPr>
        <w:numPr>
          <w:ilvl w:val="0"/>
          <w:numId w:val="1009"/>
        </w:numPr>
        <w:pStyle w:val="Compact"/>
      </w:pPr>
      <w:r>
        <w:t xml:space="preserve">SENA Sistemas Teleinformáticos:</w:t>
      </w:r>
      <w:r>
        <w:t xml:space="preserve"> </w:t>
      </w:r>
      <w:hyperlink r:id="rId84">
        <w:hyperlink r:id="rId84">
          <w:r>
            <w:rPr>
              <w:rStyle w:val="Hyperlink"/>
            </w:rPr>
            <w:t xml:space="preserve">Source link</w:t>
          </w:r>
        </w:hyperlink>
      </w:hyperlink>
    </w:p>
    <w:p>
      <w:pPr>
        <w:numPr>
          <w:ilvl w:val="0"/>
          <w:numId w:val="1009"/>
        </w:numPr>
        <w:pStyle w:val="Compact"/>
      </w:pPr>
      <w:r>
        <w:t xml:space="preserve">SENA Instalación de Redes de Computadores:</w:t>
      </w:r>
      <w:r>
        <w:t xml:space="preserve"> </w:t>
      </w:r>
      <w:hyperlink r:id="rId85">
        <w:hyperlink r:id="rId85">
          <w:r>
            <w:rPr>
              <w:rStyle w:val="Hyperlink"/>
            </w:rPr>
            <w:t xml:space="preserve">Source link</w:t>
          </w:r>
        </w:hyperlink>
      </w:hyperlink>
    </w:p>
    <w:p>
      <w:pPr>
        <w:numPr>
          <w:ilvl w:val="0"/>
          <w:numId w:val="1009"/>
        </w:numPr>
        <w:pStyle w:val="Compact"/>
      </w:pPr>
      <w:r>
        <w:t xml:space="preserve">SENA current 2026 offer information:</w:t>
      </w:r>
      <w:r>
        <w:t xml:space="preserve"> </w:t>
      </w:r>
      <w:hyperlink r:id="rId86">
        <w:hyperlink r:id="rId86">
          <w:r>
            <w:rPr>
              <w:rStyle w:val="Hyperlink"/>
            </w:rPr>
            <w:t xml:space="preserve">Source link</w:t>
          </w:r>
        </w:hyperlink>
      </w:hyperlink>
    </w:p>
    <w:p>
      <w:pPr>
        <w:numPr>
          <w:ilvl w:val="0"/>
          <w:numId w:val="1009"/>
        </w:numPr>
        <w:pStyle w:val="Compact"/>
      </w:pPr>
      <w:r>
        <w:t xml:space="preserve">OIT/Cinterfor vocational-training institutions:</w:t>
      </w:r>
      <w:r>
        <w:t xml:space="preserve"> </w:t>
      </w:r>
      <w:hyperlink r:id="rId87">
        <w:r>
          <w:rPr>
            <w:rStyle w:val="Hyperlink"/>
          </w:rPr>
          <w:t xml:space="preserve">https://www.oitcinterfor.org/statsfp/paises</w:t>
        </w:r>
      </w:hyperlink>
    </w:p>
    <w:p>
      <w:pPr>
        <w:numPr>
          <w:ilvl w:val="0"/>
          <w:numId w:val="1009"/>
        </w:numPr>
        <w:pStyle w:val="Compact"/>
      </w:pPr>
      <w:r>
        <w:t xml:space="preserve">CISA Secure Our World:</w:t>
      </w:r>
      <w:r>
        <w:t xml:space="preserve"> </w:t>
      </w:r>
      <w:hyperlink r:id="rId88">
        <w:r>
          <w:rPr>
            <w:rStyle w:val="Hyperlink"/>
          </w:rPr>
          <w:t xml:space="preserve">https://www.cisa.gov/secure-our-world</w:t>
        </w:r>
      </w:hyperlink>
    </w:p>
    <w:p>
      <w:pPr>
        <w:numPr>
          <w:ilvl w:val="0"/>
          <w:numId w:val="1009"/>
        </w:numPr>
        <w:pStyle w:val="Compact"/>
      </w:pPr>
      <w:r>
        <w:t xml:space="preserve">Section508.gov:</w:t>
      </w:r>
      <w:r>
        <w:t xml:space="preserve"> </w:t>
      </w:r>
      <w:hyperlink r:id="rId89">
        <w:r>
          <w:rPr>
            <w:rStyle w:val="Hyperlink"/>
          </w:rPr>
          <w:t xml:space="preserve">https://www.section508.gov/</w:t>
        </w:r>
      </w:hyperlink>
    </w:p>
    <w:p>
      <w:pPr>
        <w:numPr>
          <w:ilvl w:val="0"/>
          <w:numId w:val="1009"/>
        </w:numPr>
        <w:pStyle w:val="Compact"/>
      </w:pPr>
      <w:r>
        <w:t xml:space="preserve">WCAG 2.2:</w:t>
      </w:r>
      <w:r>
        <w:t xml:space="preserve"> </w:t>
      </w:r>
      <w:hyperlink r:id="rId90">
        <w:r>
          <w:rPr>
            <w:rStyle w:val="Hyperlink"/>
          </w:rPr>
          <w:t xml:space="preserve">https://www.w3.org/TR/WCAG22/</w:t>
        </w:r>
      </w:hyperlink>
    </w:p>
    <w:p>
      <w:pPr>
        <w:numPr>
          <w:ilvl w:val="0"/>
          <w:numId w:val="1009"/>
        </w:numPr>
        <w:pStyle w:val="Compact"/>
      </w:pPr>
      <w:r>
        <w:t xml:space="preserve">NIST AI Risk Management Framework:</w:t>
      </w:r>
      <w:r>
        <w:t xml:space="preserve"> </w:t>
      </w:r>
      <w:hyperlink r:id="rId91">
        <w:hyperlink r:id="rId91">
          <w:r>
            <w:rPr>
              <w:rStyle w:val="Hyperlink"/>
            </w:rPr>
            <w:t xml:space="preserve">Source link</w:t>
          </w:r>
        </w:hyperlink>
      </w:hyperlink>
    </w:p>
    <w:p>
      <w:pPr>
        <w:numPr>
          <w:ilvl w:val="0"/>
          <w:numId w:val="1009"/>
        </w:numPr>
        <w:pStyle w:val="Compact"/>
      </w:pPr>
      <w:r>
        <w:t xml:space="preserve">NIST Generative AI Profile:</w:t>
      </w:r>
      <w:r>
        <w:t xml:space="preserve"> </w:t>
      </w:r>
      <w:hyperlink r:id="rId92">
        <w:hyperlink r:id="rId92">
          <w:r>
            <w:rPr>
              <w:rStyle w:val="Hyperlink"/>
            </w:rPr>
            <w:t xml:space="preserve">Source link</w:t>
          </w:r>
        </w:hyperlink>
      </w:hyperlink>
    </w:p>
    <w:bookmarkEnd w:id="93"/>
    <w:bookmarkStart w:id="94" w:name="verificação-final-de-realidade"/>
    <w:p>
      <w:pPr>
        <w:pStyle w:val="Heading2"/>
      </w:pPr>
      <w:r>
        <w:t xml:space="preserve">Verificação final de realidade</w:t>
      </w:r>
    </w:p>
    <w:p>
      <w:pPr>
        <w:pStyle w:val="FirstParagraph"/>
      </w:pPr>
      <w:r>
        <w:t xml:space="preserve">Suporte de TI pode ser uma entrada prática, mas nenhuma formação, certificação, portfólio ou ferramenta de IA garante emprego ou remuneração. A projeção de emprego total dos EUA é negativa, então construa habilidades transferíveis além de scripts: troubleshooting, identidade/acesso seguros, endpoint e nuvem, redes, documentação, acessibilidade, comunicação e automação responsável.</w:t>
      </w:r>
    </w:p>
    <w:p>
      <w:r>
        <w:pict>
          <v:rect style="width:0;height:1.5pt" o:hralign="center" o:hrstd="t" o:hr="t"/>
        </w:pict>
      </w:r>
    </w:p>
    <w:p>
      <w:pPr>
        <w:pStyle w:val="FirstParagraph"/>
      </w:pPr>
      <w:r>
        <w:rPr>
          <w:bCs/>
          <w:b/>
        </w:rPr>
        <w:t xml:space="preserve">Limite de asseguração:</w:t>
      </w:r>
      <w:r>
        <w:t xml:space="preserve"> </w:t>
      </w:r>
      <w:r>
        <w:t xml:space="preserve">este guia usa revisão controlada de fontes atuais e QA editorial/técnico interno. Não constitui certificação humana independente, tradução profissional certificada, certificação de acessibilidade ou cibersegurança, revisão jurídica/de privacidade, certificação de fornecedor, acreditação de formação, aprovação de financiamento ou garantia de emprego/renda.</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5" Target="https://betowa.sena.edu.co/oferta/instalacion-de-redes-de-computadores?programId=132975&amp;modality=P" TargetMode="External" /><Relationship Type="http://schemas.openxmlformats.org/officeDocument/2006/relationships/hyperlink" Id="rId84" Target="https://betowa.sena.edu.co/oferta/sistemas-teleinformaticos?programId=198816&amp;modality=P" TargetMode="External" /><Relationship Type="http://schemas.openxmlformats.org/officeDocument/2006/relationships/hyperlink" Id="rId86" Target="https://historico.sena.edu.co/es-co/Noticias/Paginas/noticia.aspx?IdNoticia=9274" TargetMode="External" /><Relationship Type="http://schemas.openxmlformats.org/officeDocument/2006/relationships/hyperlink" Id="rId83" Target="https://ocupacol.mintrabajo.gov.co/Profile/OccupationalProfile/35121" TargetMode="External" /><Relationship Type="http://schemas.openxmlformats.org/officeDocument/2006/relationships/hyperlink" Id="rId82" Target="https://www.canada.ca/en/services/jobs/training.html" TargetMode="External" /><Relationship Type="http://schemas.openxmlformats.org/officeDocument/2006/relationships/hyperlink" Id="rId78" Target="https://www.careeronestop.org/FindTraining/find-training.aspx" TargetMode="External" /><Relationship Type="http://schemas.openxmlformats.org/officeDocument/2006/relationships/hyperlink" Id="rId77" Target="https://www.careeronestop.org/LocalHelp/EmploymentAndTraining/find-WIOA-training-programs.aspx" TargetMode="External" /><Relationship Type="http://schemas.openxmlformats.org/officeDocument/2006/relationships/hyperlink" Id="rId88" Target="https://www.cisa.gov/secure-our-world" TargetMode="External" /><Relationship Type="http://schemas.openxmlformats.org/officeDocument/2006/relationships/hyperlink" Id="rId76" Target="https://www.indeed.com/career/helpdesk-technician/salaries" TargetMode="External" /><Relationship Type="http://schemas.openxmlformats.org/officeDocument/2006/relationships/hyperlink" Id="rId80" Target="https://www.jobbank.gc.ca/marketreport/requirements/296677/ca" TargetMode="External" /><Relationship Type="http://schemas.openxmlformats.org/officeDocument/2006/relationships/hyperlink" Id="rId79" Target="https://www.jobbank.gc.ca/marketreport/summary-occupation/3772/ca" TargetMode="External" /><Relationship Type="http://schemas.openxmlformats.org/officeDocument/2006/relationships/hyperlink" Id="rId81" Target="https://www.jobbank.gc.ca/wagereport/occupation/296730" TargetMode="External" /><Relationship Type="http://schemas.openxmlformats.org/officeDocument/2006/relationships/hyperlink" Id="rId91" Target="https://www.nist.gov/itl/ai-risk-management-framework" TargetMode="External" /><Relationship Type="http://schemas.openxmlformats.org/officeDocument/2006/relationships/hyperlink" Id="rId92" Target="https://www.nist.gov/publications/artificial-intelligence-risk-management-framework-generative-artificial-intelligence" TargetMode="External" /><Relationship Type="http://schemas.openxmlformats.org/officeDocument/2006/relationships/hyperlink" Id="rId87" Target="https://www.oitcinterfor.org/statsfp/paises" TargetMode="External" /><Relationship Type="http://schemas.openxmlformats.org/officeDocument/2006/relationships/hyperlink" Id="rId75" Target="https://www.onetonline.org/link/demand/15-1232.00" TargetMode="External" /><Relationship Type="http://schemas.openxmlformats.org/officeDocument/2006/relationships/hyperlink" Id="rId71" Target="https://www.onetonline.org/link/details/15-1232.00" TargetMode="External" /><Relationship Type="http://schemas.openxmlformats.org/officeDocument/2006/relationships/hyperlink" Id="rId74" Target="https://www.onetonline.org/link/localtrends/15-1232.00" TargetMode="External" /><Relationship Type="http://schemas.openxmlformats.org/officeDocument/2006/relationships/hyperlink" Id="rId73" Target="https://www.onetonline.org/link/localwages/15-1232.00" TargetMode="External" /><Relationship Type="http://schemas.openxmlformats.org/officeDocument/2006/relationships/hyperlink" Id="rId70" Target="https://www.onetonline.org/link/summary/15-1232.00" TargetMode="External" /><Relationship Type="http://schemas.openxmlformats.org/officeDocument/2006/relationships/hyperlink" Id="rId72" Target="https://www.onetonline.org/skills/zone/15-1232.00" TargetMode="External" /><Relationship Type="http://schemas.openxmlformats.org/officeDocument/2006/relationships/hyperlink" Id="rId89" Target="https://www.section508.gov/" TargetMode="External" /><Relationship Type="http://schemas.openxmlformats.org/officeDocument/2006/relationships/hyperlink" Id="rId90"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85" Target="https://betowa.sena.edu.co/oferta/instalacion-de-redes-de-computadores?programId=132975&amp;modality=P" TargetMode="External" /><Relationship Type="http://schemas.openxmlformats.org/officeDocument/2006/relationships/hyperlink" Id="rId84" Target="https://betowa.sena.edu.co/oferta/sistemas-teleinformaticos?programId=198816&amp;modality=P" TargetMode="External" /><Relationship Type="http://schemas.openxmlformats.org/officeDocument/2006/relationships/hyperlink" Id="rId86" Target="https://historico.sena.edu.co/es-co/Noticias/Paginas/noticia.aspx?IdNoticia=9274" TargetMode="External" /><Relationship Type="http://schemas.openxmlformats.org/officeDocument/2006/relationships/hyperlink" Id="rId83" Target="https://ocupacol.mintrabajo.gov.co/Profile/OccupationalProfile/35121" TargetMode="External" /><Relationship Type="http://schemas.openxmlformats.org/officeDocument/2006/relationships/hyperlink" Id="rId82" Target="https://www.canada.ca/en/services/jobs/training.html" TargetMode="External" /><Relationship Type="http://schemas.openxmlformats.org/officeDocument/2006/relationships/hyperlink" Id="rId78" Target="https://www.careeronestop.org/FindTraining/find-training.aspx" TargetMode="External" /><Relationship Type="http://schemas.openxmlformats.org/officeDocument/2006/relationships/hyperlink" Id="rId77" Target="https://www.careeronestop.org/LocalHelp/EmploymentAndTraining/find-WIOA-training-programs.aspx" TargetMode="External" /><Relationship Type="http://schemas.openxmlformats.org/officeDocument/2006/relationships/hyperlink" Id="rId88" Target="https://www.cisa.gov/secure-our-world" TargetMode="External" /><Relationship Type="http://schemas.openxmlformats.org/officeDocument/2006/relationships/hyperlink" Id="rId76" Target="https://www.indeed.com/career/helpdesk-technician/salaries" TargetMode="External" /><Relationship Type="http://schemas.openxmlformats.org/officeDocument/2006/relationships/hyperlink" Id="rId80" Target="https://www.jobbank.gc.ca/marketreport/requirements/296677/ca" TargetMode="External" /><Relationship Type="http://schemas.openxmlformats.org/officeDocument/2006/relationships/hyperlink" Id="rId79" Target="https://www.jobbank.gc.ca/marketreport/summary-occupation/3772/ca" TargetMode="External" /><Relationship Type="http://schemas.openxmlformats.org/officeDocument/2006/relationships/hyperlink" Id="rId81" Target="https://www.jobbank.gc.ca/wagereport/occupation/296730" TargetMode="External" /><Relationship Type="http://schemas.openxmlformats.org/officeDocument/2006/relationships/hyperlink" Id="rId91" Target="https://www.nist.gov/itl/ai-risk-management-framework" TargetMode="External" /><Relationship Type="http://schemas.openxmlformats.org/officeDocument/2006/relationships/hyperlink" Id="rId92" Target="https://www.nist.gov/publications/artificial-intelligence-risk-management-framework-generative-artificial-intelligence" TargetMode="External" /><Relationship Type="http://schemas.openxmlformats.org/officeDocument/2006/relationships/hyperlink" Id="rId87" Target="https://www.oitcinterfor.org/statsfp/paises" TargetMode="External" /><Relationship Type="http://schemas.openxmlformats.org/officeDocument/2006/relationships/hyperlink" Id="rId75" Target="https://www.onetonline.org/link/demand/15-1232.00" TargetMode="External" /><Relationship Type="http://schemas.openxmlformats.org/officeDocument/2006/relationships/hyperlink" Id="rId71" Target="https://www.onetonline.org/link/details/15-1232.00" TargetMode="External" /><Relationship Type="http://schemas.openxmlformats.org/officeDocument/2006/relationships/hyperlink" Id="rId74" Target="https://www.onetonline.org/link/localtrends/15-1232.00" TargetMode="External" /><Relationship Type="http://schemas.openxmlformats.org/officeDocument/2006/relationships/hyperlink" Id="rId73" Target="https://www.onetonline.org/link/localwages/15-1232.00" TargetMode="External" /><Relationship Type="http://schemas.openxmlformats.org/officeDocument/2006/relationships/hyperlink" Id="rId70" Target="https://www.onetonline.org/link/summary/15-1232.00" TargetMode="External" /><Relationship Type="http://schemas.openxmlformats.org/officeDocument/2006/relationships/hyperlink" Id="rId72" Target="https://www.onetonline.org/skills/zone/15-1232.00" TargetMode="External" /><Relationship Type="http://schemas.openxmlformats.org/officeDocument/2006/relationships/hyperlink" Id="rId89" Target="https://www.section508.gov/" TargetMode="External" /><Relationship Type="http://schemas.openxmlformats.org/officeDocument/2006/relationships/hyperlink" Id="rId90"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2026-08-22T03:22:02Z</dcterms:created>
  <dcterms:modified xsi:type="dcterms:W3CDTF">2026-08-22T03:22:02Z</dcterms:modified>
</cp:coreProperties>
</file>

<file path=docProps/custom.xml><?xml version="1.0" encoding="utf-8"?>
<Properties xmlns="http://schemas.openxmlformats.org/officeDocument/2006/custom-properties" xmlns:vt="http://schemas.openxmlformats.org/officeDocument/2006/docPropsVTypes"/>
</file>