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3a6a34b0486b943e79c15911af420ed3592dc7d"/>
    <w:p>
      <w:pPr>
        <w:pStyle w:val="Heading1"/>
      </w:pPr>
      <w:r>
        <w:t xml:space="preserve">Guia de Oportunidades para Toda a Vida 83 — Técnico de Suporte de Redes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2.0 — mestre de trabalho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português brasileiro (</w:t>
      </w:r>
      <w:r>
        <w:rPr>
          <w:rStyle w:val="VerbatimChar"/>
        </w:rPr>
        <w:t xml:space="preserve">pt-BR</w:t>
      </w:r>
      <w:r>
        <w:t xml:space="preserve">)</w:t>
      </w:r>
      <w:r>
        <w:br/>
      </w:r>
      <w:r>
        <w:rPr>
          <w:bCs/>
          <w:b/>
        </w:rPr>
        <w:t xml:space="preserve">Referência principal dos EUA:</w:t>
      </w:r>
      <w:r>
        <w:t xml:space="preserve"> </w:t>
      </w:r>
      <w:r>
        <w:t xml:space="preserve">O*NET-SOC 15-1231.00 — Computer Network Support Specialists</w:t>
      </w:r>
      <w:r>
        <w:br/>
      </w:r>
      <w:r>
        <w:rPr>
          <w:bCs/>
          <w:b/>
        </w:rPr>
        <w:t xml:space="preserve">Comparação com o Canadá:</w:t>
      </w:r>
      <w:r>
        <w:t xml:space="preserve"> </w:t>
      </w:r>
      <w:r>
        <w:t xml:space="preserve">NOC 22220 — Computer network and web technicians</w:t>
      </w:r>
      <w:r>
        <w:br/>
      </w:r>
      <w:r>
        <w:rPr>
          <w:bCs/>
          <w:b/>
        </w:rPr>
        <w:t xml:space="preserve">Comparação com a Colômbia:</w:t>
      </w:r>
      <w:r>
        <w:t xml:space="preserve"> </w:t>
      </w:r>
      <w:r>
        <w:t xml:space="preserve">CUOC 35130 — Técnicos en redes y tecnologías de la información</w:t>
      </w:r>
      <w:r>
        <w:br/>
      </w:r>
      <w:r>
        <w:rPr>
          <w:bCs/>
          <w:b/>
        </w:rPr>
        <w:t xml:space="preserve">Data de revisão:</w:t>
      </w:r>
      <w:r>
        <w:t xml:space="preserve"> </w:t>
      </w:r>
      <w:r>
        <w:t xml:space="preserve">2026-08-21</w:t>
      </w:r>
    </w:p>
    <w:bookmarkStart w:id="20" w:name="o-que-é-esta-carreira"/>
    <w:p>
      <w:pPr>
        <w:pStyle w:val="Heading2"/>
      </w:pPr>
      <w:r>
        <w:t xml:space="preserve">O que é esta carreira</w:t>
      </w:r>
    </w:p>
    <w:p>
      <w:pPr>
        <w:pStyle w:val="FirstParagraph"/>
      </w:pPr>
      <w:r>
        <w:t xml:space="preserve">Um técnico de suporte de redes ajuda a manter redes de dados disponíveis, utilizáveis, seguras e sustentáveis. O trabalho pode incluir solucionar problemas de conectividade LAN, WAN, sem fio, VPN, nuvem e híbrida; verificar switches, roteadores, pontos de acesso, firewalls e serviços relacionados; analisar logs e dados de monitoramento; documentar incidentes e mudanças; dar suporte a usuários; fazer backup de configurações; e escalar falhas ou sinais de segurança que excedam a autoridade atribuída.</w:t>
      </w:r>
    </w:p>
    <w:p>
      <w:pPr>
        <w:pStyle w:val="BodyText"/>
      </w:pPr>
      <w:r>
        <w:t xml:space="preserve">Este guia usa</w:t>
      </w:r>
      <w:r>
        <w:t xml:space="preserve"> </w:t>
      </w:r>
      <w:r>
        <w:rPr>
          <w:bCs/>
          <w:b/>
        </w:rPr>
        <w:t xml:space="preserve">O*NET-SOC 15-1231.00 — Computer Network Support Specialists</w:t>
      </w:r>
      <w:r>
        <w:t xml:space="preserve"> </w:t>
      </w:r>
      <w:r>
        <w:t xml:space="preserve">como principal referência dos Estados Unidos. O Canadá se compara de perto com</w:t>
      </w:r>
      <w:r>
        <w:t xml:space="preserve"> </w:t>
      </w:r>
      <w:r>
        <w:rPr>
          <w:bCs/>
          <w:b/>
        </w:rPr>
        <w:t xml:space="preserve">NOC 22220 — Computer network and web technicians</w:t>
      </w:r>
      <w:r>
        <w:t xml:space="preserve">. A Colômbia possui correspondência direta em</w:t>
      </w:r>
      <w:r>
        <w:t xml:space="preserve"> </w:t>
      </w:r>
      <w:r>
        <w:rPr>
          <w:bCs/>
          <w:b/>
        </w:rPr>
        <w:t xml:space="preserve">CUOC 35130 — Técnicos en redes y tecnologías de la información</w:t>
      </w:r>
      <w:r>
        <w:t xml:space="preserve">.</w:t>
      </w:r>
    </w:p>
    <w:p>
      <w:pPr>
        <w:pStyle w:val="BodyText"/>
      </w:pPr>
      <w:r>
        <w:t xml:space="preserve">Suporte de redes não é o mesmo que arquitetura de redes, teste de penetração, engenharia de segurança ou autoridade administrativa irrestrita. Um técnico pode diagnosticar e corrigir muitas falhas, mas acesso à produção, mudanças de configuração e ações de segurança devem permanecer dentro da autorização do empregador e dos processos de controle de mudanças.</w:t>
      </w:r>
    </w:p>
    <w:bookmarkEnd w:id="20"/>
    <w:bookmarkStart w:id="21" w:name="por-que-pode-ser-uma-boa-oportunidade"/>
    <w:p>
      <w:pPr>
        <w:pStyle w:val="Heading2"/>
      </w:pPr>
      <w:r>
        <w:t xml:space="preserve">Por que pode ser uma boa oportunidade</w:t>
      </w:r>
    </w:p>
    <w:p>
      <w:pPr>
        <w:pStyle w:val="FirstParagraph"/>
      </w:pPr>
      <w:r>
        <w:t xml:space="preserve">As organizações continuam dependendo de conectividade confiável entre escritórios, data centers, serviços em nuvem, usuários remotos, redes sem fio e sistemas voltados à internet. Mesmo quando o monitoramento e algumas configurações rotineiras são automatizados, ainda são necessárias pessoas capazes de interpretar sintomas, isolar falhas, comunicar impacto, validar mudanças, preservar evidências e saber quando escalar.</w:t>
      </w:r>
    </w:p>
    <w:p>
      <w:pPr>
        <w:pStyle w:val="BodyText"/>
      </w:pPr>
      <w:r>
        <w:t xml:space="preserve">A estratégia de longo prazo mais forte não é permanecer apenas em tarefas repetitivas e roteirizadas. É melhor avançar para conhecimentos mais profundos de redes, sistemas, nuvem, automação, observabilidade e cibersegurança.</w:t>
      </w:r>
    </w:p>
    <w:p>
      <w:pPr>
        <w:pStyle w:val="BodyText"/>
      </w:pPr>
      <w:r>
        <w:t xml:space="preserve">Uma progressão prática pode ser:</w:t>
      </w:r>
    </w:p>
    <w:p>
      <w:pPr>
        <w:pStyle w:val="BodyText"/>
      </w:pPr>
      <w:r>
        <w:rPr>
          <w:bCs/>
          <w:b/>
        </w:rPr>
        <w:t xml:space="preserve">help desk ou suporte de campo → técnico de suporte de redes → administrador de redes / administrador de sistemas / suporte em nuvem → engenheiro de redes, engenheiro de nuvem, operações de segurança ou especialista em infraestrutura.</w:t>
      </w:r>
    </w:p>
    <w:p>
      <w:pPr>
        <w:pStyle w:val="BodyText"/>
      </w:pPr>
      <w:r>
        <w:t xml:space="preserve">A progressão real depende da experiência, educação, estrutura do empregador e jurisdição.</w:t>
      </w:r>
    </w:p>
    <w:bookmarkEnd w:id="21"/>
    <w:bookmarkStart w:id="26" w:name="X144bb438106aaf0a1b741a2a04728950540b1bc"/>
    <w:p>
      <w:pPr>
        <w:pStyle w:val="Heading2"/>
      </w:pPr>
      <w:r>
        <w:t xml:space="preserve">Técnico de suporte de redes, administrador de redes e engenheiro de redes não são a mesma função</w:t>
      </w:r>
    </w:p>
    <w:bookmarkStart w:id="22" w:name="técnico-de-suporte-de-redes"/>
    <w:p>
      <w:pPr>
        <w:pStyle w:val="Heading3"/>
      </w:pPr>
      <w:r>
        <w:t xml:space="preserve">Técnico de suporte de redes</w:t>
      </w:r>
    </w:p>
    <w:p>
      <w:pPr>
        <w:pStyle w:val="FirstParagraph"/>
      </w:pPr>
      <w:r>
        <w:t xml:space="preserve">Frequentemente se concentra em:</w:t>
      </w:r>
    </w:p>
    <w:p>
      <w:pPr>
        <w:numPr>
          <w:ilvl w:val="0"/>
          <w:numId w:val="1001"/>
        </w:numPr>
        <w:pStyle w:val="Compact"/>
      </w:pPr>
      <w:r>
        <w:t xml:space="preserve">incidentes de conectividade de usuários e sites;</w:t>
      </w:r>
    </w:p>
    <w:p>
      <w:pPr>
        <w:numPr>
          <w:ilvl w:val="0"/>
          <w:numId w:val="1001"/>
        </w:numPr>
        <w:pStyle w:val="Compact"/>
      </w:pPr>
      <w:r>
        <w:t xml:space="preserve">estado dos dispositivos e diagnóstico inicial;</w:t>
      </w:r>
    </w:p>
    <w:p>
      <w:pPr>
        <w:numPr>
          <w:ilvl w:val="0"/>
          <w:numId w:val="1001"/>
        </w:numPr>
        <w:pStyle w:val="Compact"/>
      </w:pPr>
      <w:r>
        <w:t xml:space="preserve">problemas de cabeamento, portas, VLAN, IP, DNS, DHCP e Wi-Fi;</w:t>
      </w:r>
    </w:p>
    <w:p>
      <w:pPr>
        <w:numPr>
          <w:ilvl w:val="0"/>
          <w:numId w:val="1001"/>
        </w:numPr>
        <w:pStyle w:val="Compact"/>
      </w:pPr>
      <w:r>
        <w:t xml:space="preserve">alertas de monitoramento;</w:t>
      </w:r>
    </w:p>
    <w:p>
      <w:pPr>
        <w:numPr>
          <w:ilvl w:val="0"/>
          <w:numId w:val="1001"/>
        </w:numPr>
        <w:pStyle w:val="Compact"/>
      </w:pPr>
      <w:r>
        <w:t xml:space="preserve">tarefas de configuração autorizadas;</w:t>
      </w:r>
    </w:p>
    <w:p>
      <w:pPr>
        <w:numPr>
          <w:ilvl w:val="0"/>
          <w:numId w:val="1001"/>
        </w:numPr>
        <w:pStyle w:val="Compact"/>
      </w:pPr>
      <w:r>
        <w:t xml:space="preserve">escalonamento e documentação;</w:t>
      </w:r>
    </w:p>
    <w:p>
      <w:pPr>
        <w:numPr>
          <w:ilvl w:val="0"/>
          <w:numId w:val="1001"/>
        </w:numPr>
        <w:pStyle w:val="Compact"/>
      </w:pPr>
      <w:r>
        <w:t xml:space="preserve">suporte remoto e coordenação com operadoras/fornecedores.</w:t>
      </w:r>
    </w:p>
    <w:bookmarkEnd w:id="22"/>
    <w:bookmarkStart w:id="23" w:name="administrador-de-redes"/>
    <w:p>
      <w:pPr>
        <w:pStyle w:val="Heading3"/>
      </w:pPr>
      <w:r>
        <w:t xml:space="preserve">Administrador de redes</w:t>
      </w:r>
    </w:p>
    <w:p>
      <w:pPr>
        <w:pStyle w:val="FirstParagraph"/>
      </w:pPr>
      <w:r>
        <w:t xml:space="preserve">Pode ter responsabilidade mais ampla por:</w:t>
      </w:r>
    </w:p>
    <w:p>
      <w:pPr>
        <w:numPr>
          <w:ilvl w:val="0"/>
          <w:numId w:val="1002"/>
        </w:numPr>
        <w:pStyle w:val="Compact"/>
      </w:pPr>
      <w:r>
        <w:t xml:space="preserve">administração contínua da rede;</w:t>
      </w:r>
    </w:p>
    <w:p>
      <w:pPr>
        <w:numPr>
          <w:ilvl w:val="0"/>
          <w:numId w:val="1002"/>
        </w:numPr>
        <w:pStyle w:val="Compact"/>
      </w:pPr>
      <w:r>
        <w:t xml:space="preserve">controles de contas e acesso;</w:t>
      </w:r>
    </w:p>
    <w:p>
      <w:pPr>
        <w:numPr>
          <w:ilvl w:val="0"/>
          <w:numId w:val="1002"/>
        </w:numPr>
        <w:pStyle w:val="Compact"/>
      </w:pPr>
      <w:r>
        <w:t xml:space="preserve">backup e recuperação;</w:t>
      </w:r>
    </w:p>
    <w:p>
      <w:pPr>
        <w:numPr>
          <w:ilvl w:val="0"/>
          <w:numId w:val="1002"/>
        </w:numPr>
        <w:pStyle w:val="Compact"/>
      </w:pPr>
      <w:r>
        <w:t xml:space="preserve">serviços de rede e servidores;</w:t>
      </w:r>
    </w:p>
    <w:p>
      <w:pPr>
        <w:numPr>
          <w:ilvl w:val="0"/>
          <w:numId w:val="1002"/>
        </w:numPr>
        <w:pStyle w:val="Compact"/>
      </w:pPr>
      <w:r>
        <w:t xml:space="preserve">patches e ciclo de vida;</w:t>
      </w:r>
    </w:p>
    <w:p>
      <w:pPr>
        <w:numPr>
          <w:ilvl w:val="0"/>
          <w:numId w:val="1002"/>
        </w:numPr>
        <w:pStyle w:val="Compact"/>
      </w:pPr>
      <w:r>
        <w:t xml:space="preserve">maior autoridade de mudança.</w:t>
      </w:r>
    </w:p>
    <w:bookmarkEnd w:id="23"/>
    <w:bookmarkStart w:id="24" w:name="engenheiro-ou-arquiteto-de-redes"/>
    <w:p>
      <w:pPr>
        <w:pStyle w:val="Heading3"/>
      </w:pPr>
      <w:r>
        <w:t xml:space="preserve">Engenheiro ou arquiteto de redes</w:t>
      </w:r>
    </w:p>
    <w:p>
      <w:pPr>
        <w:pStyle w:val="FirstParagraph"/>
      </w:pPr>
      <w:r>
        <w:t xml:space="preserve">Pode projetar e implementar arquiteturas maiores de roteamento, switching, wireless, nuvem, WAN, segmentação, resiliência e segurança. Esses cargos normalmente exigem julgamento de engenharia mais profundo e maior autoridade de mudança.</w:t>
      </w:r>
    </w:p>
    <w:bookmarkEnd w:id="24"/>
    <w:bookmarkStart w:id="25" w:name="funções-de-segurança"/>
    <w:p>
      <w:pPr>
        <w:pStyle w:val="Heading3"/>
      </w:pPr>
      <w:r>
        <w:t xml:space="preserve">Funções de segurança</w:t>
      </w:r>
    </w:p>
    <w:p>
      <w:pPr>
        <w:pStyle w:val="FirstParagraph"/>
      </w:pPr>
      <w:r>
        <w:t xml:space="preserve">Analistas e engenheiros de segurança podem investigar ameaças, ajustar controles, executar testes autorizados ou projetar arquitetura de segurança. O pessoal de suporte de redes deve reconhecer e escalar indicadores de segurança, mas não deve fazer varredura, exploração ou destruição de evidências sem autorização.</w:t>
      </w:r>
    </w:p>
    <w:bookmarkEnd w:id="25"/>
    <w:bookmarkEnd w:id="26"/>
    <w:bookmarkStart w:id="27" w:name="limites-de-autoridade-profissional"/>
    <w:p>
      <w:pPr>
        <w:pStyle w:val="Heading2"/>
      </w:pPr>
      <w:r>
        <w:t xml:space="preserve">Limites de autoridade profissional</w:t>
      </w:r>
    </w:p>
    <w:p>
      <w:pPr>
        <w:pStyle w:val="FirstParagraph"/>
      </w:pPr>
      <w:r>
        <w:t xml:space="preserve">O título de suporte de redes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autoriza automaticamente uma pessoa a:</w:t>
      </w:r>
    </w:p>
    <w:p>
      <w:pPr>
        <w:numPr>
          <w:ilvl w:val="0"/>
          <w:numId w:val="1003"/>
        </w:numPr>
        <w:pStyle w:val="Compact"/>
      </w:pPr>
      <w:r>
        <w:t xml:space="preserve">contornar controles de acesso para solucionar um problema;</w:t>
      </w:r>
    </w:p>
    <w:p>
      <w:pPr>
        <w:numPr>
          <w:ilvl w:val="0"/>
          <w:numId w:val="1003"/>
        </w:numPr>
        <w:pStyle w:val="Compact"/>
      </w:pPr>
      <w:r>
        <w:t xml:space="preserve">usar a conta privilegiada de outra pessoa;</w:t>
      </w:r>
    </w:p>
    <w:p>
      <w:pPr>
        <w:numPr>
          <w:ilvl w:val="0"/>
          <w:numId w:val="1003"/>
        </w:numPr>
        <w:pStyle w:val="Compact"/>
      </w:pPr>
      <w:r>
        <w:t xml:space="preserve">desativar firewall, controle de endpoint, MFA ou monitoramento porque parece inconveniente;</w:t>
      </w:r>
    </w:p>
    <w:p>
      <w:pPr>
        <w:numPr>
          <w:ilvl w:val="0"/>
          <w:numId w:val="1003"/>
        </w:numPr>
        <w:pStyle w:val="Compact"/>
      </w:pPr>
      <w:r>
        <w:t xml:space="preserve">escanear ou sondar sistemas fora do escopo autorizado;</w:t>
      </w:r>
    </w:p>
    <w:p>
      <w:pPr>
        <w:numPr>
          <w:ilvl w:val="0"/>
          <w:numId w:val="1003"/>
        </w:numPr>
        <w:pStyle w:val="Compact"/>
      </w:pPr>
      <w:r>
        <w:t xml:space="preserve">realizar teste de penetração sem escopo explícito e aprovado;</w:t>
      </w:r>
    </w:p>
    <w:p>
      <w:pPr>
        <w:numPr>
          <w:ilvl w:val="0"/>
          <w:numId w:val="1003"/>
        </w:numPr>
        <w:pStyle w:val="Compact"/>
      </w:pPr>
      <w:r>
        <w:t xml:space="preserve">fazer mudanças de roteamento, switching, Wi-Fi, DNS ou firewall em produção fora do processo aprovado;</w:t>
      </w:r>
    </w:p>
    <w:p>
      <w:pPr>
        <w:numPr>
          <w:ilvl w:val="0"/>
          <w:numId w:val="1003"/>
        </w:numPr>
        <w:pStyle w:val="Compact"/>
      </w:pPr>
      <w:r>
        <w:t xml:space="preserve">copiar senhas, chaves, tokens ou configurações protegidas para notas públicas ou serviços de IA não aprovados;</w:t>
      </w:r>
    </w:p>
    <w:p>
      <w:pPr>
        <w:numPr>
          <w:ilvl w:val="0"/>
          <w:numId w:val="1003"/>
        </w:numPr>
        <w:pStyle w:val="Compact"/>
      </w:pPr>
      <w:r>
        <w:t xml:space="preserve">apagar logs ou evidências após suspeita de invasão;</w:t>
      </w:r>
    </w:p>
    <w:p>
      <w:pPr>
        <w:numPr>
          <w:ilvl w:val="0"/>
          <w:numId w:val="1003"/>
        </w:numPr>
        <w:pStyle w:val="Compact"/>
      </w:pPr>
      <w:r>
        <w:t xml:space="preserve">afirmar que um serviço foi restaurado antes de validá-lo;</w:t>
      </w:r>
    </w:p>
    <w:p>
      <w:pPr>
        <w:numPr>
          <w:ilvl w:val="0"/>
          <w:numId w:val="1003"/>
        </w:numPr>
        <w:pStyle w:val="Compact"/>
      </w:pPr>
      <w:r>
        <w:t xml:space="preserve">tomar decisões de arquitetura, regulatórias ou jurídicas além da autoridade atribuída;</w:t>
      </w:r>
    </w:p>
    <w:p>
      <w:pPr>
        <w:numPr>
          <w:ilvl w:val="0"/>
          <w:numId w:val="1003"/>
        </w:numPr>
        <w:pStyle w:val="Compact"/>
      </w:pPr>
      <w:r>
        <w:t xml:space="preserve">declarar certificações ou credenciais que não possui.</w:t>
      </w:r>
    </w:p>
    <w:p>
      <w:pPr>
        <w:pStyle w:val="FirstParagraph"/>
      </w:pPr>
      <w:r>
        <w:t xml:space="preserve">Quando um problema exige privilégios mais amplos, investigação de segurança, autoridade de mudança de emergência ou redesenho de arquitetura, ele deve ser escalado pelo processo aprovado.</w:t>
      </w:r>
    </w:p>
    <w:bookmarkEnd w:id="27"/>
    <w:bookmarkStart w:id="28" w:name="X00ddd00e87823b89f13751c2135419f4607437d"/>
    <w:p>
      <w:pPr>
        <w:pStyle w:val="Heading2"/>
      </w:pPr>
      <w:r>
        <w:t xml:space="preserve">Um modelo disciplinado de solução de problemas</w:t>
      </w:r>
    </w:p>
    <w:p>
      <w:pPr>
        <w:pStyle w:val="FirstParagraph"/>
      </w:pPr>
      <w:r>
        <w:t xml:space="preserve">Uma boa solução de problemas de rede é baseada em evidências. Uma sequência prática é:</w:t>
      </w:r>
    </w:p>
    <w:p>
      <w:pPr>
        <w:numPr>
          <w:ilvl w:val="0"/>
          <w:numId w:val="1004"/>
        </w:numPr>
        <w:pStyle w:val="Compact"/>
      </w:pPr>
      <w:r>
        <w:t xml:space="preserve">definir usuário, serviço, site e impacto para o negócio;</w:t>
      </w:r>
    </w:p>
    <w:p>
      <w:pPr>
        <w:numPr>
          <w:ilvl w:val="0"/>
          <w:numId w:val="1004"/>
        </w:numPr>
        <w:pStyle w:val="Compact"/>
      </w:pPr>
      <w:r>
        <w:t xml:space="preserve">estabelecer o que mudou e quando;</w:t>
      </w:r>
    </w:p>
    <w:p>
      <w:pPr>
        <w:numPr>
          <w:ilvl w:val="0"/>
          <w:numId w:val="1004"/>
        </w:numPr>
        <w:pStyle w:val="Compact"/>
      </w:pPr>
      <w:r>
        <w:t xml:space="preserve">verificar se o problema é isolado ou generalizado;</w:t>
      </w:r>
    </w:p>
    <w:p>
      <w:pPr>
        <w:numPr>
          <w:ilvl w:val="0"/>
          <w:numId w:val="1004"/>
        </w:numPr>
        <w:pStyle w:val="Compact"/>
      </w:pPr>
      <w:r>
        <w:t xml:space="preserve">identificar o caminho esperado e as dependências;</w:t>
      </w:r>
    </w:p>
    <w:p>
      <w:pPr>
        <w:numPr>
          <w:ilvl w:val="0"/>
          <w:numId w:val="1004"/>
        </w:numPr>
        <w:pStyle w:val="Compact"/>
      </w:pPr>
      <w:r>
        <w:t xml:space="preserve">coletar evidências antes de mudar qualquer coisa;</w:t>
      </w:r>
    </w:p>
    <w:p>
      <w:pPr>
        <w:numPr>
          <w:ilvl w:val="0"/>
          <w:numId w:val="1004"/>
        </w:numPr>
        <w:pStyle w:val="Compact"/>
      </w:pPr>
      <w:r>
        <w:t xml:space="preserve">testar primeiro as hipóteses de menor risco;</w:t>
      </w:r>
    </w:p>
    <w:p>
      <w:pPr>
        <w:numPr>
          <w:ilvl w:val="0"/>
          <w:numId w:val="1004"/>
        </w:numPr>
        <w:pStyle w:val="Compact"/>
      </w:pPr>
      <w:r>
        <w:t xml:space="preserve">fazer somente mudanças aprovadas e reversíveis;</w:t>
      </w:r>
    </w:p>
    <w:p>
      <w:pPr>
        <w:numPr>
          <w:ilvl w:val="0"/>
          <w:numId w:val="1004"/>
        </w:numPr>
        <w:pStyle w:val="Compact"/>
      </w:pPr>
      <w:r>
        <w:t xml:space="preserve">validar o serviço da perspectiva do usuário;</w:t>
      </w:r>
    </w:p>
    <w:p>
      <w:pPr>
        <w:numPr>
          <w:ilvl w:val="0"/>
          <w:numId w:val="1004"/>
        </w:numPr>
        <w:pStyle w:val="Compact"/>
      </w:pPr>
      <w:r>
        <w:t xml:space="preserve">registrar o que foi observado, alterado e confirmado;</w:t>
      </w:r>
    </w:p>
    <w:p>
      <w:pPr>
        <w:numPr>
          <w:ilvl w:val="0"/>
          <w:numId w:val="1004"/>
        </w:numPr>
        <w:pStyle w:val="Compact"/>
      </w:pPr>
      <w:r>
        <w:t xml:space="preserve">escalar descobertas não resolvidas ou sensíveis à segurança.</w:t>
      </w:r>
    </w:p>
    <w:p>
      <w:pPr>
        <w:pStyle w:val="FirstParagraph"/>
      </w:pPr>
      <w:r>
        <w:t xml:space="preserve">Evite executar comandos aleatórios. Um comando é útil quando se sabe qual pergunta ele deve responder.</w:t>
      </w:r>
    </w:p>
    <w:bookmarkEnd w:id="28"/>
    <w:bookmarkStart w:id="29" w:name="X6d29c3e8d2740ea24760bf95380e70cafb90dac"/>
    <w:p>
      <w:pPr>
        <w:pStyle w:val="Heading2"/>
      </w:pPr>
      <w:r>
        <w:t xml:space="preserve">Os modelos OSI e TCP/IP como ferramentas de diagnóstico</w:t>
      </w:r>
    </w:p>
    <w:p>
      <w:pPr>
        <w:pStyle w:val="FirstParagraph"/>
      </w:pPr>
      <w:r>
        <w:t xml:space="preserve">Os modelos são úteis quando ajudam a isolar uma falha.</w:t>
      </w:r>
    </w:p>
    <w:p>
      <w:pPr>
        <w:pStyle w:val="BodyText"/>
      </w:pPr>
      <w:r>
        <w:t xml:space="preserve">Uma progressão simplificada: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física/enlace:</w:t>
      </w:r>
      <w:r>
        <w:t xml:space="preserve"> </w:t>
      </w:r>
      <w:r>
        <w:t xml:space="preserve">energia, cabo, óptica, rádio, estado da interface, erros;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enlace de dados:</w:t>
      </w:r>
      <w:r>
        <w:t xml:space="preserve"> </w:t>
      </w:r>
      <w:r>
        <w:t xml:space="preserve">aprendizado MAC, associação a VLAN, trunks, spanning tree;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rede:</w:t>
      </w:r>
      <w:r>
        <w:t xml:space="preserve"> </w:t>
      </w:r>
      <w:r>
        <w:t xml:space="preserve">endereçamento IPv4/IPv6, sub-rede, gateway, roteamento;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transporte:</w:t>
      </w:r>
      <w:r>
        <w:t xml:space="preserve"> </w:t>
      </w:r>
      <w:r>
        <w:t xml:space="preserve">alcance TCP/UDP e portas;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aplicação/serviço:</w:t>
      </w:r>
      <w:r>
        <w:t xml:space="preserve"> </w:t>
      </w:r>
      <w:r>
        <w:t xml:space="preserve">DNS, autenticação, web, mensagens, arquivos ou aplicação de negócio.</w:t>
      </w:r>
    </w:p>
    <w:p>
      <w:pPr>
        <w:pStyle w:val="FirstParagraph"/>
      </w:pPr>
      <w:r>
        <w:t xml:space="preserve">Não suponha que o problema é “a rede” apenas porque uma aplicação está indisponível.</w:t>
      </w:r>
    </w:p>
    <w:bookmarkEnd w:id="29"/>
    <w:bookmarkStart w:id="30" w:name="endereçamento-ip-e-subnetting"/>
    <w:p>
      <w:pPr>
        <w:pStyle w:val="Heading2"/>
      </w:pPr>
      <w:r>
        <w:t xml:space="preserve">Endereçamento IP e subnetting</w:t>
      </w:r>
    </w:p>
    <w:p>
      <w:pPr>
        <w:pStyle w:val="FirstParagraph"/>
      </w:pPr>
      <w:r>
        <w:t xml:space="preserve">Um técnico de redes deve entender:</w:t>
      </w:r>
    </w:p>
    <w:p>
      <w:pPr>
        <w:numPr>
          <w:ilvl w:val="0"/>
          <w:numId w:val="1006"/>
        </w:numPr>
        <w:pStyle w:val="Compact"/>
      </w:pPr>
      <w:r>
        <w:t xml:space="preserve">endereços IPv4 e máscaras/prefixos;</w:t>
      </w:r>
    </w:p>
    <w:p>
      <w:pPr>
        <w:numPr>
          <w:ilvl w:val="0"/>
          <w:numId w:val="1006"/>
        </w:numPr>
        <w:pStyle w:val="Compact"/>
      </w:pPr>
      <w:r>
        <w:t xml:space="preserve">espaço privado versus público;</w:t>
      </w:r>
    </w:p>
    <w:p>
      <w:pPr>
        <w:numPr>
          <w:ilvl w:val="0"/>
          <w:numId w:val="1006"/>
        </w:numPr>
        <w:pStyle w:val="Compact"/>
      </w:pPr>
      <w:r>
        <w:t xml:space="preserve">gateways padrão;</w:t>
      </w:r>
    </w:p>
    <w:p>
      <w:pPr>
        <w:numPr>
          <w:ilvl w:val="0"/>
          <w:numId w:val="1006"/>
        </w:numPr>
        <w:pStyle w:val="Compact"/>
      </w:pPr>
      <w:r>
        <w:t xml:space="preserve">conceitos de rede/broadcast em IPv4;</w:t>
      </w:r>
    </w:p>
    <w:p>
      <w:pPr>
        <w:numPr>
          <w:ilvl w:val="0"/>
          <w:numId w:val="1006"/>
        </w:numPr>
        <w:pStyle w:val="Compact"/>
      </w:pPr>
      <w:r>
        <w:t xml:space="preserve">notação CIDR;</w:t>
      </w:r>
    </w:p>
    <w:p>
      <w:pPr>
        <w:numPr>
          <w:ilvl w:val="0"/>
          <w:numId w:val="1006"/>
        </w:numPr>
        <w:pStyle w:val="Compact"/>
      </w:pPr>
      <w:r>
        <w:t xml:space="preserve">conceitos básicos de endereço e prefixo IPv6;</w:t>
      </w:r>
    </w:p>
    <w:p>
      <w:pPr>
        <w:numPr>
          <w:ilvl w:val="0"/>
          <w:numId w:val="1006"/>
        </w:numPr>
        <w:pStyle w:val="Compact"/>
      </w:pPr>
      <w:r>
        <w:t xml:space="preserve">endereçamento estático versus dinâmico;</w:t>
      </w:r>
    </w:p>
    <w:p>
      <w:pPr>
        <w:numPr>
          <w:ilvl w:val="0"/>
          <w:numId w:val="1006"/>
        </w:numPr>
        <w:pStyle w:val="Compact"/>
      </w:pPr>
      <w:r>
        <w:t xml:space="preserve">endereços duplicados;</w:t>
      </w:r>
    </w:p>
    <w:p>
      <w:pPr>
        <w:numPr>
          <w:ilvl w:val="0"/>
          <w:numId w:val="1006"/>
        </w:numPr>
        <w:pStyle w:val="Compact"/>
      </w:pPr>
      <w:r>
        <w:t xml:space="preserve">pools e esgotamento de endereços;</w:t>
      </w:r>
    </w:p>
    <w:p>
      <w:pPr>
        <w:numPr>
          <w:ilvl w:val="0"/>
          <w:numId w:val="1006"/>
        </w:numPr>
        <w:pStyle w:val="Compact"/>
      </w:pPr>
      <w:r>
        <w:t xml:space="preserve">como subnetting incorreto cria problemas de alcance.</w:t>
      </w:r>
    </w:p>
    <w:p>
      <w:pPr>
        <w:pStyle w:val="FirstParagraph"/>
      </w:pPr>
      <w:r>
        <w:t xml:space="preserve">Subnetting é especialmente útil ao ler tabelas de roteamento, escopos DHCP, ACLs e diagramas de rede.</w:t>
      </w:r>
    </w:p>
    <w:bookmarkEnd w:id="30"/>
    <w:bookmarkStart w:id="33" w:name="dhcp-dns-e-resolução-de-nomes"/>
    <w:p>
      <w:pPr>
        <w:pStyle w:val="Heading2"/>
      </w:pPr>
      <w:r>
        <w:t xml:space="preserve">DHCP, DNS e resolução de nomes</w:t>
      </w:r>
    </w:p>
    <w:bookmarkStart w:id="31" w:name="dhcp"/>
    <w:p>
      <w:pPr>
        <w:pStyle w:val="Heading3"/>
      </w:pPr>
      <w:r>
        <w:t xml:space="preserve">DHCP</w:t>
      </w:r>
    </w:p>
    <w:p>
      <w:pPr>
        <w:pStyle w:val="FirstParagraph"/>
      </w:pPr>
      <w:r>
        <w:t xml:space="preserve">DHCP normalmente fornece aos clientes:</w:t>
      </w:r>
    </w:p>
    <w:p>
      <w:pPr>
        <w:numPr>
          <w:ilvl w:val="0"/>
          <w:numId w:val="1007"/>
        </w:numPr>
        <w:pStyle w:val="Compact"/>
      </w:pPr>
      <w:r>
        <w:t xml:space="preserve">endereço IP;</w:t>
      </w:r>
    </w:p>
    <w:p>
      <w:pPr>
        <w:numPr>
          <w:ilvl w:val="0"/>
          <w:numId w:val="1007"/>
        </w:numPr>
        <w:pStyle w:val="Compact"/>
      </w:pPr>
      <w:r>
        <w:t xml:space="preserve">informações de sub-rede/prefixo;</w:t>
      </w:r>
    </w:p>
    <w:p>
      <w:pPr>
        <w:numPr>
          <w:ilvl w:val="0"/>
          <w:numId w:val="1007"/>
        </w:numPr>
        <w:pStyle w:val="Compact"/>
      </w:pPr>
      <w:r>
        <w:t xml:space="preserve">gateway padrão;</w:t>
      </w:r>
    </w:p>
    <w:p>
      <w:pPr>
        <w:numPr>
          <w:ilvl w:val="0"/>
          <w:numId w:val="1007"/>
        </w:numPr>
        <w:pStyle w:val="Compact"/>
      </w:pPr>
      <w:r>
        <w:t xml:space="preserve">servidores DNS;</w:t>
      </w:r>
    </w:p>
    <w:p>
      <w:pPr>
        <w:numPr>
          <w:ilvl w:val="0"/>
          <w:numId w:val="1007"/>
        </w:numPr>
        <w:pStyle w:val="Compact"/>
      </w:pPr>
      <w:r>
        <w:t xml:space="preserve">tempo de concessão e outras opções.</w:t>
      </w:r>
    </w:p>
    <w:p>
      <w:pPr>
        <w:pStyle w:val="FirstParagraph"/>
      </w:pPr>
      <w:r>
        <w:t xml:space="preserve">O diagnóstico pode incluir estado da concessão, disponibilidade do pool, relay/helper, posição em VLAN e opções recebidas pelo cliente.</w:t>
      </w:r>
    </w:p>
    <w:bookmarkEnd w:id="31"/>
    <w:bookmarkStart w:id="32" w:name="dns"/>
    <w:p>
      <w:pPr>
        <w:pStyle w:val="Heading3"/>
      </w:pPr>
      <w:r>
        <w:t xml:space="preserve">DNS</w:t>
      </w:r>
    </w:p>
    <w:p>
      <w:pPr>
        <w:pStyle w:val="FirstParagraph"/>
      </w:pPr>
      <w:r>
        <w:t xml:space="preserve">Problemas de DNS podem parecer falhas de rede. Verifique:</w:t>
      </w:r>
    </w:p>
    <w:p>
      <w:pPr>
        <w:numPr>
          <w:ilvl w:val="0"/>
          <w:numId w:val="1008"/>
        </w:numPr>
        <w:pStyle w:val="Compact"/>
      </w:pPr>
      <w:r>
        <w:t xml:space="preserve">se o host alcança o servidor DNS;</w:t>
      </w:r>
    </w:p>
    <w:p>
      <w:pPr>
        <w:numPr>
          <w:ilvl w:val="0"/>
          <w:numId w:val="1008"/>
        </w:numPr>
        <w:pStyle w:val="Compact"/>
      </w:pPr>
      <w:r>
        <w:t xml:space="preserve">se o registro esperado existe;</w:t>
      </w:r>
    </w:p>
    <w:p>
      <w:pPr>
        <w:numPr>
          <w:ilvl w:val="0"/>
          <w:numId w:val="1008"/>
        </w:numPr>
        <w:pStyle w:val="Compact"/>
      </w:pPr>
      <w:r>
        <w:t xml:space="preserve">se o cliente usa o resolver correto;</w:t>
      </w:r>
    </w:p>
    <w:p>
      <w:pPr>
        <w:numPr>
          <w:ilvl w:val="0"/>
          <w:numId w:val="1008"/>
        </w:numPr>
        <w:pStyle w:val="Compact"/>
      </w:pPr>
      <w:r>
        <w:t xml:space="preserve">se há informação em cache ou desatualizada;</w:t>
      </w:r>
    </w:p>
    <w:p>
      <w:pPr>
        <w:numPr>
          <w:ilvl w:val="0"/>
          <w:numId w:val="1008"/>
        </w:numPr>
        <w:pStyle w:val="Compact"/>
      </w:pPr>
      <w:r>
        <w:t xml:space="preserve">se o problema afeta um nome, uma zona ou toda a resolução.</w:t>
      </w:r>
    </w:p>
    <w:p>
      <w:pPr>
        <w:pStyle w:val="FirstParagraph"/>
      </w:pPr>
      <w:r>
        <w:t xml:space="preserve">Não faça alterações de DNS sem confirmar autoridade e impacto downstream.</w:t>
      </w:r>
    </w:p>
    <w:bookmarkEnd w:id="32"/>
    <w:bookmarkEnd w:id="33"/>
    <w:bookmarkStart w:id="34" w:name="switching-vlans-e-trunks"/>
    <w:p>
      <w:pPr>
        <w:pStyle w:val="Heading2"/>
      </w:pPr>
      <w:r>
        <w:t xml:space="preserve">Switching, VLANs e trunks</w:t>
      </w:r>
    </w:p>
    <w:p>
      <w:pPr>
        <w:pStyle w:val="FirstParagraph"/>
      </w:pPr>
      <w:r>
        <w:t xml:space="preserve">Conceitos úteis incluem:</w:t>
      </w:r>
    </w:p>
    <w:p>
      <w:pPr>
        <w:numPr>
          <w:ilvl w:val="0"/>
          <w:numId w:val="1009"/>
        </w:numPr>
        <w:pStyle w:val="Compact"/>
      </w:pPr>
      <w:r>
        <w:t xml:space="preserve">portas de acesso;</w:t>
      </w:r>
    </w:p>
    <w:p>
      <w:pPr>
        <w:numPr>
          <w:ilvl w:val="0"/>
          <w:numId w:val="1009"/>
        </w:numPr>
        <w:pStyle w:val="Compact"/>
      </w:pPr>
      <w:r>
        <w:t xml:space="preserve">associação a VLAN;</w:t>
      </w:r>
    </w:p>
    <w:p>
      <w:pPr>
        <w:numPr>
          <w:ilvl w:val="0"/>
          <w:numId w:val="1009"/>
        </w:numPr>
        <w:pStyle w:val="Compact"/>
      </w:pPr>
      <w:r>
        <w:t xml:space="preserve">links trunk;</w:t>
      </w:r>
    </w:p>
    <w:p>
      <w:pPr>
        <w:numPr>
          <w:ilvl w:val="0"/>
          <w:numId w:val="1009"/>
        </w:numPr>
        <w:pStyle w:val="Compact"/>
      </w:pPr>
      <w:r>
        <w:t xml:space="preserve">tráfego marcado/não marcado;</w:t>
      </w:r>
    </w:p>
    <w:p>
      <w:pPr>
        <w:numPr>
          <w:ilvl w:val="0"/>
          <w:numId w:val="1009"/>
        </w:numPr>
        <w:pStyle w:val="Compact"/>
      </w:pPr>
      <w:r>
        <w:t xml:space="preserve">tabelas MAC;</w:t>
      </w:r>
    </w:p>
    <w:p>
      <w:pPr>
        <w:numPr>
          <w:ilvl w:val="0"/>
          <w:numId w:val="1009"/>
        </w:numPr>
        <w:pStyle w:val="Compact"/>
      </w:pPr>
      <w:r>
        <w:t xml:space="preserve">prevenção de loops e spanning tree;</w:t>
      </w:r>
    </w:p>
    <w:p>
      <w:pPr>
        <w:numPr>
          <w:ilvl w:val="0"/>
          <w:numId w:val="1009"/>
        </w:numPr>
        <w:pStyle w:val="Compact"/>
      </w:pPr>
      <w:r>
        <w:t xml:space="preserve">erros de porta e negociação;</w:t>
      </w:r>
    </w:p>
    <w:p>
      <w:pPr>
        <w:numPr>
          <w:ilvl w:val="0"/>
          <w:numId w:val="1009"/>
        </w:numPr>
        <w:pStyle w:val="Compact"/>
      </w:pPr>
      <w:r>
        <w:t xml:space="preserve">agregação de links;</w:t>
      </w:r>
    </w:p>
    <w:p>
      <w:pPr>
        <w:numPr>
          <w:ilvl w:val="0"/>
          <w:numId w:val="1009"/>
        </w:numPr>
        <w:pStyle w:val="Compact"/>
      </w:pPr>
      <w:r>
        <w:t xml:space="preserve">gerenciamento e backup de configurações de switches.</w:t>
      </w:r>
    </w:p>
    <w:p>
      <w:pPr>
        <w:pStyle w:val="FirstParagraph"/>
      </w:pPr>
      <w:r>
        <w:t xml:space="preserve">Um erro comum é alterar uma porta ou VLAN antes de confirmar o desenho esperado. Primeiro verifique documentação, dispositivo, interface e identidade do endpoint.</w:t>
      </w:r>
    </w:p>
    <w:bookmarkEnd w:id="34"/>
    <w:bookmarkStart w:id="35" w:name="roteamento-e-gateways"/>
    <w:p>
      <w:pPr>
        <w:pStyle w:val="Heading2"/>
      </w:pPr>
      <w:r>
        <w:t xml:space="preserve">Roteamento e gateways</w:t>
      </w:r>
    </w:p>
    <w:p>
      <w:pPr>
        <w:pStyle w:val="FirstParagraph"/>
      </w:pPr>
      <w:r>
        <w:t xml:space="preserve">Conceitos úteis incluem:</w:t>
      </w:r>
    </w:p>
    <w:p>
      <w:pPr>
        <w:numPr>
          <w:ilvl w:val="0"/>
          <w:numId w:val="1010"/>
        </w:numPr>
        <w:pStyle w:val="Compact"/>
      </w:pPr>
      <w:r>
        <w:t xml:space="preserve">redes diretamente conectadas;</w:t>
      </w:r>
    </w:p>
    <w:p>
      <w:pPr>
        <w:numPr>
          <w:ilvl w:val="0"/>
          <w:numId w:val="1010"/>
        </w:numPr>
        <w:pStyle w:val="Compact"/>
      </w:pPr>
      <w:r>
        <w:t xml:space="preserve">rotas estáticas;</w:t>
      </w:r>
    </w:p>
    <w:p>
      <w:pPr>
        <w:numPr>
          <w:ilvl w:val="0"/>
          <w:numId w:val="1010"/>
        </w:numPr>
        <w:pStyle w:val="Compact"/>
      </w:pPr>
      <w:r>
        <w:t xml:space="preserve">rota padrão;</w:t>
      </w:r>
    </w:p>
    <w:p>
      <w:pPr>
        <w:numPr>
          <w:ilvl w:val="0"/>
          <w:numId w:val="1010"/>
        </w:numPr>
        <w:pStyle w:val="Compact"/>
      </w:pPr>
      <w:r>
        <w:t xml:space="preserve">tabelas de roteamento;</w:t>
      </w:r>
    </w:p>
    <w:p>
      <w:pPr>
        <w:numPr>
          <w:ilvl w:val="0"/>
          <w:numId w:val="1010"/>
        </w:numPr>
        <w:pStyle w:val="Compact"/>
      </w:pPr>
      <w:r>
        <w:t xml:space="preserve">próximo salto;</w:t>
      </w:r>
    </w:p>
    <w:p>
      <w:pPr>
        <w:numPr>
          <w:ilvl w:val="0"/>
          <w:numId w:val="1010"/>
        </w:numPr>
        <w:pStyle w:val="Compact"/>
      </w:pPr>
      <w:r>
        <w:t xml:space="preserve">conceitos de preferência administrativa/métricas;</w:t>
      </w:r>
    </w:p>
    <w:p>
      <w:pPr>
        <w:numPr>
          <w:ilvl w:val="0"/>
          <w:numId w:val="1010"/>
        </w:numPr>
        <w:pStyle w:val="Compact"/>
      </w:pPr>
      <w:r>
        <w:t xml:space="preserve">conhecimento geral de roteamento dinâmico;</w:t>
      </w:r>
    </w:p>
    <w:p>
      <w:pPr>
        <w:numPr>
          <w:ilvl w:val="0"/>
          <w:numId w:val="1010"/>
        </w:numPr>
        <w:pStyle w:val="Compact"/>
      </w:pPr>
      <w:r>
        <w:t xml:space="preserve">assimetria de rotas;</w:t>
      </w:r>
    </w:p>
    <w:p>
      <w:pPr>
        <w:numPr>
          <w:ilvl w:val="0"/>
          <w:numId w:val="1010"/>
        </w:numPr>
        <w:pStyle w:val="Compact"/>
      </w:pPr>
      <w:r>
        <w:t xml:space="preserve">conceitos de NAT.</w:t>
      </w:r>
    </w:p>
    <w:p>
      <w:pPr>
        <w:pStyle w:val="FirstParagraph"/>
      </w:pPr>
      <w:r>
        <w:t xml:space="preserve">Os dados de vagas do O*NET identificam especificamente</w:t>
      </w:r>
      <w:r>
        <w:t xml:space="preserve"> </w:t>
      </w:r>
      <w:r>
        <w:rPr>
          <w:bCs/>
          <w:b/>
        </w:rPr>
        <w:t xml:space="preserve">Border Gateway Protocol (BGP)</w:t>
      </w:r>
      <w:r>
        <w:t xml:space="preserve"> </w:t>
      </w:r>
      <w:r>
        <w:t xml:space="preserve">entre os sinais tecnológicos atuais. Um técnico iniciante não precisa projetar BGP em escala de internet, mas deve entender que mudanças de roteamento dinâmico exigem autorização e validação cuidadosas.</w:t>
      </w:r>
    </w:p>
    <w:bookmarkEnd w:id="35"/>
    <w:bookmarkStart w:id="36" w:name="redes-sem-fio"/>
    <w:p>
      <w:pPr>
        <w:pStyle w:val="Heading2"/>
      </w:pPr>
      <w:r>
        <w:t xml:space="preserve">Redes sem fio</w:t>
      </w:r>
    </w:p>
    <w:p>
      <w:pPr>
        <w:pStyle w:val="FirstParagraph"/>
      </w:pPr>
      <w:r>
        <w:t xml:space="preserve">O suporte Wi-Fi pode envolver:</w:t>
      </w:r>
    </w:p>
    <w:p>
      <w:pPr>
        <w:numPr>
          <w:ilvl w:val="0"/>
          <w:numId w:val="1011"/>
        </w:numPr>
        <w:pStyle w:val="Compact"/>
      </w:pPr>
      <w:r>
        <w:t xml:space="preserve">SSID e autenticação;</w:t>
      </w:r>
    </w:p>
    <w:p>
      <w:pPr>
        <w:numPr>
          <w:ilvl w:val="0"/>
          <w:numId w:val="1011"/>
        </w:numPr>
        <w:pStyle w:val="Compact"/>
      </w:pPr>
      <w:r>
        <w:t xml:space="preserve">conectividade do ponto de acesso;</w:t>
      </w:r>
    </w:p>
    <w:p>
      <w:pPr>
        <w:numPr>
          <w:ilvl w:val="0"/>
          <w:numId w:val="1011"/>
        </w:numPr>
        <w:pStyle w:val="Compact"/>
      </w:pPr>
      <w:r>
        <w:t xml:space="preserve">intensidade do sinal e interferência;</w:t>
      </w:r>
    </w:p>
    <w:p>
      <w:pPr>
        <w:numPr>
          <w:ilvl w:val="0"/>
          <w:numId w:val="1011"/>
        </w:numPr>
        <w:pStyle w:val="Compact"/>
      </w:pPr>
      <w:r>
        <w:t xml:space="preserve">compatibilidade do cliente;</w:t>
      </w:r>
    </w:p>
    <w:p>
      <w:pPr>
        <w:numPr>
          <w:ilvl w:val="0"/>
          <w:numId w:val="1011"/>
        </w:numPr>
        <w:pStyle w:val="Compact"/>
      </w:pPr>
      <w:r>
        <w:t xml:space="preserve">canais e congestionamento;</w:t>
      </w:r>
    </w:p>
    <w:p>
      <w:pPr>
        <w:numPr>
          <w:ilvl w:val="0"/>
          <w:numId w:val="1011"/>
        </w:numPr>
        <w:pStyle w:val="Compact"/>
      </w:pPr>
      <w:r>
        <w:t xml:space="preserve">roaming;</w:t>
      </w:r>
    </w:p>
    <w:p>
      <w:pPr>
        <w:numPr>
          <w:ilvl w:val="0"/>
          <w:numId w:val="1011"/>
        </w:numPr>
        <w:pStyle w:val="Compact"/>
      </w:pPr>
      <w:r>
        <w:t xml:space="preserve">segmentação de visitantes versus rede interna;</w:t>
      </w:r>
    </w:p>
    <w:p>
      <w:pPr>
        <w:numPr>
          <w:ilvl w:val="0"/>
          <w:numId w:val="1011"/>
        </w:numPr>
        <w:pStyle w:val="Compact"/>
      </w:pPr>
      <w:r>
        <w:t xml:space="preserve">portais cativos;</w:t>
      </w:r>
    </w:p>
    <w:p>
      <w:pPr>
        <w:numPr>
          <w:ilvl w:val="0"/>
          <w:numId w:val="1011"/>
        </w:numPr>
        <w:pStyle w:val="Compact"/>
      </w:pPr>
      <w:r>
        <w:t xml:space="preserve">autenticação empresarial;</w:t>
      </w:r>
    </w:p>
    <w:p>
      <w:pPr>
        <w:numPr>
          <w:ilvl w:val="0"/>
          <w:numId w:val="1011"/>
        </w:numPr>
        <w:pStyle w:val="Compact"/>
      </w:pPr>
      <w:r>
        <w:t xml:space="preserve">configurações de segurança aprovadas.</w:t>
      </w:r>
    </w:p>
    <w:p>
      <w:pPr>
        <w:pStyle w:val="FirstParagraph"/>
      </w:pPr>
      <w:r>
        <w:t xml:space="preserve">Não enfraqueça criptografia ou autenticação sem fio apenas para conseguir que um dispositivo se conecte.</w:t>
      </w:r>
    </w:p>
    <w:bookmarkEnd w:id="36"/>
    <w:bookmarkStart w:id="37" w:name="vpn-e-conectividade-remota"/>
    <w:p>
      <w:pPr>
        <w:pStyle w:val="Heading2"/>
      </w:pPr>
      <w:r>
        <w:t xml:space="preserve">VPN e conectividade remota</w:t>
      </w:r>
    </w:p>
    <w:p>
      <w:pPr>
        <w:pStyle w:val="FirstParagraph"/>
      </w:pPr>
      <w:r>
        <w:t xml:space="preserve">Problemas de acesso remoto podem envolver:</w:t>
      </w:r>
    </w:p>
    <w:p>
      <w:pPr>
        <w:numPr>
          <w:ilvl w:val="0"/>
          <w:numId w:val="1012"/>
        </w:numPr>
        <w:pStyle w:val="Compact"/>
      </w:pPr>
      <w:r>
        <w:t xml:space="preserve">conectividade com a internet;</w:t>
      </w:r>
    </w:p>
    <w:p>
      <w:pPr>
        <w:numPr>
          <w:ilvl w:val="0"/>
          <w:numId w:val="1012"/>
        </w:numPr>
        <w:pStyle w:val="Compact"/>
      </w:pPr>
      <w:r>
        <w:t xml:space="preserve">DNS;</w:t>
      </w:r>
    </w:p>
    <w:p>
      <w:pPr>
        <w:numPr>
          <w:ilvl w:val="0"/>
          <w:numId w:val="1012"/>
        </w:numPr>
        <w:pStyle w:val="Compact"/>
      </w:pPr>
      <w:r>
        <w:t xml:space="preserve">identidade/MFA;</w:t>
      </w:r>
    </w:p>
    <w:p>
      <w:pPr>
        <w:numPr>
          <w:ilvl w:val="0"/>
          <w:numId w:val="1012"/>
        </w:numPr>
        <w:pStyle w:val="Compact"/>
      </w:pPr>
      <w:r>
        <w:t xml:space="preserve">configuração do cliente;</w:t>
      </w:r>
    </w:p>
    <w:p>
      <w:pPr>
        <w:numPr>
          <w:ilvl w:val="0"/>
          <w:numId w:val="1012"/>
        </w:numPr>
        <w:pStyle w:val="Compact"/>
      </w:pPr>
      <w:r>
        <w:t xml:space="preserve">certificados ou credenciais;</w:t>
      </w:r>
    </w:p>
    <w:p>
      <w:pPr>
        <w:numPr>
          <w:ilvl w:val="0"/>
          <w:numId w:val="1012"/>
        </w:numPr>
        <w:pStyle w:val="Compact"/>
      </w:pPr>
      <w:r>
        <w:t xml:space="preserve">política split tunnel/full tunnel;</w:t>
      </w:r>
    </w:p>
    <w:p>
      <w:pPr>
        <w:numPr>
          <w:ilvl w:val="0"/>
          <w:numId w:val="1012"/>
        </w:numPr>
        <w:pStyle w:val="Compact"/>
      </w:pPr>
      <w:r>
        <w:t xml:space="preserve">rotas;</w:t>
      </w:r>
    </w:p>
    <w:p>
      <w:pPr>
        <w:numPr>
          <w:ilvl w:val="0"/>
          <w:numId w:val="1012"/>
        </w:numPr>
        <w:pStyle w:val="Compact"/>
      </w:pPr>
      <w:r>
        <w:t xml:space="preserve">postura do endpoint;</w:t>
      </w:r>
    </w:p>
    <w:p>
      <w:pPr>
        <w:numPr>
          <w:ilvl w:val="0"/>
          <w:numId w:val="1012"/>
        </w:numPr>
        <w:pStyle w:val="Compact"/>
      </w:pPr>
      <w:r>
        <w:t xml:space="preserve">política de firewall;</w:t>
      </w:r>
    </w:p>
    <w:p>
      <w:pPr>
        <w:numPr>
          <w:ilvl w:val="0"/>
          <w:numId w:val="1012"/>
        </w:numPr>
        <w:pStyle w:val="Compact"/>
      </w:pPr>
      <w:r>
        <w:t xml:space="preserve">licenciamento/capacidade;</w:t>
      </w:r>
    </w:p>
    <w:p>
      <w:pPr>
        <w:numPr>
          <w:ilvl w:val="0"/>
          <w:numId w:val="1012"/>
        </w:numPr>
        <w:pStyle w:val="Compact"/>
      </w:pPr>
      <w:r>
        <w:t xml:space="preserve">indisponibilidade do serviço.</w:t>
      </w:r>
    </w:p>
    <w:p>
      <w:pPr>
        <w:pStyle w:val="FirstParagraph"/>
      </w:pPr>
      <w:r>
        <w:t xml:space="preserve">Respeite a privacidade durante sessões remotas. Explique o que será feito, use ferramentas aprovadas, limite o acesso à tarefa e feche a sessão ao terminar.</w:t>
      </w:r>
    </w:p>
    <w:bookmarkEnd w:id="37"/>
    <w:bookmarkStart w:id="38" w:name="desempenho-e-disponibilidade"/>
    <w:p>
      <w:pPr>
        <w:pStyle w:val="Heading2"/>
      </w:pPr>
      <w:r>
        <w:t xml:space="preserve">Desempenho e disponibilidade</w:t>
      </w:r>
    </w:p>
    <w:p>
      <w:pPr>
        <w:pStyle w:val="FirstParagraph"/>
      </w:pPr>
      <w:r>
        <w:t xml:space="preserve">Métricas úteis incluem:</w:t>
      </w:r>
    </w:p>
    <w:p>
      <w:pPr>
        <w:numPr>
          <w:ilvl w:val="0"/>
          <w:numId w:val="1013"/>
        </w:numPr>
        <w:pStyle w:val="Compact"/>
      </w:pPr>
      <w:r>
        <w:t xml:space="preserve">latência;</w:t>
      </w:r>
    </w:p>
    <w:p>
      <w:pPr>
        <w:numPr>
          <w:ilvl w:val="0"/>
          <w:numId w:val="1013"/>
        </w:numPr>
        <w:pStyle w:val="Compact"/>
      </w:pPr>
      <w:r>
        <w:t xml:space="preserve">perda de pacotes;</w:t>
      </w:r>
    </w:p>
    <w:p>
      <w:pPr>
        <w:numPr>
          <w:ilvl w:val="0"/>
          <w:numId w:val="1013"/>
        </w:numPr>
        <w:pStyle w:val="Compact"/>
      </w:pPr>
      <w:r>
        <w:t xml:space="preserve">jitter;</w:t>
      </w:r>
    </w:p>
    <w:p>
      <w:pPr>
        <w:numPr>
          <w:ilvl w:val="0"/>
          <w:numId w:val="1013"/>
        </w:numPr>
        <w:pStyle w:val="Compact"/>
      </w:pPr>
      <w:r>
        <w:t xml:space="preserve">throughput;</w:t>
      </w:r>
    </w:p>
    <w:p>
      <w:pPr>
        <w:numPr>
          <w:ilvl w:val="0"/>
          <w:numId w:val="1013"/>
        </w:numPr>
        <w:pStyle w:val="Compact"/>
      </w:pPr>
      <w:r>
        <w:t xml:space="preserve">utilização de largura de banda;</w:t>
      </w:r>
    </w:p>
    <w:p>
      <w:pPr>
        <w:numPr>
          <w:ilvl w:val="0"/>
          <w:numId w:val="1013"/>
        </w:numPr>
        <w:pStyle w:val="Compact"/>
      </w:pPr>
      <w:r>
        <w:t xml:space="preserve">erros/discards de interface;</w:t>
      </w:r>
    </w:p>
    <w:p>
      <w:pPr>
        <w:numPr>
          <w:ilvl w:val="0"/>
          <w:numId w:val="1013"/>
        </w:numPr>
        <w:pStyle w:val="Compact"/>
      </w:pPr>
      <w:r>
        <w:t xml:space="preserve">retransmissões;</w:t>
      </w:r>
    </w:p>
    <w:p>
      <w:pPr>
        <w:numPr>
          <w:ilvl w:val="0"/>
          <w:numId w:val="1013"/>
        </w:numPr>
        <w:pStyle w:val="Compact"/>
      </w:pPr>
      <w:r>
        <w:t xml:space="preserve">disponibilidade e duração de interrupções.</w:t>
      </w:r>
    </w:p>
    <w:p>
      <w:pPr>
        <w:pStyle w:val="FirstParagraph"/>
      </w:pPr>
      <w:r>
        <w:t xml:space="preserve">Uma aplicação lenta pode ser causada por rede, servidor, cliente, armazenamento, autenticação, DNS, código da aplicação ou dependência externa. Correlacione evidências antes de atribuir causa.</w:t>
      </w:r>
    </w:p>
    <w:bookmarkEnd w:id="38"/>
    <w:bookmarkStart w:id="39" w:name="monitoramento-logs-e-observabilidade"/>
    <w:p>
      <w:pPr>
        <w:pStyle w:val="Heading2"/>
      </w:pPr>
      <w:r>
        <w:t xml:space="preserve">Monitoramento, logs e observabilidade</w:t>
      </w:r>
    </w:p>
    <w:p>
      <w:pPr>
        <w:pStyle w:val="FirstParagraph"/>
      </w:pPr>
      <w:r>
        <w:t xml:space="preserve">O suporte pode utilizar:</w:t>
      </w:r>
    </w:p>
    <w:p>
      <w:pPr>
        <w:numPr>
          <w:ilvl w:val="0"/>
          <w:numId w:val="1014"/>
        </w:numPr>
        <w:pStyle w:val="Compact"/>
      </w:pPr>
      <w:r>
        <w:t xml:space="preserve">monitoramento de interfaces/dispositivos;</w:t>
      </w:r>
    </w:p>
    <w:p>
      <w:pPr>
        <w:numPr>
          <w:ilvl w:val="0"/>
          <w:numId w:val="1014"/>
        </w:numPr>
        <w:pStyle w:val="Compact"/>
      </w:pPr>
      <w:r>
        <w:t xml:space="preserve">syslog e logs de eventos;</w:t>
      </w:r>
    </w:p>
    <w:p>
      <w:pPr>
        <w:numPr>
          <w:ilvl w:val="0"/>
          <w:numId w:val="1014"/>
        </w:numPr>
        <w:pStyle w:val="Compact"/>
      </w:pPr>
      <w:r>
        <w:t xml:space="preserve">SNMP ou outra telemetria;</w:t>
      </w:r>
    </w:p>
    <w:p>
      <w:pPr>
        <w:numPr>
          <w:ilvl w:val="0"/>
          <w:numId w:val="1014"/>
        </w:numPr>
        <w:pStyle w:val="Compact"/>
      </w:pPr>
      <w:r>
        <w:t xml:space="preserve">dados de fluxo;</w:t>
      </w:r>
    </w:p>
    <w:p>
      <w:pPr>
        <w:numPr>
          <w:ilvl w:val="0"/>
          <w:numId w:val="1014"/>
        </w:numPr>
        <w:pStyle w:val="Compact"/>
      </w:pPr>
      <w:r>
        <w:t xml:space="preserve">capturas de pacotes quando autorizadas;</w:t>
      </w:r>
    </w:p>
    <w:p>
      <w:pPr>
        <w:numPr>
          <w:ilvl w:val="0"/>
          <w:numId w:val="1014"/>
        </w:numPr>
        <w:pStyle w:val="Compact"/>
      </w:pPr>
      <w:r>
        <w:t xml:space="preserve">dashboards de desempenho;</w:t>
      </w:r>
    </w:p>
    <w:p>
      <w:pPr>
        <w:numPr>
          <w:ilvl w:val="0"/>
          <w:numId w:val="1014"/>
        </w:numPr>
        <w:pStyle w:val="Compact"/>
      </w:pPr>
      <w:r>
        <w:t xml:space="preserve">alertas;</w:t>
      </w:r>
    </w:p>
    <w:p>
      <w:pPr>
        <w:numPr>
          <w:ilvl w:val="0"/>
          <w:numId w:val="1014"/>
        </w:numPr>
        <w:pStyle w:val="Compact"/>
      </w:pPr>
      <w:r>
        <w:t xml:space="preserve">sistemas de histórico/configuração;</w:t>
      </w:r>
    </w:p>
    <w:p>
      <w:pPr>
        <w:numPr>
          <w:ilvl w:val="0"/>
          <w:numId w:val="1014"/>
        </w:numPr>
        <w:pStyle w:val="Compact"/>
      </w:pPr>
      <w:r>
        <w:t xml:space="preserve">correlação de tickets/eventos.</w:t>
      </w:r>
    </w:p>
    <w:p>
      <w:pPr>
        <w:pStyle w:val="FirstParagraph"/>
      </w:pPr>
      <w:r>
        <w:t xml:space="preserve">Preserve contexto de tempo e identidade da fonte. Se houver suspeita de incidente de segurança, siga procedimentos de preservação e escalonamento em vez de apagar ou “limpar” logs.</w:t>
      </w:r>
    </w:p>
    <w:bookmarkEnd w:id="39"/>
    <w:bookmarkStart w:id="40" w:name="redes-em-nuvem-e-híbridas"/>
    <w:p>
      <w:pPr>
        <w:pStyle w:val="Heading2"/>
      </w:pPr>
      <w:r>
        <w:t xml:space="preserve">Redes em nuvem e híbridas</w:t>
      </w:r>
    </w:p>
    <w:p>
      <w:pPr>
        <w:pStyle w:val="FirstParagraph"/>
      </w:pPr>
      <w:r>
        <w:t xml:space="preserve">O suporte moderno toca cada vez mais em:</w:t>
      </w:r>
    </w:p>
    <w:p>
      <w:pPr>
        <w:numPr>
          <w:ilvl w:val="0"/>
          <w:numId w:val="1015"/>
        </w:numPr>
        <w:pStyle w:val="Compact"/>
      </w:pPr>
      <w:r>
        <w:t xml:space="preserve">conceitos de redes virtuais/VPC/VNet;</w:t>
      </w:r>
    </w:p>
    <w:p>
      <w:pPr>
        <w:numPr>
          <w:ilvl w:val="0"/>
          <w:numId w:val="1015"/>
        </w:numPr>
        <w:pStyle w:val="Compact"/>
      </w:pPr>
      <w:r>
        <w:t xml:space="preserve">sub-redes e tabelas de rotas;</w:t>
      </w:r>
    </w:p>
    <w:p>
      <w:pPr>
        <w:numPr>
          <w:ilvl w:val="0"/>
          <w:numId w:val="1015"/>
        </w:numPr>
        <w:pStyle w:val="Compact"/>
      </w:pPr>
      <w:r>
        <w:t xml:space="preserve">grupos de segurança/regras de firewall;</w:t>
      </w:r>
    </w:p>
    <w:p>
      <w:pPr>
        <w:numPr>
          <w:ilvl w:val="0"/>
          <w:numId w:val="1015"/>
        </w:numPr>
        <w:pStyle w:val="Compact"/>
      </w:pPr>
      <w:r>
        <w:t xml:space="preserve">VPN e conectividade dedicada;</w:t>
      </w:r>
    </w:p>
    <w:p>
      <w:pPr>
        <w:numPr>
          <w:ilvl w:val="0"/>
          <w:numId w:val="1015"/>
        </w:numPr>
        <w:pStyle w:val="Compact"/>
      </w:pPr>
      <w:r>
        <w:t xml:space="preserve">balanceadores;</w:t>
      </w:r>
    </w:p>
    <w:p>
      <w:pPr>
        <w:numPr>
          <w:ilvl w:val="0"/>
          <w:numId w:val="1015"/>
        </w:numPr>
        <w:pStyle w:val="Compact"/>
      </w:pPr>
      <w:r>
        <w:t xml:space="preserve">DNS;</w:t>
      </w:r>
    </w:p>
    <w:p>
      <w:pPr>
        <w:numPr>
          <w:ilvl w:val="0"/>
          <w:numId w:val="1015"/>
        </w:numPr>
        <w:pStyle w:val="Compact"/>
      </w:pPr>
      <w:r>
        <w:t xml:space="preserve">identidade e acesso;</w:t>
      </w:r>
    </w:p>
    <w:p>
      <w:pPr>
        <w:numPr>
          <w:ilvl w:val="0"/>
          <w:numId w:val="1015"/>
        </w:numPr>
        <w:pStyle w:val="Compact"/>
      </w:pPr>
      <w:r>
        <w:t xml:space="preserve">monitoramento em nuvem;</w:t>
      </w:r>
    </w:p>
    <w:p>
      <w:pPr>
        <w:numPr>
          <w:ilvl w:val="0"/>
          <w:numId w:val="1015"/>
        </w:numPr>
        <w:pStyle w:val="Compact"/>
      </w:pPr>
      <w:r>
        <w:t xml:space="preserve">conectividade híbrida entre nuvem e redes locais.</w:t>
      </w:r>
    </w:p>
    <w:p>
      <w:pPr>
        <w:pStyle w:val="FirstParagraph"/>
      </w:pPr>
      <w:r>
        <w:t xml:space="preserve">As vagas atuais do O*NET incluem Microsoft Azure como sinal tecnológico. Aprenda conceitos transferíveis de redes em nuvem em vez de assumir um único provedor como universal.</w:t>
      </w:r>
    </w:p>
    <w:bookmarkEnd w:id="40"/>
    <w:bookmarkStart w:id="41" w:name="X1d41a5f392d84c1a32373a5eb19ba59058d0a89"/>
    <w:p>
      <w:pPr>
        <w:pStyle w:val="Heading2"/>
      </w:pPr>
      <w:r>
        <w:t xml:space="preserve">Controle de configuração, backup e recuperação</w:t>
      </w:r>
    </w:p>
    <w:p>
      <w:pPr>
        <w:pStyle w:val="FirstParagraph"/>
      </w:pPr>
      <w:r>
        <w:t xml:space="preserve">Antes de uma mudança autorizada em produção, saiba:</w:t>
      </w:r>
    </w:p>
    <w:p>
      <w:pPr>
        <w:numPr>
          <w:ilvl w:val="0"/>
          <w:numId w:val="1016"/>
        </w:numPr>
        <w:pStyle w:val="Compact"/>
      </w:pPr>
      <w:r>
        <w:t xml:space="preserve">o que será alterado;</w:t>
      </w:r>
    </w:p>
    <w:p>
      <w:pPr>
        <w:numPr>
          <w:ilvl w:val="0"/>
          <w:numId w:val="1016"/>
        </w:numPr>
        <w:pStyle w:val="Compact"/>
      </w:pPr>
      <w:r>
        <w:t xml:space="preserve">por quê;</w:t>
      </w:r>
    </w:p>
    <w:p>
      <w:pPr>
        <w:numPr>
          <w:ilvl w:val="0"/>
          <w:numId w:val="1016"/>
        </w:numPr>
        <w:pStyle w:val="Compact"/>
      </w:pPr>
      <w:r>
        <w:t xml:space="preserve">quem aprovou;</w:t>
      </w:r>
    </w:p>
    <w:p>
      <w:pPr>
        <w:numPr>
          <w:ilvl w:val="0"/>
          <w:numId w:val="1016"/>
        </w:numPr>
        <w:pStyle w:val="Compact"/>
      </w:pPr>
      <w:r>
        <w:t xml:space="preserve">dependências;</w:t>
      </w:r>
    </w:p>
    <w:p>
      <w:pPr>
        <w:numPr>
          <w:ilvl w:val="0"/>
          <w:numId w:val="1016"/>
        </w:numPr>
        <w:pStyle w:val="Compact"/>
      </w:pPr>
      <w:r>
        <w:t xml:space="preserve">etapas de validação;</w:t>
      </w:r>
    </w:p>
    <w:p>
      <w:pPr>
        <w:numPr>
          <w:ilvl w:val="0"/>
          <w:numId w:val="1016"/>
        </w:numPr>
        <w:pStyle w:val="Compact"/>
      </w:pPr>
      <w:r>
        <w:t xml:space="preserve">método de rollback;</w:t>
      </w:r>
    </w:p>
    <w:p>
      <w:pPr>
        <w:numPr>
          <w:ilvl w:val="0"/>
          <w:numId w:val="1016"/>
        </w:numPr>
        <w:pStyle w:val="Compact"/>
      </w:pPr>
      <w:r>
        <w:t xml:space="preserve">janela de manutenção, se aplicável;</w:t>
      </w:r>
    </w:p>
    <w:p>
      <w:pPr>
        <w:numPr>
          <w:ilvl w:val="0"/>
          <w:numId w:val="1016"/>
        </w:numPr>
        <w:pStyle w:val="Compact"/>
      </w:pPr>
      <w:r>
        <w:t xml:space="preserve">como configuração/evidência será registrada.</w:t>
      </w:r>
    </w:p>
    <w:p>
      <w:pPr>
        <w:pStyle w:val="FirstParagraph"/>
      </w:pPr>
      <w:r>
        <w:t xml:space="preserve">Mantenha os backups exigidos e siga regras de retenção/segurança. Um backup contendo credenciais ou topologia sensível deve ser protegido adequadamente.</w:t>
      </w:r>
    </w:p>
    <w:bookmarkEnd w:id="41"/>
    <w:bookmarkStart w:id="42" w:name="gestão-de-mudanças"/>
    <w:p>
      <w:pPr>
        <w:pStyle w:val="Heading2"/>
      </w:pPr>
      <w:r>
        <w:t xml:space="preserve">Gestão de mudanças</w:t>
      </w:r>
    </w:p>
    <w:p>
      <w:pPr>
        <w:pStyle w:val="FirstParagraph"/>
      </w:pPr>
      <w:r>
        <w:t xml:space="preserve">Um bom registro de mudança inclui:</w:t>
      </w:r>
    </w:p>
    <w:p>
      <w:pPr>
        <w:numPr>
          <w:ilvl w:val="0"/>
          <w:numId w:val="1017"/>
        </w:numPr>
        <w:pStyle w:val="Compact"/>
      </w:pPr>
      <w:r>
        <w:t xml:space="preserve">mudança solicitada;</w:t>
      </w:r>
    </w:p>
    <w:p>
      <w:pPr>
        <w:numPr>
          <w:ilvl w:val="0"/>
          <w:numId w:val="1017"/>
        </w:numPr>
        <w:pStyle w:val="Compact"/>
      </w:pPr>
      <w:r>
        <w:t xml:space="preserve">dispositivos/serviços afetados;</w:t>
      </w:r>
    </w:p>
    <w:p>
      <w:pPr>
        <w:numPr>
          <w:ilvl w:val="0"/>
          <w:numId w:val="1017"/>
        </w:numPr>
        <w:pStyle w:val="Compact"/>
      </w:pPr>
      <w:r>
        <w:t xml:space="preserve">risco e impacto;</w:t>
      </w:r>
    </w:p>
    <w:p>
      <w:pPr>
        <w:numPr>
          <w:ilvl w:val="0"/>
          <w:numId w:val="1017"/>
        </w:numPr>
        <w:pStyle w:val="Compact"/>
      </w:pPr>
      <w:r>
        <w:t xml:space="preserve">aprovação;</w:t>
      </w:r>
    </w:p>
    <w:p>
      <w:pPr>
        <w:numPr>
          <w:ilvl w:val="0"/>
          <w:numId w:val="1017"/>
        </w:numPr>
        <w:pStyle w:val="Compact"/>
      </w:pPr>
      <w:r>
        <w:t xml:space="preserve">plano de implementação;</w:t>
      </w:r>
    </w:p>
    <w:p>
      <w:pPr>
        <w:numPr>
          <w:ilvl w:val="0"/>
          <w:numId w:val="1017"/>
        </w:numPr>
        <w:pStyle w:val="Compact"/>
      </w:pPr>
      <w:r>
        <w:t xml:space="preserve">plano de teste/validação;</w:t>
      </w:r>
    </w:p>
    <w:p>
      <w:pPr>
        <w:numPr>
          <w:ilvl w:val="0"/>
          <w:numId w:val="1017"/>
        </w:numPr>
        <w:pStyle w:val="Compact"/>
      </w:pPr>
      <w:r>
        <w:t xml:space="preserve">plano de rollback;</w:t>
      </w:r>
    </w:p>
    <w:p>
      <w:pPr>
        <w:numPr>
          <w:ilvl w:val="0"/>
          <w:numId w:val="1017"/>
        </w:numPr>
        <w:pStyle w:val="Compact"/>
      </w:pPr>
      <w:r>
        <w:t xml:space="preserve">resultado real;</w:t>
      </w:r>
    </w:p>
    <w:p>
      <w:pPr>
        <w:numPr>
          <w:ilvl w:val="0"/>
          <w:numId w:val="1017"/>
        </w:numPr>
        <w:pStyle w:val="Compact"/>
      </w:pPr>
      <w:r>
        <w:t xml:space="preserve">vínculo ao incidente/problema, quando relevante.</w:t>
      </w:r>
    </w:p>
    <w:p>
      <w:pPr>
        <w:pStyle w:val="FirstParagraph"/>
      </w:pPr>
      <w:r>
        <w:t xml:space="preserve">Mudanças de emergência podem usar um processo mais rápido, mas “emergência” não significa sem documentação ou autoridade ilimitada.</w:t>
      </w:r>
    </w:p>
    <w:bookmarkEnd w:id="42"/>
    <w:bookmarkStart w:id="43" w:name="qualidade-de-tickets-e-documentação"/>
    <w:p>
      <w:pPr>
        <w:pStyle w:val="Heading2"/>
      </w:pPr>
      <w:r>
        <w:t xml:space="preserve">Qualidade de tickets e documentação</w:t>
      </w:r>
    </w:p>
    <w:p>
      <w:pPr>
        <w:pStyle w:val="FirstParagraph"/>
      </w:pPr>
      <w:r>
        <w:t xml:space="preserve">Um bom ticket deve permitir reproduzir o trabalho. Registre:</w:t>
      </w:r>
    </w:p>
    <w:p>
      <w:pPr>
        <w:numPr>
          <w:ilvl w:val="0"/>
          <w:numId w:val="1018"/>
        </w:numPr>
        <w:pStyle w:val="Compact"/>
      </w:pPr>
      <w:r>
        <w:t xml:space="preserve">quem/o que foi afetado;</w:t>
      </w:r>
    </w:p>
    <w:p>
      <w:pPr>
        <w:numPr>
          <w:ilvl w:val="0"/>
          <w:numId w:val="1018"/>
        </w:numPr>
        <w:pStyle w:val="Compact"/>
      </w:pPr>
      <w:r>
        <w:t xml:space="preserve">localização/site;</w:t>
      </w:r>
    </w:p>
    <w:p>
      <w:pPr>
        <w:numPr>
          <w:ilvl w:val="0"/>
          <w:numId w:val="1018"/>
        </w:numPr>
        <w:pStyle w:val="Compact"/>
      </w:pPr>
      <w:r>
        <w:t xml:space="preserve">identificadores de dispositivos/serviços;</w:t>
      </w:r>
    </w:p>
    <w:p>
      <w:pPr>
        <w:numPr>
          <w:ilvl w:val="0"/>
          <w:numId w:val="1018"/>
        </w:numPr>
        <w:pStyle w:val="Compact"/>
      </w:pPr>
      <w:r>
        <w:t xml:space="preserve">sintomas e horários;</w:t>
      </w:r>
    </w:p>
    <w:p>
      <w:pPr>
        <w:numPr>
          <w:ilvl w:val="0"/>
          <w:numId w:val="1018"/>
        </w:numPr>
        <w:pStyle w:val="Compact"/>
      </w:pPr>
      <w:r>
        <w:t xml:space="preserve">impacto de negócio;</w:t>
      </w:r>
    </w:p>
    <w:p>
      <w:pPr>
        <w:numPr>
          <w:ilvl w:val="0"/>
          <w:numId w:val="1018"/>
        </w:numPr>
        <w:pStyle w:val="Compact"/>
      </w:pPr>
      <w:r>
        <w:t xml:space="preserve">diagnósticos executados;</w:t>
      </w:r>
    </w:p>
    <w:p>
      <w:pPr>
        <w:numPr>
          <w:ilvl w:val="0"/>
          <w:numId w:val="1018"/>
        </w:numPr>
        <w:pStyle w:val="Compact"/>
      </w:pPr>
      <w:r>
        <w:t xml:space="preserve">evidências/resultados;</w:t>
      </w:r>
    </w:p>
    <w:p>
      <w:pPr>
        <w:numPr>
          <w:ilvl w:val="0"/>
          <w:numId w:val="1018"/>
        </w:numPr>
        <w:pStyle w:val="Compact"/>
      </w:pPr>
      <w:r>
        <w:t xml:space="preserve">mudanças realizadas;</w:t>
      </w:r>
    </w:p>
    <w:p>
      <w:pPr>
        <w:numPr>
          <w:ilvl w:val="0"/>
          <w:numId w:val="1018"/>
        </w:numPr>
        <w:pStyle w:val="Compact"/>
      </w:pPr>
      <w:r>
        <w:t xml:space="preserve">validação;</w:t>
      </w:r>
    </w:p>
    <w:p>
      <w:pPr>
        <w:numPr>
          <w:ilvl w:val="0"/>
          <w:numId w:val="1018"/>
        </w:numPr>
        <w:pStyle w:val="Compact"/>
      </w:pPr>
      <w:r>
        <w:t xml:space="preserve">escalonamento/próxima ação.</w:t>
      </w:r>
    </w:p>
    <w:p>
      <w:pPr>
        <w:pStyle w:val="FirstParagraph"/>
      </w:pPr>
      <w:r>
        <w:t xml:space="preserve">Evite encerramentos vagos como “rede corrigida”. Explique o que estava errado e o que confirmou a restauração.</w:t>
      </w:r>
    </w:p>
    <w:bookmarkEnd w:id="43"/>
    <w:bookmarkStart w:id="44" w:name="cibersegurança-no-suporte-de-redes"/>
    <w:p>
      <w:pPr>
        <w:pStyle w:val="Heading2"/>
      </w:pPr>
      <w:r>
        <w:t xml:space="preserve">Cibersegurança no suporte de redes</w:t>
      </w:r>
    </w:p>
    <w:p>
      <w:pPr>
        <w:pStyle w:val="FirstParagraph"/>
      </w:pPr>
      <w:r>
        <w:t xml:space="preserve">O*NET inclui explicitamente configurar ajustes/permissões de segurança e analisar violações ou tentativas de violação entre as tarefas da ocupação.</w:t>
      </w:r>
    </w:p>
    <w:p>
      <w:pPr>
        <w:pStyle w:val="BodyText"/>
      </w:pPr>
      <w:r>
        <w:t xml:space="preserve">Boas práticas incluem:</w:t>
      </w:r>
    </w:p>
    <w:p>
      <w:pPr>
        <w:numPr>
          <w:ilvl w:val="0"/>
          <w:numId w:val="1019"/>
        </w:numPr>
        <w:pStyle w:val="Compact"/>
      </w:pPr>
      <w:r>
        <w:t xml:space="preserve">privilégio mínimo;</w:t>
      </w:r>
    </w:p>
    <w:p>
      <w:pPr>
        <w:numPr>
          <w:ilvl w:val="0"/>
          <w:numId w:val="1019"/>
        </w:numPr>
        <w:pStyle w:val="Compact"/>
      </w:pPr>
      <w:r>
        <w:t xml:space="preserve">contas nominativas;</w:t>
      </w:r>
    </w:p>
    <w:p>
      <w:pPr>
        <w:numPr>
          <w:ilvl w:val="0"/>
          <w:numId w:val="1019"/>
        </w:numPr>
        <w:pStyle w:val="Compact"/>
      </w:pPr>
      <w:r>
        <w:t xml:space="preserve">MFA quando exigido;</w:t>
      </w:r>
    </w:p>
    <w:p>
      <w:pPr>
        <w:numPr>
          <w:ilvl w:val="0"/>
          <w:numId w:val="1019"/>
        </w:numPr>
        <w:pStyle w:val="Compact"/>
      </w:pPr>
      <w:r>
        <w:t xml:space="preserve">tratamento seguro de credenciais;</w:t>
      </w:r>
    </w:p>
    <w:p>
      <w:pPr>
        <w:numPr>
          <w:ilvl w:val="0"/>
          <w:numId w:val="1019"/>
        </w:numPr>
        <w:pStyle w:val="Compact"/>
      </w:pPr>
      <w:r>
        <w:t xml:space="preserve">mudanças autorizadas;</w:t>
      </w:r>
    </w:p>
    <w:p>
      <w:pPr>
        <w:numPr>
          <w:ilvl w:val="0"/>
          <w:numId w:val="1019"/>
        </w:numPr>
        <w:pStyle w:val="Compact"/>
      </w:pPr>
      <w:r>
        <w:t xml:space="preserve">processos de patch/atualização;</w:t>
      </w:r>
    </w:p>
    <w:p>
      <w:pPr>
        <w:numPr>
          <w:ilvl w:val="0"/>
          <w:numId w:val="1019"/>
        </w:numPr>
        <w:pStyle w:val="Compact"/>
      </w:pPr>
      <w:r>
        <w:t xml:space="preserve">consciência de phishing e engenharia social;</w:t>
      </w:r>
    </w:p>
    <w:p>
      <w:pPr>
        <w:numPr>
          <w:ilvl w:val="0"/>
          <w:numId w:val="1019"/>
        </w:numPr>
        <w:pStyle w:val="Compact"/>
      </w:pPr>
      <w:r>
        <w:t xml:space="preserve">suporte remoto seguro;</w:t>
      </w:r>
    </w:p>
    <w:p>
      <w:pPr>
        <w:numPr>
          <w:ilvl w:val="0"/>
          <w:numId w:val="1019"/>
        </w:numPr>
        <w:pStyle w:val="Compact"/>
      </w:pPr>
      <w:r>
        <w:t xml:space="preserve">proteção de diagramas/configurações;</w:t>
      </w:r>
    </w:p>
    <w:p>
      <w:pPr>
        <w:numPr>
          <w:ilvl w:val="0"/>
          <w:numId w:val="1019"/>
        </w:numPr>
        <w:pStyle w:val="Compact"/>
      </w:pPr>
      <w:r>
        <w:t xml:space="preserve">escalonamento de tráfego ou acesso suspeito;</w:t>
      </w:r>
    </w:p>
    <w:p>
      <w:pPr>
        <w:numPr>
          <w:ilvl w:val="0"/>
          <w:numId w:val="1019"/>
        </w:numPr>
        <w:pStyle w:val="Compact"/>
      </w:pPr>
      <w:r>
        <w:t xml:space="preserve">preservação de logs/evidências.</w:t>
      </w:r>
    </w:p>
    <w:p>
      <w:pPr>
        <w:pStyle w:val="FirstParagraph"/>
      </w:pPr>
      <w:r>
        <w:t xml:space="preserve">Um técnico não deve declarar de forma independente que um incidente está contido nem realizar testes ofensivos, salvo quando essa responsabilidade e escopo estejam formalmente atribuídos.</w:t>
      </w:r>
    </w:p>
    <w:p>
      <w:pPr>
        <w:pStyle w:val="BodyText"/>
      </w:pPr>
      <w:r>
        <w:t xml:space="preserve">O material Secure Our World da CISA é útil para consciência básica. As políticas do empregador e os procedimentos autorizados de incidentes continuam prevalecendo.</w:t>
      </w:r>
    </w:p>
    <w:bookmarkEnd w:id="44"/>
    <w:bookmarkStart w:id="45" w:name="ia-e-automação-responsáveis"/>
    <w:p>
      <w:pPr>
        <w:pStyle w:val="Heading2"/>
      </w:pPr>
      <w:r>
        <w:t xml:space="preserve">IA e automação responsáveis</w:t>
      </w:r>
    </w:p>
    <w:p>
      <w:pPr>
        <w:pStyle w:val="FirstParagraph"/>
      </w:pPr>
      <w:r>
        <w:t xml:space="preserve">IA e automação podem ajudar com:</w:t>
      </w:r>
    </w:p>
    <w:p>
      <w:pPr>
        <w:numPr>
          <w:ilvl w:val="0"/>
          <w:numId w:val="1020"/>
        </w:numPr>
        <w:pStyle w:val="Compact"/>
      </w:pPr>
      <w:r>
        <w:t xml:space="preserve">resumo de logs;</w:t>
      </w:r>
    </w:p>
    <w:p>
      <w:pPr>
        <w:numPr>
          <w:ilvl w:val="0"/>
          <w:numId w:val="1020"/>
        </w:numPr>
        <w:pStyle w:val="Compact"/>
      </w:pPr>
      <w:r>
        <w:t xml:space="preserve">redação de tickets/runbooks;</w:t>
      </w:r>
    </w:p>
    <w:p>
      <w:pPr>
        <w:numPr>
          <w:ilvl w:val="0"/>
          <w:numId w:val="1020"/>
        </w:numPr>
        <w:pStyle w:val="Compact"/>
      </w:pPr>
      <w:r>
        <w:t xml:space="preserve">explicação de protocolos;</w:t>
      </w:r>
    </w:p>
    <w:p>
      <w:pPr>
        <w:numPr>
          <w:ilvl w:val="0"/>
          <w:numId w:val="1020"/>
        </w:numPr>
        <w:pStyle w:val="Compact"/>
      </w:pPr>
      <w:r>
        <w:t xml:space="preserve">geração de exemplos de laboratório;</w:t>
      </w:r>
    </w:p>
    <w:p>
      <w:pPr>
        <w:numPr>
          <w:ilvl w:val="0"/>
          <w:numId w:val="1020"/>
        </w:numPr>
        <w:pStyle w:val="Compact"/>
      </w:pPr>
      <w:r>
        <w:t xml:space="preserve">proposição de hipóteses de diagnóstico;</w:t>
      </w:r>
    </w:p>
    <w:p>
      <w:pPr>
        <w:numPr>
          <w:ilvl w:val="0"/>
          <w:numId w:val="1020"/>
        </w:numPr>
        <w:pStyle w:val="Compact"/>
      </w:pPr>
      <w:r>
        <w:t xml:space="preserve">formatação de dados repetitivos;</w:t>
      </w:r>
    </w:p>
    <w:p>
      <w:pPr>
        <w:numPr>
          <w:ilvl w:val="0"/>
          <w:numId w:val="1020"/>
        </w:numPr>
        <w:pStyle w:val="Compact"/>
      </w:pPr>
      <w:r>
        <w:t xml:space="preserve">exemplos de configuração fora de produção.</w:t>
      </w:r>
    </w:p>
    <w:p>
      <w:pPr>
        <w:pStyle w:val="FirstParagraph"/>
      </w:pPr>
      <w:r>
        <w:t xml:space="preserve">Controles:</w:t>
      </w:r>
    </w:p>
    <w:p>
      <w:pPr>
        <w:numPr>
          <w:ilvl w:val="0"/>
          <w:numId w:val="1021"/>
        </w:numPr>
        <w:pStyle w:val="Compact"/>
      </w:pPr>
      <w:r>
        <w:t xml:space="preserve">use apenas sistemas e classes de dados aprovados;</w:t>
      </w:r>
    </w:p>
    <w:p>
      <w:pPr>
        <w:numPr>
          <w:ilvl w:val="0"/>
          <w:numId w:val="1021"/>
        </w:numPr>
        <w:pStyle w:val="Compact"/>
      </w:pPr>
      <w:r>
        <w:t xml:space="preserve">nunca coloque credenciais, tokens, chaves ou configurações protegidas em serviços públicos de IA não aprovados;</w:t>
      </w:r>
    </w:p>
    <w:p>
      <w:pPr>
        <w:numPr>
          <w:ilvl w:val="0"/>
          <w:numId w:val="1021"/>
        </w:numPr>
        <w:pStyle w:val="Compact"/>
      </w:pPr>
      <w:r>
        <w:t xml:space="preserve">verifique cada comando/configuração antes do uso;</w:t>
      </w:r>
    </w:p>
    <w:p>
      <w:pPr>
        <w:numPr>
          <w:ilvl w:val="0"/>
          <w:numId w:val="1021"/>
        </w:numPr>
        <w:pStyle w:val="Compact"/>
      </w:pPr>
      <w:r>
        <w:t xml:space="preserve">preserve rastreabilidade de fontes/logs;</w:t>
      </w:r>
    </w:p>
    <w:p>
      <w:pPr>
        <w:numPr>
          <w:ilvl w:val="0"/>
          <w:numId w:val="1021"/>
        </w:numPr>
        <w:pStyle w:val="Compact"/>
      </w:pPr>
      <w:r>
        <w:t xml:space="preserve">teste adequadamente antes da produção;</w:t>
      </w:r>
    </w:p>
    <w:p>
      <w:pPr>
        <w:numPr>
          <w:ilvl w:val="0"/>
          <w:numId w:val="1021"/>
        </w:numPr>
        <w:pStyle w:val="Compact"/>
      </w:pPr>
      <w:r>
        <w:t xml:space="preserve">não permita mudanças autônomas em produção sem autoridade aprovada;</w:t>
      </w:r>
    </w:p>
    <w:p>
      <w:pPr>
        <w:numPr>
          <w:ilvl w:val="0"/>
          <w:numId w:val="1021"/>
        </w:numPr>
        <w:pStyle w:val="Compact"/>
      </w:pPr>
      <w:r>
        <w:t xml:space="preserve">confronte conclusões da IA com evidências observadas;</w:t>
      </w:r>
    </w:p>
    <w:p>
      <w:pPr>
        <w:numPr>
          <w:ilvl w:val="0"/>
          <w:numId w:val="1021"/>
        </w:numPr>
        <w:pStyle w:val="Compact"/>
      </w:pPr>
      <w:r>
        <w:t xml:space="preserve">escale recomendações inseguras ou inexplicáveis.</w:t>
      </w:r>
    </w:p>
    <w:p>
      <w:pPr>
        <w:pStyle w:val="FirstParagraph"/>
      </w:pPr>
      <w:r>
        <w:t xml:space="preserve">O AI Risk Management Framework do NIST e seu Generative AI Profile são orientações voluntárias de gestão de risco. Eles não substituem a governança do empregador sobre redes, segurança ou mudanças.</w:t>
      </w:r>
    </w:p>
    <w:bookmarkEnd w:id="45"/>
    <w:bookmarkStart w:id="46" w:name="acessibilidade-e-suporte-inclusivo"/>
    <w:p>
      <w:pPr>
        <w:pStyle w:val="Heading2"/>
      </w:pPr>
      <w:r>
        <w:t xml:space="preserve">Acessibilidade e suporte inclusivo</w:t>
      </w:r>
    </w:p>
    <w:p>
      <w:pPr>
        <w:pStyle w:val="FirstParagraph"/>
      </w:pPr>
      <w:r>
        <w:t xml:space="preserve">Os processos de suporte devem poder ser usados por pessoas com deficiência. Boas práticas incluem:</w:t>
      </w:r>
    </w:p>
    <w:p>
      <w:pPr>
        <w:numPr>
          <w:ilvl w:val="0"/>
          <w:numId w:val="1022"/>
        </w:numPr>
        <w:pStyle w:val="Compact"/>
      </w:pPr>
      <w:r>
        <w:t xml:space="preserve">ferramentas acessíveis por teclado quando possível;</w:t>
      </w:r>
    </w:p>
    <w:p>
      <w:pPr>
        <w:numPr>
          <w:ilvl w:val="0"/>
          <w:numId w:val="1022"/>
        </w:numPr>
        <w:pStyle w:val="Compact"/>
      </w:pPr>
      <w:r>
        <w:t xml:space="preserve">títulos legíveis e runbooks estruturados;</w:t>
      </w:r>
    </w:p>
    <w:p>
      <w:pPr>
        <w:numPr>
          <w:ilvl w:val="0"/>
          <w:numId w:val="1022"/>
        </w:numPr>
        <w:pStyle w:val="Compact"/>
      </w:pPr>
      <w:r>
        <w:t xml:space="preserve">rótulos significativos;</w:t>
      </w:r>
    </w:p>
    <w:p>
      <w:pPr>
        <w:numPr>
          <w:ilvl w:val="0"/>
          <w:numId w:val="1022"/>
        </w:numPr>
        <w:pStyle w:val="Compact"/>
      </w:pPr>
      <w:r>
        <w:t xml:space="preserve">contraste suficiente;</w:t>
      </w:r>
    </w:p>
    <w:p>
      <w:pPr>
        <w:numPr>
          <w:ilvl w:val="0"/>
          <w:numId w:val="1022"/>
        </w:numPr>
        <w:pStyle w:val="Compact"/>
      </w:pPr>
      <w:r>
        <w:t xml:space="preserve">indicadores que não dependam apenas de cor;</w:t>
      </w:r>
    </w:p>
    <w:p>
      <w:pPr>
        <w:numPr>
          <w:ilvl w:val="0"/>
          <w:numId w:val="1022"/>
        </w:numPr>
        <w:pStyle w:val="Compact"/>
      </w:pPr>
      <w:r>
        <w:t xml:space="preserve">alternativas em texto para diagramas/capturas quando adequado;</w:t>
      </w:r>
    </w:p>
    <w:p>
      <w:pPr>
        <w:numPr>
          <w:ilvl w:val="0"/>
          <w:numId w:val="1022"/>
        </w:numPr>
        <w:pStyle w:val="Compact"/>
      </w:pPr>
      <w:r>
        <w:t xml:space="preserve">alternativas de comunicação quando suporte somente por voz não for apropriado;</w:t>
      </w:r>
    </w:p>
    <w:p>
      <w:pPr>
        <w:numPr>
          <w:ilvl w:val="0"/>
          <w:numId w:val="1022"/>
        </w:numPr>
        <w:pStyle w:val="Compact"/>
      </w:pPr>
      <w:r>
        <w:t xml:space="preserve">documentos eletrônicos acessíveis.</w:t>
      </w:r>
    </w:p>
    <w:p>
      <w:pPr>
        <w:pStyle w:val="FirstParagraph"/>
      </w:pPr>
      <w:r>
        <w:t xml:space="preserve">Verificações automáticas de acessibilidade não constituem certificação legal completa.</w:t>
      </w:r>
    </w:p>
    <w:bookmarkEnd w:id="46"/>
    <w:bookmarkStart w:id="47" w:name="X080e0ed7293c7dac6810fdd8301c8d12e117fb1"/>
    <w:p>
      <w:pPr>
        <w:pStyle w:val="Heading2"/>
      </w:pPr>
      <w:r>
        <w:t xml:space="preserve">Perfil atual de preparação nos Estados Unidos</w:t>
      </w:r>
    </w:p>
    <w:p>
      <w:pPr>
        <w:pStyle w:val="FirstParagraph"/>
      </w:pPr>
      <w:r>
        <w:t xml:space="preserve">O*NET coloca</w:t>
      </w:r>
      <w:r>
        <w:t xml:space="preserve"> </w:t>
      </w:r>
      <w:r>
        <w:rPr>
          <w:bCs/>
          <w:b/>
        </w:rPr>
        <w:t xml:space="preserve">15-1231.00</w:t>
      </w:r>
      <w:r>
        <w:t xml:space="preserve"> </w:t>
      </w:r>
      <w:r>
        <w:t xml:space="preserve">em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 Informa que muitas ocupações dessa zona exigem diploma universitário de quatro anos, embora algumas não, e que experiência considerável e treinamento vocacional ou no trabalho podem ser necessários.</w:t>
      </w:r>
    </w:p>
    <w:p>
      <w:pPr>
        <w:pStyle w:val="BodyText"/>
      </w:pPr>
      <w:r>
        <w:t xml:space="preserve">Isso não significa que todo cargo de técnico de suporte de redes exija bacharelado. Os empregadores variam. Caminhos relevantes podem incluir:</w:t>
      </w:r>
    </w:p>
    <w:p>
      <w:pPr>
        <w:numPr>
          <w:ilvl w:val="0"/>
          <w:numId w:val="1023"/>
        </w:numPr>
        <w:pStyle w:val="Compact"/>
      </w:pPr>
      <w:r>
        <w:t xml:space="preserve">experiência em suporte de TI mais prática em redes;</w:t>
      </w:r>
    </w:p>
    <w:p>
      <w:pPr>
        <w:numPr>
          <w:ilvl w:val="0"/>
          <w:numId w:val="1023"/>
        </w:numPr>
        <w:pStyle w:val="Compact"/>
      </w:pPr>
      <w:r>
        <w:t xml:space="preserve">community college ou educação técnica;</w:t>
      </w:r>
    </w:p>
    <w:p>
      <w:pPr>
        <w:numPr>
          <w:ilvl w:val="0"/>
          <w:numId w:val="1023"/>
        </w:numPr>
        <w:pStyle w:val="Compact"/>
      </w:pPr>
      <w:r>
        <w:t xml:space="preserve">programas de administração de redes;</w:t>
      </w:r>
    </w:p>
    <w:p>
      <w:pPr>
        <w:numPr>
          <w:ilvl w:val="0"/>
          <w:numId w:val="1023"/>
        </w:numPr>
        <w:pStyle w:val="Compact"/>
      </w:pPr>
      <w:r>
        <w:t xml:space="preserve">certificações quando valorizadas pelo empregador;</w:t>
      </w:r>
    </w:p>
    <w:p>
      <w:pPr>
        <w:numPr>
          <w:ilvl w:val="0"/>
          <w:numId w:val="1023"/>
        </w:numPr>
        <w:pStyle w:val="Compact"/>
      </w:pPr>
      <w:r>
        <w:t xml:space="preserve">evidência de laboratório/portfólio;</w:t>
      </w:r>
    </w:p>
    <w:p>
      <w:pPr>
        <w:numPr>
          <w:ilvl w:val="0"/>
          <w:numId w:val="1023"/>
        </w:numPr>
        <w:pStyle w:val="Compact"/>
      </w:pPr>
      <w:r>
        <w:t xml:space="preserve">programas de aprendizagem relacionados;</w:t>
      </w:r>
    </w:p>
    <w:p>
      <w:pPr>
        <w:numPr>
          <w:ilvl w:val="0"/>
          <w:numId w:val="1023"/>
        </w:numPr>
        <w:pStyle w:val="Compact"/>
      </w:pPr>
      <w:r>
        <w:t xml:space="preserve">formação técnica militar ou fornecida pelo empregador.</w:t>
      </w:r>
    </w:p>
    <w:p>
      <w:pPr>
        <w:pStyle w:val="FirstParagraph"/>
      </w:pPr>
      <w:r>
        <w:t xml:space="preserve">O*NET lista os títulos de aprendizagem aprovados</w:t>
      </w:r>
      <w:r>
        <w:t xml:space="preserve"> </w:t>
      </w:r>
      <w:r>
        <w:rPr>
          <w:bCs/>
          <w:b/>
        </w:rPr>
        <w:t xml:space="preserve">Cloud Support Specialist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Junior Cloud Engineer (Nof)</w:t>
      </w:r>
      <w:r>
        <w:t xml:space="preserve">. Um título aprovado não garante uma vaga local.</w:t>
      </w:r>
    </w:p>
    <w:bookmarkEnd w:id="47"/>
    <w:bookmarkStart w:id="49" w:name="X99570123c360444ba6c0076168edffc91ab66db"/>
    <w:p>
      <w:pPr>
        <w:pStyle w:val="Heading2"/>
      </w:pPr>
      <w:r>
        <w:t xml:space="preserve">Salários e perspectiva nos Estados Unidos</w:t>
      </w:r>
    </w:p>
    <w:p>
      <w:pPr>
        <w:pStyle w:val="FirstParagraph"/>
      </w:pPr>
      <w:r>
        <w:t xml:space="preserve">Dados nacionais BLS 2025 exibidos pelo O*NET para 15-1231.00: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$47,120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$58,240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$76,220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$98,750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$47.48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$127,780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$61.43</w:t>
            </w:r>
          </w:p>
        </w:tc>
      </w:tr>
    </w:tbl>
    <w:p>
      <w:pPr>
        <w:pStyle w:val="BodyText"/>
      </w:pPr>
      <w:r>
        <w:t xml:space="preserve">Projeções 2024–2034:</w:t>
      </w:r>
    </w:p>
    <w:p>
      <w:pPr>
        <w:numPr>
          <w:ilvl w:val="0"/>
          <w:numId w:val="1024"/>
        </w:numPr>
        <w:pStyle w:val="Compact"/>
      </w:pPr>
      <w:r>
        <w:t xml:space="preserve">emprego em 2024:</w:t>
      </w:r>
      <w:r>
        <w:t xml:space="preserve"> </w:t>
      </w:r>
      <w:r>
        <w:rPr>
          <w:bCs/>
          <w:b/>
        </w:rPr>
        <w:t xml:space="preserve">152,700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emprego projetado para 2034:</w:t>
      </w:r>
      <w:r>
        <w:t xml:space="preserve"> </w:t>
      </w:r>
      <w:r>
        <w:rPr>
          <w:bCs/>
          <w:b/>
        </w:rPr>
        <w:t xml:space="preserve">155,500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crescimento projetado:</w:t>
      </w:r>
      <w:r>
        <w:t xml:space="preserve"> </w:t>
      </w:r>
      <w:r>
        <w:rPr>
          <w:bCs/>
          <w:b/>
        </w:rPr>
        <w:t xml:space="preserve">2%</w:t>
      </w:r>
      <w:r>
        <w:t xml:space="preserve">, mais lento que a média;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9,600 aberturas projetadas por ano</w:t>
      </w:r>
      <w:r>
        <w:t xml:space="preserve">.</w:t>
      </w:r>
    </w:p>
    <w:p>
      <w:pPr>
        <w:pStyle w:val="FirstParagraph"/>
      </w:pPr>
      <w:r>
        <w:t xml:space="preserve">As aberturas anuais incluem crescimento e substituições e não garantem oportunidade para uma pessoa específica.</w:t>
      </w:r>
    </w:p>
    <w:bookmarkStart w:id="48" w:name="Xc23704fd703e0fe1aed831edb3f226904a29a58"/>
    <w:p>
      <w:pPr>
        <w:pStyle w:val="Heading3"/>
      </w:pPr>
      <w:r>
        <w:t xml:space="preserve">Contexto atual não governamental de título relacionado</w:t>
      </w:r>
    </w:p>
    <w:p>
      <w:pPr>
        <w:pStyle w:val="FirstParagraph"/>
      </w:pPr>
      <w:r>
        <w:t xml:space="preserve">Indeed informou salário-base médio de</w:t>
      </w:r>
      <w:r>
        <w:t xml:space="preserve"> </w:t>
      </w:r>
      <w:r>
        <w:rPr>
          <w:bCs/>
          <w:b/>
        </w:rPr>
        <w:t xml:space="preserve">$26.30 por hora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Network Technician</w:t>
      </w:r>
      <w:r>
        <w:t xml:space="preserve"> </w:t>
      </w:r>
      <w:r>
        <w:t xml:space="preserve">nos Estados Unidos, com faixa exibida de</w:t>
      </w:r>
      <w:r>
        <w:t xml:space="preserve"> </w:t>
      </w:r>
      <w:r>
        <w:rPr>
          <w:bCs/>
          <w:b/>
        </w:rPr>
        <w:t xml:space="preserve">$17.46–$39.60 por hora</w:t>
      </w:r>
      <w:r>
        <w:t xml:space="preserve">, baseada em aproximadamente</w:t>
      </w:r>
      <w:r>
        <w:t xml:space="preserve"> </w:t>
      </w:r>
      <w:r>
        <w:rPr>
          <w:bCs/>
          <w:b/>
        </w:rPr>
        <w:t xml:space="preserve">2.1k salários</w:t>
      </w:r>
      <w:r>
        <w:t xml:space="preserve"> </w:t>
      </w:r>
      <w:r>
        <w:t xml:space="preserve">de vagas dos 36 meses anteriores, atualizada em</w:t>
      </w:r>
      <w:r>
        <w:t xml:space="preserve"> </w:t>
      </w:r>
      <w:r>
        <w:rPr>
          <w:bCs/>
          <w:b/>
        </w:rPr>
        <w:t xml:space="preserve">3 de agosto de 2026</w:t>
      </w:r>
      <w:r>
        <w:t xml:space="preserve">.</w:t>
      </w:r>
    </w:p>
    <w:p>
      <w:pPr>
        <w:pStyle w:val="BodyText"/>
      </w:pPr>
      <w:r>
        <w:t xml:space="preserve">É uma estimativa não governamental para título relacionado e pode representar população mais ampla ou júnior que O</w:t>
      </w:r>
      <w:r>
        <w:rPr>
          <w:iCs/>
          <w:i/>
        </w:rPr>
        <w:t xml:space="preserve">NET-SOC 15-1231.00. Não a substitua pela série oficial BLS/O</w:t>
      </w:r>
      <w:r>
        <w:t xml:space="preserve">NET.</w:t>
      </w:r>
    </w:p>
    <w:bookmarkEnd w:id="48"/>
    <w:bookmarkEnd w:id="49"/>
    <w:bookmarkStart w:id="50" w:name="X90971736983eb8e8959770a3f7b63e1490bd4a5"/>
    <w:p>
      <w:pPr>
        <w:pStyle w:val="Heading2"/>
      </w:pPr>
      <w:r>
        <w:t xml:space="preserve">Sinais atuais de tecnologias nas vagas dos EUA</w:t>
      </w:r>
    </w:p>
    <w:p>
      <w:pPr>
        <w:pStyle w:val="FirstParagraph"/>
      </w:pPr>
      <w:r>
        <w:t xml:space="preserve">O*NET Hot Technologies, baseado em publicações dos EUA durante 2025, inclui:</w:t>
      </w:r>
    </w:p>
    <w:p>
      <w:pPr>
        <w:numPr>
          <w:ilvl w:val="0"/>
          <w:numId w:val="1025"/>
        </w:numPr>
        <w:pStyle w:val="Compact"/>
      </w:pPr>
      <w:r>
        <w:t xml:space="preserve">Microsoft Office</w:t>
      </w:r>
      <w:r>
        <w:t xml:space="preserve"> </w:t>
      </w:r>
      <w:r>
        <w:rPr>
          <w:bCs/>
          <w:b/>
        </w:rPr>
        <w:t xml:space="preserve">13%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Active Directory</w:t>
      </w:r>
      <w:r>
        <w:t xml:space="preserve"> </w:t>
      </w:r>
      <w:r>
        <w:rPr>
          <w:bCs/>
          <w:b/>
        </w:rPr>
        <w:t xml:space="preserve">13%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ServiceNow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Linux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Apple macOS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Windows Server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Outlook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Excel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Windows</w:t>
      </w:r>
      <w:r>
        <w:t xml:space="preserve"> </w:t>
      </w:r>
      <w:r>
        <w:rPr>
          <w:bCs/>
          <w:b/>
        </w:rPr>
        <w:t xml:space="preserve">5%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BGP</w:t>
      </w:r>
      <w:r>
        <w:t xml:space="preserve"> </w:t>
      </w:r>
      <w:r>
        <w:rPr>
          <w:bCs/>
          <w:b/>
        </w:rPr>
        <w:t xml:space="preserve">3%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Microsoft Azure</w:t>
      </w:r>
      <w:r>
        <w:t xml:space="preserve"> </w:t>
      </w:r>
      <w:r>
        <w:rPr>
          <w:bCs/>
          <w:b/>
        </w:rPr>
        <w:t xml:space="preserve">3%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PowerShell</w:t>
      </w:r>
      <w:r>
        <w:t xml:space="preserve"> </w:t>
      </w:r>
      <w:r>
        <w:rPr>
          <w:bCs/>
          <w:b/>
        </w:rPr>
        <w:t xml:space="preserve">2%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1%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Python</w:t>
      </w:r>
      <w:r>
        <w:t xml:space="preserve"> </w:t>
      </w:r>
      <w:r>
        <w:rPr>
          <w:bCs/>
          <w:b/>
        </w:rPr>
        <w:t xml:space="preserve">1%</w:t>
      </w:r>
      <w:r>
        <w:t xml:space="preserve">;</w:t>
      </w:r>
    </w:p>
    <w:p>
      <w:pPr>
        <w:numPr>
          <w:ilvl w:val="0"/>
          <w:numId w:val="1025"/>
        </w:numPr>
        <w:pStyle w:val="Compact"/>
      </w:pPr>
      <w:r>
        <w:t xml:space="preserve">Splunk Enterprise</w:t>
      </w:r>
      <w:r>
        <w:t xml:space="preserve"> </w:t>
      </w:r>
      <w:r>
        <w:rPr>
          <w:bCs/>
          <w:b/>
        </w:rPr>
        <w:t xml:space="preserve">1%</w:t>
      </w:r>
      <w:r>
        <w:t xml:space="preserve">.</w:t>
      </w:r>
    </w:p>
    <w:p>
      <w:pPr>
        <w:pStyle w:val="FirstParagraph"/>
      </w:pPr>
      <w:r>
        <w:t xml:space="preserve">Esses são sinais de mercado, não uma lista obrigatória para todo emprego.</w:t>
      </w:r>
    </w:p>
    <w:bookmarkEnd w:id="50"/>
    <w:bookmarkStart w:id="51" w:name="caminho-no-canadá"/>
    <w:p>
      <w:pPr>
        <w:pStyle w:val="Heading2"/>
      </w:pPr>
      <w:r>
        <w:t xml:space="preserve">Caminho no Canadá</w:t>
      </w:r>
    </w:p>
    <w:p>
      <w:pPr>
        <w:pStyle w:val="FirstParagraph"/>
      </w:pPr>
      <w:r>
        <w:t xml:space="preserve">Canada Job Bank identifica</w:t>
      </w:r>
      <w:r>
        <w:t xml:space="preserve"> </w:t>
      </w:r>
      <w:r>
        <w:rPr>
          <w:bCs/>
          <w:b/>
        </w:rPr>
        <w:t xml:space="preserve">NOC 22220 — Computer network and web technicians</w:t>
      </w:r>
      <w:r>
        <w:t xml:space="preserve">. Técnicos de rede estabelecem, operam, mantêm e coordenam LANs/WANs e hardware/software relacionado e monitoram conectividade/desempenho.</w:t>
      </w:r>
    </w:p>
    <w:p>
      <w:pPr>
        <w:pStyle w:val="BodyText"/>
      </w:pPr>
      <w:r>
        <w:t xml:space="preserve">Os requisitos atuais normalmente indicam:</w:t>
      </w:r>
    </w:p>
    <w:p>
      <w:pPr>
        <w:numPr>
          <w:ilvl w:val="0"/>
          <w:numId w:val="1026"/>
        </w:numPr>
        <w:pStyle w:val="Compact"/>
      </w:pPr>
      <w:r>
        <w:t xml:space="preserve">conclusão de college ou outro programa em ciência da computação, administração de redes, tecnologia web ou área relacionada;</w:t>
      </w:r>
    </w:p>
    <w:p>
      <w:pPr>
        <w:numPr>
          <w:ilvl w:val="0"/>
          <w:numId w:val="1026"/>
        </w:numPr>
        <w:pStyle w:val="Compact"/>
      </w:pPr>
      <w:r>
        <w:t xml:space="preserve">alguns empregadores podem exigir treinamento/certificação do fornecedor de software;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é exigido registro junto a um órgão regulador em Saskatchewan</w:t>
      </w:r>
      <w:r>
        <w:t xml:space="preserve">.</w:t>
      </w:r>
    </w:p>
    <w:p>
      <w:pPr>
        <w:pStyle w:val="FirstParagraph"/>
      </w:pPr>
      <w:r>
        <w:t xml:space="preserve">Não descreva a ocupação como uniformemente não regulamentada em todo o Canadá.</w:t>
      </w:r>
    </w:p>
    <w:p>
      <w:pPr>
        <w:pStyle w:val="BodyText"/>
      </w:pPr>
      <w:r>
        <w:t xml:space="preserve">Salários nacionais atuais, atualizados em 19 de novembro de 2025:</w:t>
      </w:r>
    </w:p>
    <w:p>
      <w:pPr>
        <w:numPr>
          <w:ilvl w:val="0"/>
          <w:numId w:val="1027"/>
        </w:numPr>
        <w:pStyle w:val="Compact"/>
      </w:pPr>
      <w:r>
        <w:t xml:space="preserve">baixo:</w:t>
      </w:r>
      <w:r>
        <w:t xml:space="preserve"> </w:t>
      </w:r>
      <w:r>
        <w:rPr>
          <w:bCs/>
          <w:b/>
        </w:rPr>
        <w:t xml:space="preserve">C$21.00/hora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mediana:</w:t>
      </w:r>
      <w:r>
        <w:t xml:space="preserve"> </w:t>
      </w:r>
      <w:r>
        <w:rPr>
          <w:bCs/>
          <w:b/>
        </w:rPr>
        <w:t xml:space="preserve">C$36.00/hora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t xml:space="preserve">alto:</w:t>
      </w:r>
      <w:r>
        <w:t xml:space="preserve"> </w:t>
      </w:r>
      <w:r>
        <w:rPr>
          <w:bCs/>
          <w:b/>
        </w:rPr>
        <w:t xml:space="preserve">C$55.00/hora</w:t>
      </w:r>
      <w:r>
        <w:t xml:space="preserve">.</w:t>
      </w:r>
    </w:p>
    <w:p>
      <w:pPr>
        <w:pStyle w:val="FirstParagraph"/>
      </w:pPr>
      <w:r>
        <w:t xml:space="preserve">As perspectivas variam por província/território. Use a visão regional atual do Job Bank para a localização considerada.</w:t>
      </w:r>
    </w:p>
    <w:bookmarkEnd w:id="51"/>
    <w:bookmarkStart w:id="55" w:name="caminho-na-colômbia"/>
    <w:p>
      <w:pPr>
        <w:pStyle w:val="Heading2"/>
      </w:pPr>
      <w:r>
        <w:t xml:space="preserve">Caminho na Colômbia</w:t>
      </w:r>
    </w:p>
    <w:bookmarkStart w:id="52" w:name="X040543ff655bb60416dec16dac738f054b7e58e"/>
    <w:p>
      <w:pPr>
        <w:pStyle w:val="Heading3"/>
      </w:pPr>
      <w:r>
        <w:t xml:space="preserve">CUOC 35130 — Técnicos en redes y tecnologías de la información</w:t>
      </w:r>
    </w:p>
    <w:p>
      <w:pPr>
        <w:pStyle w:val="FirstParagraph"/>
      </w:pPr>
      <w:r>
        <w:t xml:space="preserve">É uma correspondência ocupacional direta. Entre os títulos relevantes estão:</w:t>
      </w:r>
    </w:p>
    <w:p>
      <w:pPr>
        <w:numPr>
          <w:ilvl w:val="0"/>
          <w:numId w:val="1028"/>
        </w:numPr>
        <w:pStyle w:val="Compact"/>
      </w:pPr>
      <w:r>
        <w:t xml:space="preserve">Técnico de apoyo de red;</w:t>
      </w:r>
    </w:p>
    <w:p>
      <w:pPr>
        <w:numPr>
          <w:ilvl w:val="0"/>
          <w:numId w:val="1028"/>
        </w:numPr>
        <w:pStyle w:val="Compact"/>
      </w:pPr>
      <w:r>
        <w:t xml:space="preserve">Técnico de redes y sistemas informáticos;</w:t>
      </w:r>
    </w:p>
    <w:p>
      <w:pPr>
        <w:numPr>
          <w:ilvl w:val="0"/>
          <w:numId w:val="1028"/>
        </w:numPr>
        <w:pStyle w:val="Compact"/>
      </w:pPr>
      <w:r>
        <w:t xml:space="preserve">Técnico de sistemas en red;</w:t>
      </w:r>
    </w:p>
    <w:p>
      <w:pPr>
        <w:numPr>
          <w:ilvl w:val="0"/>
          <w:numId w:val="1028"/>
        </w:numPr>
        <w:pStyle w:val="Compact"/>
      </w:pPr>
      <w:r>
        <w:t xml:space="preserve">Técnico de soporte de red informática;</w:t>
      </w:r>
    </w:p>
    <w:p>
      <w:pPr>
        <w:numPr>
          <w:ilvl w:val="0"/>
          <w:numId w:val="1028"/>
        </w:numPr>
        <w:pStyle w:val="Compact"/>
      </w:pPr>
      <w:r>
        <w:t xml:space="preserve">Técnico en mantenimiento de red informática;</w:t>
      </w:r>
    </w:p>
    <w:p>
      <w:pPr>
        <w:numPr>
          <w:ilvl w:val="0"/>
          <w:numId w:val="1028"/>
        </w:numPr>
        <w:pStyle w:val="Compact"/>
      </w:pPr>
      <w:r>
        <w:t xml:space="preserve">Técnico en redes de computadores;</w:t>
      </w:r>
    </w:p>
    <w:p>
      <w:pPr>
        <w:numPr>
          <w:ilvl w:val="0"/>
          <w:numId w:val="1028"/>
        </w:numPr>
        <w:pStyle w:val="Compact"/>
      </w:pPr>
      <w:r>
        <w:t xml:space="preserve">Técnico especialista en infraestructura tecnológica.</w:t>
      </w:r>
    </w:p>
    <w:p>
      <w:pPr>
        <w:pStyle w:val="FirstParagraph"/>
      </w:pPr>
      <w:r>
        <w:t xml:space="preserve">As funções oficiais incluem implementar/operar/solucionar problemas de redes de dados, instalar software de rede e sistemas operacionais, backup/recuperação, configurar dispositivos de interconexão, executar diagnósticos de segurança, monitorar data centers, manter infraestrutura, atender usuários e documentar.</w:t>
      </w:r>
    </w:p>
    <w:p>
      <w:pPr>
        <w:pStyle w:val="BodyText"/>
      </w:pPr>
      <w:r>
        <w:t xml:space="preserve">OCUPACOL exibe informações salariais históricas/derivadas, mas alerta expressamente que os dados não possuem representatividade estatística. Portanto este guia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usa essa faixa como referência nacional atual representativa para a Colômbia.</w:t>
      </w:r>
    </w:p>
    <w:bookmarkEnd w:id="52"/>
    <w:bookmarkStart w:id="53" w:name="X5c2c86a1e4bf3b3b876a8254a62fe091dac4f08"/>
    <w:p>
      <w:pPr>
        <w:pStyle w:val="Heading3"/>
      </w:pPr>
      <w:r>
        <w:t xml:space="preserve">SENA — Instalación de redes de computadores</w:t>
      </w:r>
    </w:p>
    <w:p>
      <w:pPr>
        <w:pStyle w:val="FirstParagraph"/>
      </w:pPr>
      <w:r>
        <w:t xml:space="preserve">SENA Betowa atualmente lista</w:t>
      </w:r>
      <w:r>
        <w:t xml:space="preserve"> </w:t>
      </w:r>
      <w:r>
        <w:rPr>
          <w:bCs/>
          <w:b/>
        </w:rPr>
        <w:t xml:space="preserve">Instalación de redes de computadores</w:t>
      </w:r>
      <w:r>
        <w:t xml:space="preserve"> </w:t>
      </w:r>
      <w:r>
        <w:t xml:space="preserve">como: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Técnico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2,208 horas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t xml:space="preserve">formação titulada;</w:t>
      </w:r>
    </w:p>
    <w:p>
      <w:pPr>
        <w:numPr>
          <w:ilvl w:val="0"/>
          <w:numId w:val="1029"/>
        </w:numPr>
        <w:pStyle w:val="Compact"/>
      </w:pPr>
      <w:r>
        <w:t xml:space="preserve">competências incluindo implementação de rede física de dados e rede sem fio local.</w:t>
      </w:r>
    </w:p>
    <w:p>
      <w:pPr>
        <w:pStyle w:val="FirstParagraph"/>
      </w:pPr>
      <w:r>
        <w:t xml:space="preserve">Turmas, locais e datas de inscrição mudam. Verifique disponibilidade atual antes de planejar uma admissão específica.</w:t>
      </w:r>
    </w:p>
    <w:bookmarkEnd w:id="53"/>
    <w:bookmarkStart w:id="54" w:name="sena--gestión-de-redes-de-datos"/>
    <w:p>
      <w:pPr>
        <w:pStyle w:val="Heading3"/>
      </w:pPr>
      <w:r>
        <w:t xml:space="preserve">SENA — Gestión de redes de datos</w:t>
      </w:r>
    </w:p>
    <w:p>
      <w:pPr>
        <w:pStyle w:val="FirstParagraph"/>
      </w:pPr>
      <w:r>
        <w:t xml:space="preserve">SENA Betowa também lista</w:t>
      </w:r>
      <w:r>
        <w:t xml:space="preserve"> </w:t>
      </w:r>
      <w:r>
        <w:rPr>
          <w:bCs/>
          <w:b/>
        </w:rPr>
        <w:t xml:space="preserve">Gestión de redes de datos</w:t>
      </w:r>
      <w:r>
        <w:t xml:space="preserve"> </w:t>
      </w:r>
      <w:r>
        <w:t xml:space="preserve">como: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Tecnólogo</w:t>
      </w:r>
      <w:r>
        <w:t xml:space="preserve">;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3,984 horas</w:t>
      </w:r>
      <w:r>
        <w:t xml:space="preserve">;</w:t>
      </w:r>
    </w:p>
    <w:p>
      <w:pPr>
        <w:numPr>
          <w:ilvl w:val="0"/>
          <w:numId w:val="1030"/>
        </w:numPr>
        <w:pStyle w:val="Compact"/>
      </w:pPr>
      <w:r>
        <w:t xml:space="preserve">formação titulada;</w:t>
      </w:r>
    </w:p>
    <w:p>
      <w:pPr>
        <w:numPr>
          <w:ilvl w:val="0"/>
          <w:numId w:val="1030"/>
        </w:numPr>
        <w:pStyle w:val="Compact"/>
      </w:pPr>
      <w:r>
        <w:t xml:space="preserve">cabeamento estruturado, data centers, redes cabeadas/sem fio e segurança de redes entre os temas.</w:t>
      </w:r>
    </w:p>
    <w:p>
      <w:pPr>
        <w:pStyle w:val="FirstParagraph"/>
      </w:pPr>
      <w:r>
        <w:t xml:space="preserve">Esse caminho mais aprofundado pode apoiar progressão profissional, mas não é obrigatório para toda posição inicial de suporte de redes.</w:t>
      </w:r>
    </w:p>
    <w:bookmarkEnd w:id="54"/>
    <w:bookmarkEnd w:id="55"/>
    <w:bookmarkStart w:id="56" w:name="caminho-mais-amplo-na-américa-latina"/>
    <w:p>
      <w:pPr>
        <w:pStyle w:val="Heading2"/>
      </w:pPr>
      <w:r>
        <w:t xml:space="preserve">Caminho mais amplo na América Latina</w:t>
      </w:r>
    </w:p>
    <w:p>
      <w:pPr>
        <w:pStyle w:val="FirstParagraph"/>
      </w:pPr>
      <w:r>
        <w:t xml:space="preserve">Os sistemas de formação variam por país. Os recursos por país da OIT/Cinterfor podem ajudar a localizar instituições nacionais de formação profissional. Verifique diretamente com o provedor o status atual, admissão, modalidade, custo e reconhecimento da credencial.</w:t>
      </w:r>
    </w:p>
    <w:bookmarkEnd w:id="56"/>
    <w:bookmarkStart w:id="57" w:name="X07739a58788e1de0939b6848e967a31e922f09b"/>
    <w:p>
      <w:pPr>
        <w:pStyle w:val="Heading2"/>
      </w:pPr>
      <w:r>
        <w:t xml:space="preserve">Estratégia de aprendizado gratuito ou de baixo custo primeiro</w:t>
      </w:r>
    </w:p>
    <w:p>
      <w:pPr>
        <w:pStyle w:val="FirstParagraph"/>
      </w:pPr>
      <w:r>
        <w:t xml:space="preserve">Antes de pagar por treinamento caro:</w:t>
      </w:r>
    </w:p>
    <w:p>
      <w:pPr>
        <w:numPr>
          <w:ilvl w:val="0"/>
          <w:numId w:val="1031"/>
        </w:numPr>
        <w:pStyle w:val="Compact"/>
      </w:pPr>
      <w:r>
        <w:t xml:space="preserve">aprenda fundamentos de redes com materiais confiáveis gratuitos ou de baixo custo;</w:t>
      </w:r>
    </w:p>
    <w:p>
      <w:pPr>
        <w:numPr>
          <w:ilvl w:val="0"/>
          <w:numId w:val="1031"/>
        </w:numPr>
        <w:pStyle w:val="Compact"/>
      </w:pPr>
      <w:r>
        <w:t xml:space="preserve">monte um laboratório isolado ou use ambientes de nuvem/lab autorizados;</w:t>
      </w:r>
    </w:p>
    <w:p>
      <w:pPr>
        <w:numPr>
          <w:ilvl w:val="0"/>
          <w:numId w:val="1031"/>
        </w:numPr>
        <w:pStyle w:val="Compact"/>
      </w:pPr>
      <w:r>
        <w:t xml:space="preserve">pratique endereçamento, VLAN, roteamento, DNS, DHCP, Wi-Fi e troubleshooting;</w:t>
      </w:r>
    </w:p>
    <w:p>
      <w:pPr>
        <w:numPr>
          <w:ilvl w:val="0"/>
          <w:numId w:val="1031"/>
        </w:numPr>
        <w:pStyle w:val="Compact"/>
      </w:pPr>
      <w:r>
        <w:t xml:space="preserve">documente incidentes e mudanças como se estivesse em produção;</w:t>
      </w:r>
    </w:p>
    <w:p>
      <w:pPr>
        <w:numPr>
          <w:ilvl w:val="0"/>
          <w:numId w:val="1031"/>
        </w:numPr>
        <w:pStyle w:val="Compact"/>
      </w:pPr>
      <w:r>
        <w:t xml:space="preserve">aprenda conceitualmente um fluxo de ticketing/monitoramento;</w:t>
      </w:r>
    </w:p>
    <w:p>
      <w:pPr>
        <w:numPr>
          <w:ilvl w:val="0"/>
          <w:numId w:val="1031"/>
        </w:numPr>
        <w:pStyle w:val="Compact"/>
      </w:pPr>
      <w:r>
        <w:t xml:space="preserve">só depois decida se certificação de fornecedor ou programa formal combina com os empregadores-alvo.</w:t>
      </w:r>
    </w:p>
    <w:p>
      <w:pPr>
        <w:pStyle w:val="FirstParagraph"/>
      </w:pPr>
      <w:r>
        <w:t xml:space="preserve">Para leitores nos EUA, os localizadores WIOA e de treinamento do CareerOneStop podem ajudar a encontrar opções elegíveis. Elegibilidade e financiamento são determinados localmente e não são garantidos.</w:t>
      </w:r>
    </w:p>
    <w:bookmarkEnd w:id="57"/>
    <w:bookmarkStart w:id="58" w:name="projetos-éticos-de-portfólio"/>
    <w:p>
      <w:pPr>
        <w:pStyle w:val="Heading2"/>
      </w:pPr>
      <w:r>
        <w:t xml:space="preserve">Projetos éticos de portfólio</w:t>
      </w:r>
    </w:p>
    <w:p>
      <w:pPr>
        <w:pStyle w:val="FirstParagraph"/>
      </w:pPr>
      <w:r>
        <w:t xml:space="preserve">Use somente dispositivos, redes, tenants e dados próprios ou para os quais tenha autorização explícita.</w:t>
      </w:r>
    </w:p>
    <w:p>
      <w:pPr>
        <w:pStyle w:val="BodyText"/>
      </w:pPr>
      <w:r>
        <w:t xml:space="preserve">Ideias:</w:t>
      </w:r>
    </w:p>
    <w:p>
      <w:pPr>
        <w:numPr>
          <w:ilvl w:val="0"/>
          <w:numId w:val="1032"/>
        </w:numPr>
        <w:pStyle w:val="Compact"/>
      </w:pPr>
      <w:r>
        <w:t xml:space="preserve">pequeno laboratório de roteamento/VLAN com diagrama e plano de endereçamento;</w:t>
      </w:r>
    </w:p>
    <w:p>
      <w:pPr>
        <w:numPr>
          <w:ilvl w:val="0"/>
          <w:numId w:val="1032"/>
        </w:numPr>
        <w:pStyle w:val="Compact"/>
      </w:pPr>
      <w:r>
        <w:t xml:space="preserve">caso de troubleshooting DNS/DHCP;</w:t>
      </w:r>
    </w:p>
    <w:p>
      <w:pPr>
        <w:numPr>
          <w:ilvl w:val="0"/>
          <w:numId w:val="1032"/>
        </w:numPr>
        <w:pStyle w:val="Compact"/>
      </w:pPr>
      <w:r>
        <w:t xml:space="preserve">cenário de isolamento de falha sem fio;</w:t>
      </w:r>
    </w:p>
    <w:p>
      <w:pPr>
        <w:numPr>
          <w:ilvl w:val="0"/>
          <w:numId w:val="1032"/>
        </w:numPr>
        <w:pStyle w:val="Compact"/>
      </w:pPr>
      <w:r>
        <w:t xml:space="preserve">desenho simulado de conectividade filial-nuvem;</w:t>
      </w:r>
    </w:p>
    <w:p>
      <w:pPr>
        <w:numPr>
          <w:ilvl w:val="0"/>
          <w:numId w:val="1032"/>
        </w:numPr>
        <w:pStyle w:val="Compact"/>
      </w:pPr>
      <w:r>
        <w:t xml:space="preserve">dashboard de monitoramento com dados sintéticos;</w:t>
      </w:r>
    </w:p>
    <w:p>
      <w:pPr>
        <w:numPr>
          <w:ilvl w:val="0"/>
          <w:numId w:val="1032"/>
        </w:numPr>
        <w:pStyle w:val="Compact"/>
      </w:pPr>
      <w:r>
        <w:t xml:space="preserve">exercício de backup e rollback de configuração;</w:t>
      </w:r>
    </w:p>
    <w:p>
      <w:pPr>
        <w:numPr>
          <w:ilvl w:val="0"/>
          <w:numId w:val="1032"/>
        </w:numPr>
        <w:pStyle w:val="Compact"/>
      </w:pPr>
      <w:r>
        <w:t xml:space="preserve">ticket de incidente com evidência, hipótese, mudança e validação;</w:t>
      </w:r>
    </w:p>
    <w:p>
      <w:pPr>
        <w:numPr>
          <w:ilvl w:val="0"/>
          <w:numId w:val="1032"/>
        </w:numPr>
        <w:pStyle w:val="Compact"/>
      </w:pPr>
      <w:r>
        <w:t xml:space="preserve">runbook acessível de rede;</w:t>
      </w:r>
    </w:p>
    <w:p>
      <w:pPr>
        <w:numPr>
          <w:ilvl w:val="0"/>
          <w:numId w:val="1032"/>
        </w:numPr>
        <w:pStyle w:val="Compact"/>
      </w:pPr>
      <w:r>
        <w:t xml:space="preserve">script de automação que processe logs sintéticos sem alterar produção.</w:t>
      </w:r>
    </w:p>
    <w:p>
      <w:pPr>
        <w:pStyle w:val="FirstParagraph"/>
      </w:pPr>
      <w:r>
        <w:t xml:space="preserve">Nunca escaneie sistemas públicos ou redes de terceiros para criar evidência de portfólio.</w:t>
      </w:r>
    </w:p>
    <w:bookmarkEnd w:id="58"/>
    <w:bookmarkStart w:id="59" w:name="evidência-para-currículo"/>
    <w:p>
      <w:pPr>
        <w:pStyle w:val="Heading2"/>
      </w:pPr>
      <w:r>
        <w:t xml:space="preserve">Evidência para currículo</w:t>
      </w:r>
    </w:p>
    <w:p>
      <w:pPr>
        <w:pStyle w:val="FirstParagraph"/>
      </w:pPr>
      <w:r>
        <w:t xml:space="preserve">Bons bullets descrevem resultado e escopo, por exemplo:</w:t>
      </w:r>
    </w:p>
    <w:p>
      <w:pPr>
        <w:numPr>
          <w:ilvl w:val="0"/>
          <w:numId w:val="1033"/>
        </w:numPr>
        <w:pStyle w:val="Compact"/>
      </w:pPr>
      <w:r>
        <w:t xml:space="preserve">reduziu incidentes repetidos melhorando documentação de causa raiz;</w:t>
      </w:r>
    </w:p>
    <w:p>
      <w:pPr>
        <w:numPr>
          <w:ilvl w:val="0"/>
          <w:numId w:val="1033"/>
        </w:numPr>
        <w:pStyle w:val="Compact"/>
      </w:pPr>
      <w:r>
        <w:t xml:space="preserve">restaurou conectividade de um site após isolar falha de VLAN, DHCP ou roteamento;</w:t>
      </w:r>
    </w:p>
    <w:p>
      <w:pPr>
        <w:numPr>
          <w:ilvl w:val="0"/>
          <w:numId w:val="1033"/>
        </w:numPr>
        <w:pStyle w:val="Compact"/>
      </w:pPr>
      <w:r>
        <w:t xml:space="preserve">manteve backups de configuração e validou procedimentos de rollback;</w:t>
      </w:r>
    </w:p>
    <w:p>
      <w:pPr>
        <w:numPr>
          <w:ilvl w:val="0"/>
          <w:numId w:val="1033"/>
        </w:numPr>
        <w:pStyle w:val="Compact"/>
      </w:pPr>
      <w:r>
        <w:t xml:space="preserve">deu suporte a roteadores, switches, Wi-Fi e VPN sob controle de mudanças;</w:t>
      </w:r>
    </w:p>
    <w:p>
      <w:pPr>
        <w:numPr>
          <w:ilvl w:val="0"/>
          <w:numId w:val="1033"/>
        </w:numPr>
        <w:pStyle w:val="Compact"/>
      </w:pPr>
      <w:r>
        <w:t xml:space="preserve">melhorou qualidade de alertas/tickets usando melhor evidência de monitoramento.</w:t>
      </w:r>
    </w:p>
    <w:p>
      <w:pPr>
        <w:pStyle w:val="FirstParagraph"/>
      </w:pPr>
      <w:r>
        <w:t xml:space="preserve">Use somente fatos que possa comprovar. Não invente experiência com fornecedores, métricas de disponibilidade, certificações ou autoridade de segurança.</w:t>
      </w:r>
    </w:p>
    <w:bookmarkEnd w:id="59"/>
    <w:bookmarkStart w:id="60" w:name="preparação-para-entrevistas"/>
    <w:p>
      <w:pPr>
        <w:pStyle w:val="Heading2"/>
      </w:pPr>
      <w:r>
        <w:t xml:space="preserve">Preparação para entrevistas</w:t>
      </w:r>
    </w:p>
    <w:p>
      <w:pPr>
        <w:pStyle w:val="FirstParagraph"/>
      </w:pPr>
      <w:r>
        <w:t xml:space="preserve">Esteja preparado para explicar:</w:t>
      </w:r>
    </w:p>
    <w:p>
      <w:pPr>
        <w:numPr>
          <w:ilvl w:val="0"/>
          <w:numId w:val="1034"/>
        </w:numPr>
        <w:pStyle w:val="Compact"/>
      </w:pPr>
      <w:r>
        <w:t xml:space="preserve">como diagnosticar quando um usuário não consegue conectar;</w:t>
      </w:r>
    </w:p>
    <w:p>
      <w:pPr>
        <w:numPr>
          <w:ilvl w:val="0"/>
          <w:numId w:val="1034"/>
        </w:numPr>
        <w:pStyle w:val="Compact"/>
      </w:pPr>
      <w:r>
        <w:t xml:space="preserve">como o método muda quando um site inteiro está fora do ar;</w:t>
      </w:r>
    </w:p>
    <w:p>
      <w:pPr>
        <w:numPr>
          <w:ilvl w:val="0"/>
          <w:numId w:val="1034"/>
        </w:numPr>
        <w:pStyle w:val="Compact"/>
      </w:pPr>
      <w:r>
        <w:t xml:space="preserve">diferença entre DNS e DHCP;</w:t>
      </w:r>
    </w:p>
    <w:p>
      <w:pPr>
        <w:numPr>
          <w:ilvl w:val="0"/>
          <w:numId w:val="1034"/>
        </w:numPr>
        <w:pStyle w:val="Compact"/>
      </w:pPr>
      <w:r>
        <w:t xml:space="preserve">função de um gateway padrão;</w:t>
      </w:r>
    </w:p>
    <w:p>
      <w:pPr>
        <w:numPr>
          <w:ilvl w:val="0"/>
          <w:numId w:val="1034"/>
        </w:numPr>
        <w:pStyle w:val="Compact"/>
      </w:pPr>
      <w:r>
        <w:t xml:space="preserve">o que é uma VLAN;</w:t>
      </w:r>
    </w:p>
    <w:p>
      <w:pPr>
        <w:numPr>
          <w:ilvl w:val="0"/>
          <w:numId w:val="1034"/>
        </w:numPr>
        <w:pStyle w:val="Compact"/>
      </w:pPr>
      <w:r>
        <w:t xml:space="preserve">como investigar alta latência ou perda de pacotes;</w:t>
      </w:r>
    </w:p>
    <w:p>
      <w:pPr>
        <w:numPr>
          <w:ilvl w:val="0"/>
          <w:numId w:val="1034"/>
        </w:numPr>
        <w:pStyle w:val="Compact"/>
      </w:pPr>
      <w:r>
        <w:t xml:space="preserve">por que controle de mudanças e rollback importam;</w:t>
      </w:r>
    </w:p>
    <w:p>
      <w:pPr>
        <w:numPr>
          <w:ilvl w:val="0"/>
          <w:numId w:val="1034"/>
        </w:numPr>
        <w:pStyle w:val="Compact"/>
      </w:pPr>
      <w:r>
        <w:t xml:space="preserve">o que fazer diante de evidência de comprometimento;</w:t>
      </w:r>
    </w:p>
    <w:p>
      <w:pPr>
        <w:numPr>
          <w:ilvl w:val="0"/>
          <w:numId w:val="1034"/>
        </w:numPr>
        <w:pStyle w:val="Compact"/>
      </w:pPr>
      <w:r>
        <w:t xml:space="preserve">como proteger credenciais durante suporte remoto;</w:t>
      </w:r>
    </w:p>
    <w:p>
      <w:pPr>
        <w:numPr>
          <w:ilvl w:val="0"/>
          <w:numId w:val="1034"/>
        </w:numPr>
        <w:pStyle w:val="Compact"/>
      </w:pPr>
      <w:r>
        <w:t xml:space="preserve">como documentar um incidente resolvido.</w:t>
      </w:r>
    </w:p>
    <w:p>
      <w:pPr>
        <w:pStyle w:val="FirstParagraph"/>
      </w:pPr>
      <w:r>
        <w:t xml:space="preserve">Uma boa resposta explica raciocínio, limites de segurança e validação, não apenas comandos.</w:t>
      </w:r>
    </w:p>
    <w:bookmarkEnd w:id="60"/>
    <w:bookmarkStart w:id="61" w:name="perguntas-para-um-empregador"/>
    <w:p>
      <w:pPr>
        <w:pStyle w:val="Heading2"/>
      </w:pPr>
      <w:r>
        <w:t xml:space="preserve">Perguntas para um empregador</w:t>
      </w:r>
    </w:p>
    <w:p>
      <w:pPr>
        <w:pStyle w:val="FirstParagraph"/>
      </w:pPr>
      <w:r>
        <w:t xml:space="preserve">Pergunte sobre:</w:t>
      </w:r>
    </w:p>
    <w:p>
      <w:pPr>
        <w:numPr>
          <w:ilvl w:val="0"/>
          <w:numId w:val="1035"/>
        </w:numPr>
        <w:pStyle w:val="Compact"/>
      </w:pPr>
      <w:r>
        <w:t xml:space="preserve">tamanho da rede e principais tecnologias;</w:t>
      </w:r>
    </w:p>
    <w:p>
      <w:pPr>
        <w:numPr>
          <w:ilvl w:val="0"/>
          <w:numId w:val="1035"/>
        </w:numPr>
        <w:pStyle w:val="Compact"/>
      </w:pPr>
      <w:r>
        <w:t xml:space="preserve">turnos/on-call;</w:t>
      </w:r>
    </w:p>
    <w:p>
      <w:pPr>
        <w:numPr>
          <w:ilvl w:val="0"/>
          <w:numId w:val="1035"/>
        </w:numPr>
        <w:pStyle w:val="Compact"/>
      </w:pPr>
      <w:r>
        <w:t xml:space="preserve">trabalho de campo versus remoto;</w:t>
      </w:r>
    </w:p>
    <w:p>
      <w:pPr>
        <w:numPr>
          <w:ilvl w:val="0"/>
          <w:numId w:val="1035"/>
        </w:numPr>
        <w:pStyle w:val="Compact"/>
      </w:pPr>
      <w:r>
        <w:t xml:space="preserve">autoridade e aprovação de mudanças;</w:t>
      </w:r>
    </w:p>
    <w:p>
      <w:pPr>
        <w:numPr>
          <w:ilvl w:val="0"/>
          <w:numId w:val="1035"/>
        </w:numPr>
        <w:pStyle w:val="Compact"/>
      </w:pPr>
      <w:r>
        <w:t xml:space="preserve">ferramentas de monitoramento/ticketing;</w:t>
      </w:r>
    </w:p>
    <w:p>
      <w:pPr>
        <w:numPr>
          <w:ilvl w:val="0"/>
          <w:numId w:val="1035"/>
        </w:numPr>
        <w:pStyle w:val="Compact"/>
      </w:pPr>
      <w:r>
        <w:t xml:space="preserve">escalonamento de incidentes;</w:t>
      </w:r>
    </w:p>
    <w:p>
      <w:pPr>
        <w:numPr>
          <w:ilvl w:val="0"/>
          <w:numId w:val="1035"/>
        </w:numPr>
        <w:pStyle w:val="Compact"/>
      </w:pPr>
      <w:r>
        <w:t xml:space="preserve">padrões de documentação;</w:t>
      </w:r>
    </w:p>
    <w:p>
      <w:pPr>
        <w:numPr>
          <w:ilvl w:val="0"/>
          <w:numId w:val="1035"/>
        </w:numPr>
        <w:pStyle w:val="Compact"/>
      </w:pPr>
      <w:r>
        <w:t xml:space="preserve">apoio a treinamento/certificações;</w:t>
      </w:r>
    </w:p>
    <w:p>
      <w:pPr>
        <w:numPr>
          <w:ilvl w:val="0"/>
          <w:numId w:val="1035"/>
        </w:numPr>
        <w:pStyle w:val="Compact"/>
      </w:pPr>
      <w:r>
        <w:t xml:space="preserve">progressão para administração/engenharia/nuvem/segurança;</w:t>
      </w:r>
    </w:p>
    <w:p>
      <w:pPr>
        <w:numPr>
          <w:ilvl w:val="0"/>
          <w:numId w:val="1035"/>
        </w:numPr>
        <w:pStyle w:val="Compact"/>
      </w:pPr>
      <w:r>
        <w:t xml:space="preserve">requisitos físicos e viagens;</w:t>
      </w:r>
    </w:p>
    <w:p>
      <w:pPr>
        <w:numPr>
          <w:ilvl w:val="0"/>
          <w:numId w:val="1035"/>
        </w:numPr>
        <w:pStyle w:val="Compact"/>
      </w:pPr>
      <w:r>
        <w:t xml:space="preserve">processo de acessibilidade/adaptações.</w:t>
      </w:r>
    </w:p>
    <w:bookmarkEnd w:id="61"/>
    <w:bookmarkStart w:id="62" w:name="primeiros-30-dias-em-uma-nova-função"/>
    <w:p>
      <w:pPr>
        <w:pStyle w:val="Heading2"/>
      </w:pPr>
      <w:r>
        <w:t xml:space="preserve">Primeiros 30 dias em uma nova função</w:t>
      </w:r>
    </w:p>
    <w:p>
      <w:pPr>
        <w:pStyle w:val="FirstParagraph"/>
      </w:pPr>
      <w:r>
        <w:t xml:space="preserve">Prioridades:</w:t>
      </w:r>
    </w:p>
    <w:p>
      <w:pPr>
        <w:numPr>
          <w:ilvl w:val="0"/>
          <w:numId w:val="1036"/>
        </w:numPr>
        <w:pStyle w:val="Compact"/>
      </w:pPr>
      <w:r>
        <w:t xml:space="preserve">aprender topologia, sites e serviços críticos;</w:t>
      </w:r>
    </w:p>
    <w:p>
      <w:pPr>
        <w:numPr>
          <w:ilvl w:val="0"/>
          <w:numId w:val="1036"/>
        </w:numPr>
        <w:pStyle w:val="Compact"/>
      </w:pPr>
      <w:r>
        <w:t xml:space="preserve">aprender severidade de tickets e regras de escalonamento;</w:t>
      </w:r>
    </w:p>
    <w:p>
      <w:pPr>
        <w:numPr>
          <w:ilvl w:val="0"/>
          <w:numId w:val="1036"/>
        </w:numPr>
        <w:pStyle w:val="Compact"/>
      </w:pPr>
      <w:r>
        <w:t xml:space="preserve">conhecer limites de acesso autorizado;</w:t>
      </w:r>
    </w:p>
    <w:p>
      <w:pPr>
        <w:numPr>
          <w:ilvl w:val="0"/>
          <w:numId w:val="1036"/>
        </w:numPr>
        <w:pStyle w:val="Compact"/>
      </w:pPr>
      <w:r>
        <w:t xml:space="preserve">entender procedimentos de backup/mudança/rollback;</w:t>
      </w:r>
    </w:p>
    <w:p>
      <w:pPr>
        <w:numPr>
          <w:ilvl w:val="0"/>
          <w:numId w:val="1036"/>
        </w:numPr>
        <w:pStyle w:val="Compact"/>
      </w:pPr>
      <w:r>
        <w:t xml:space="preserve">aprender fontes de monitoramento e logs;</w:t>
      </w:r>
    </w:p>
    <w:p>
      <w:pPr>
        <w:numPr>
          <w:ilvl w:val="0"/>
          <w:numId w:val="1036"/>
        </w:numPr>
        <w:pStyle w:val="Compact"/>
      </w:pPr>
      <w:r>
        <w:t xml:space="preserve">revisar incidentes comuns e erros conhecidos;</w:t>
      </w:r>
    </w:p>
    <w:p>
      <w:pPr>
        <w:numPr>
          <w:ilvl w:val="0"/>
          <w:numId w:val="1036"/>
        </w:numPr>
        <w:pStyle w:val="Compact"/>
      </w:pPr>
      <w:r>
        <w:t xml:space="preserve">entender contatos de operadora/fornecedor;</w:t>
      </w:r>
    </w:p>
    <w:p>
      <w:pPr>
        <w:numPr>
          <w:ilvl w:val="0"/>
          <w:numId w:val="1036"/>
        </w:numPr>
        <w:pStyle w:val="Compact"/>
      </w:pPr>
      <w:r>
        <w:t xml:space="preserve">verificar procedimentos de segurança e incidentes;</w:t>
      </w:r>
    </w:p>
    <w:p>
      <w:pPr>
        <w:numPr>
          <w:ilvl w:val="0"/>
          <w:numId w:val="1036"/>
        </w:numPr>
        <w:pStyle w:val="Compact"/>
      </w:pPr>
      <w:r>
        <w:t xml:space="preserve">melhorar a documentação à medida que aprende;</w:t>
      </w:r>
    </w:p>
    <w:p>
      <w:pPr>
        <w:numPr>
          <w:ilvl w:val="0"/>
          <w:numId w:val="1036"/>
        </w:numPr>
        <w:pStyle w:val="Compact"/>
      </w:pPr>
      <w:r>
        <w:t xml:space="preserve">não fazer mudanças produtivas sem documentação para “provar” capacidade.</w:t>
      </w:r>
    </w:p>
    <w:bookmarkEnd w:id="62"/>
    <w:bookmarkStart w:id="63" w:name="plano-de-evolução-de-90-dias"/>
    <w:p>
      <w:pPr>
        <w:pStyle w:val="Heading2"/>
      </w:pPr>
      <w:r>
        <w:t xml:space="preserve">Plano de evolução de 90 dias</w:t>
      </w:r>
    </w:p>
    <w:p>
      <w:pPr>
        <w:pStyle w:val="FirstParagraph"/>
      </w:pPr>
      <w:r>
        <w:t xml:space="preserve">Procure conseguir:</w:t>
      </w:r>
    </w:p>
    <w:p>
      <w:pPr>
        <w:numPr>
          <w:ilvl w:val="0"/>
          <w:numId w:val="1037"/>
        </w:numPr>
        <w:pStyle w:val="Compact"/>
      </w:pPr>
      <w:r>
        <w:t xml:space="preserve">solucionar sistematicamente problemas comuns de conectividade;</w:t>
      </w:r>
    </w:p>
    <w:p>
      <w:pPr>
        <w:numPr>
          <w:ilvl w:val="0"/>
          <w:numId w:val="1037"/>
        </w:numPr>
        <w:pStyle w:val="Compact"/>
      </w:pPr>
      <w:r>
        <w:t xml:space="preserve">explicar dependências principais da rede;</w:t>
      </w:r>
    </w:p>
    <w:p>
      <w:pPr>
        <w:numPr>
          <w:ilvl w:val="0"/>
          <w:numId w:val="1037"/>
        </w:numPr>
        <w:pStyle w:val="Compact"/>
      </w:pPr>
      <w:r>
        <w:t xml:space="preserve">executar mudanças atribuídas com segurança;</w:t>
      </w:r>
    </w:p>
    <w:p>
      <w:pPr>
        <w:numPr>
          <w:ilvl w:val="0"/>
          <w:numId w:val="1037"/>
        </w:numPr>
        <w:pStyle w:val="Compact"/>
      </w:pPr>
      <w:r>
        <w:t xml:space="preserve">distinguir se uma falha é de rede, aplicação, endpoint ou serviço;</w:t>
      </w:r>
    </w:p>
    <w:p>
      <w:pPr>
        <w:numPr>
          <w:ilvl w:val="0"/>
          <w:numId w:val="1037"/>
        </w:numPr>
        <w:pStyle w:val="Compact"/>
      </w:pPr>
      <w:r>
        <w:t xml:space="preserve">usar evidência de monitoramento/logs de forma eficaz;</w:t>
      </w:r>
    </w:p>
    <w:p>
      <w:pPr>
        <w:numPr>
          <w:ilvl w:val="0"/>
          <w:numId w:val="1037"/>
        </w:numPr>
        <w:pStyle w:val="Compact"/>
      </w:pPr>
      <w:r>
        <w:t xml:space="preserve">manter runbooks úteis;</w:t>
      </w:r>
    </w:p>
    <w:p>
      <w:pPr>
        <w:numPr>
          <w:ilvl w:val="0"/>
          <w:numId w:val="1037"/>
        </w:numPr>
        <w:pStyle w:val="Compact"/>
      </w:pPr>
      <w:r>
        <w:t xml:space="preserve">escalar corretamente questões de segurança;</w:t>
      </w:r>
    </w:p>
    <w:p>
      <w:pPr>
        <w:numPr>
          <w:ilvl w:val="0"/>
          <w:numId w:val="1037"/>
        </w:numPr>
        <w:pStyle w:val="Compact"/>
      </w:pPr>
      <w:r>
        <w:t xml:space="preserve">identificar o próximo caminho: administração de redes, nuvem, sistemas, automação ou segurança.</w:t>
      </w:r>
    </w:p>
    <w:bookmarkEnd w:id="63"/>
    <w:bookmarkStart w:id="64" w:name="checklist-antes-de-se-candidatar"/>
    <w:p>
      <w:pPr>
        <w:pStyle w:val="Heading2"/>
      </w:pPr>
      <w:r>
        <w:t xml:space="preserve">Checklist antes de se candidatar</w:t>
      </w:r>
    </w:p>
    <w:p>
      <w:pPr>
        <w:pStyle w:val="FirstParagraph"/>
      </w:pPr>
      <w:r>
        <w:t xml:space="preserve">Antes de se candidatar amplamente, confirme que consegue falar sobre:</w:t>
      </w:r>
    </w:p>
    <w:p>
      <w:pPr>
        <w:numPr>
          <w:ilvl w:val="0"/>
          <w:numId w:val="1038"/>
        </w:numPr>
        <w:pStyle w:val="Compact"/>
      </w:pPr>
      <w:r>
        <w:t xml:space="preserve">IPv4/sub-rede/gateway;</w:t>
      </w:r>
    </w:p>
    <w:p>
      <w:pPr>
        <w:numPr>
          <w:ilvl w:val="0"/>
          <w:numId w:val="1038"/>
        </w:numPr>
        <w:pStyle w:val="Compact"/>
      </w:pPr>
      <w:r>
        <w:t xml:space="preserve">DNS e DHCP;</w:t>
      </w:r>
    </w:p>
    <w:p>
      <w:pPr>
        <w:numPr>
          <w:ilvl w:val="0"/>
          <w:numId w:val="1038"/>
        </w:numPr>
        <w:pStyle w:val="Compact"/>
      </w:pPr>
      <w:r>
        <w:t xml:space="preserve">VLAN/switching;</w:t>
      </w:r>
    </w:p>
    <w:p>
      <w:pPr>
        <w:numPr>
          <w:ilvl w:val="0"/>
          <w:numId w:val="1038"/>
        </w:numPr>
        <w:pStyle w:val="Compact"/>
      </w:pPr>
      <w:r>
        <w:t xml:space="preserve">roteamento;</w:t>
      </w:r>
    </w:p>
    <w:p>
      <w:pPr>
        <w:numPr>
          <w:ilvl w:val="0"/>
          <w:numId w:val="1038"/>
        </w:numPr>
        <w:pStyle w:val="Compact"/>
      </w:pPr>
      <w:r>
        <w:t xml:space="preserve">troubleshooting cabeado e sem fio;</w:t>
      </w:r>
    </w:p>
    <w:p>
      <w:pPr>
        <w:numPr>
          <w:ilvl w:val="0"/>
          <w:numId w:val="1038"/>
        </w:numPr>
        <w:pStyle w:val="Compact"/>
      </w:pPr>
      <w:r>
        <w:t xml:space="preserve">VPN/conectividade remota;</w:t>
      </w:r>
    </w:p>
    <w:p>
      <w:pPr>
        <w:numPr>
          <w:ilvl w:val="0"/>
          <w:numId w:val="1038"/>
        </w:numPr>
        <w:pStyle w:val="Compact"/>
      </w:pPr>
      <w:r>
        <w:t xml:space="preserve">monitoramento/logs;</w:t>
      </w:r>
    </w:p>
    <w:p>
      <w:pPr>
        <w:numPr>
          <w:ilvl w:val="0"/>
          <w:numId w:val="1038"/>
        </w:numPr>
        <w:pStyle w:val="Compact"/>
      </w:pPr>
      <w:r>
        <w:t xml:space="preserve">mudança/rollback;</w:t>
      </w:r>
    </w:p>
    <w:p>
      <w:pPr>
        <w:numPr>
          <w:ilvl w:val="0"/>
          <w:numId w:val="1038"/>
        </w:numPr>
        <w:pStyle w:val="Compact"/>
      </w:pPr>
      <w:r>
        <w:t xml:space="preserve">documentação de tickets;</w:t>
      </w:r>
    </w:p>
    <w:p>
      <w:pPr>
        <w:numPr>
          <w:ilvl w:val="0"/>
          <w:numId w:val="1038"/>
        </w:numPr>
        <w:pStyle w:val="Compact"/>
      </w:pPr>
      <w:r>
        <w:t xml:space="preserve">privilégio mínimo e escalonamento de segurança;</w:t>
      </w:r>
    </w:p>
    <w:p>
      <w:pPr>
        <w:numPr>
          <w:ilvl w:val="0"/>
          <w:numId w:val="1038"/>
        </w:numPr>
        <w:pStyle w:val="Compact"/>
      </w:pPr>
      <w:r>
        <w:t xml:space="preserve">limites de IA responsável.</w:t>
      </w:r>
    </w:p>
    <w:bookmarkEnd w:id="64"/>
    <w:bookmarkStart w:id="65" w:name="perguntas-antes-de-comprar-treinamento"/>
    <w:p>
      <w:pPr>
        <w:pStyle w:val="Heading2"/>
      </w:pPr>
      <w:r>
        <w:t xml:space="preserve">Perguntas antes de comprar treinamento</w:t>
      </w:r>
    </w:p>
    <w:p>
      <w:pPr>
        <w:pStyle w:val="FirstParagraph"/>
      </w:pPr>
      <w:r>
        <w:t xml:space="preserve">Pergunte ao provedor:</w:t>
      </w:r>
    </w:p>
    <w:p>
      <w:pPr>
        <w:numPr>
          <w:ilvl w:val="0"/>
          <w:numId w:val="1039"/>
        </w:numPr>
        <w:pStyle w:val="Compact"/>
      </w:pPr>
      <w:r>
        <w:t xml:space="preserve">Para quais ocupações/títulos o programa foi criado?</w:t>
      </w:r>
    </w:p>
    <w:p>
      <w:pPr>
        <w:numPr>
          <w:ilvl w:val="0"/>
          <w:numId w:val="1039"/>
        </w:numPr>
        <w:pStyle w:val="Compact"/>
      </w:pPr>
      <w:r>
        <w:t xml:space="preserve">Quais laboratórios práticos de redes estão incluídos?</w:t>
      </w:r>
    </w:p>
    <w:p>
      <w:pPr>
        <w:numPr>
          <w:ilvl w:val="0"/>
          <w:numId w:val="1039"/>
        </w:numPr>
        <w:pStyle w:val="Compact"/>
      </w:pPr>
      <w:r>
        <w:t xml:space="preserve">Cobre roteamento, switching, Wi-Fi e redes em nuvem atuais?</w:t>
      </w:r>
    </w:p>
    <w:p>
      <w:pPr>
        <w:numPr>
          <w:ilvl w:val="0"/>
          <w:numId w:val="1039"/>
        </w:numPr>
        <w:pStyle w:val="Compact"/>
      </w:pPr>
      <w:r>
        <w:t xml:space="preserve">Quais equipamentos/software estão incluídos?</w:t>
      </w:r>
    </w:p>
    <w:p>
      <w:pPr>
        <w:numPr>
          <w:ilvl w:val="0"/>
          <w:numId w:val="1039"/>
        </w:numPr>
        <w:pStyle w:val="Compact"/>
      </w:pPr>
      <w:r>
        <w:t xml:space="preserve">O exame de certificação está incluído ou custa à parte?</w:t>
      </w:r>
    </w:p>
    <w:p>
      <w:pPr>
        <w:numPr>
          <w:ilvl w:val="0"/>
          <w:numId w:val="1039"/>
        </w:numPr>
        <w:pStyle w:val="Compact"/>
      </w:pPr>
      <w:r>
        <w:t xml:space="preserve">Qual é o custo total com taxas/materiais?</w:t>
      </w:r>
    </w:p>
    <w:p>
      <w:pPr>
        <w:numPr>
          <w:ilvl w:val="0"/>
          <w:numId w:val="1039"/>
        </w:numPr>
        <w:pStyle w:val="Compact"/>
      </w:pPr>
      <w:r>
        <w:t xml:space="preserve">Os resultados são verificáveis de forma independente?</w:t>
      </w:r>
    </w:p>
    <w:p>
      <w:pPr>
        <w:numPr>
          <w:ilvl w:val="0"/>
          <w:numId w:val="1039"/>
        </w:numPr>
        <w:pStyle w:val="Compact"/>
      </w:pPr>
      <w:r>
        <w:t xml:space="preserve">Há financiamento e quais são as regras de elegibilidade?</w:t>
      </w:r>
    </w:p>
    <w:p>
      <w:pPr>
        <w:numPr>
          <w:ilvl w:val="0"/>
          <w:numId w:val="1039"/>
        </w:numPr>
        <w:pStyle w:val="Compact"/>
      </w:pPr>
      <w:r>
        <w:t xml:space="preserve">Quais adaptações de acessibilidade são oferecidas?</w:t>
      </w:r>
    </w:p>
    <w:p>
      <w:pPr>
        <w:numPr>
          <w:ilvl w:val="0"/>
          <w:numId w:val="1039"/>
        </w:numPr>
        <w:pStyle w:val="Compact"/>
      </w:pPr>
      <w:r>
        <w:t xml:space="preserve">A credencial é reconhecida pelos empregadores-alvo?</w:t>
      </w:r>
    </w:p>
    <w:p>
      <w:pPr>
        <w:pStyle w:val="FirstParagraph"/>
      </w:pPr>
      <w:r>
        <w:t xml:space="preserve">Não dependa de promessas de emprego ou renda garantidos.</w:t>
      </w:r>
    </w:p>
    <w:bookmarkEnd w:id="65"/>
    <w:bookmarkStart w:id="88" w:name="fontes-controladas"/>
    <w:p>
      <w:pPr>
        <w:pStyle w:val="Heading2"/>
      </w:pPr>
      <w:r>
        <w:t xml:space="preserve">Fontes controladas</w:t>
      </w:r>
    </w:p>
    <w:p>
      <w:pPr>
        <w:numPr>
          <w:ilvl w:val="0"/>
          <w:numId w:val="1040"/>
        </w:numPr>
        <w:pStyle w:val="Compact"/>
      </w:pPr>
      <w:hyperlink r:id="rId66">
        <w:hyperlink r:id="rId6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67">
        <w:hyperlink r:id="rId6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68">
        <w:hyperlink r:id="rId6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69">
        <w:hyperlink r:id="rId6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0">
        <w:hyperlink r:id="rId7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8">
        <w:hyperlink r:id="rId7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0">
        <w:hyperlink r:id="rId80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2">
        <w:r>
          <w:rPr>
            <w:rStyle w:val="Hyperlink"/>
          </w:rPr>
          <w:t xml:space="preserve">https://www.oitcinterfor.org/statsfp/paises</w:t>
        </w:r>
      </w:hyperlink>
    </w:p>
    <w:p>
      <w:pPr>
        <w:numPr>
          <w:ilvl w:val="0"/>
          <w:numId w:val="1040"/>
        </w:numPr>
        <w:pStyle w:val="Compact"/>
      </w:pPr>
      <w:hyperlink r:id="rId83">
        <w:r>
          <w:rPr>
            <w:rStyle w:val="Hyperlink"/>
          </w:rPr>
          <w:t xml:space="preserve">https://www.cisa.gov/secure-our-world</w:t>
        </w:r>
      </w:hyperlink>
    </w:p>
    <w:p>
      <w:pPr>
        <w:numPr>
          <w:ilvl w:val="0"/>
          <w:numId w:val="1040"/>
        </w:numPr>
        <w:pStyle w:val="Compact"/>
      </w:pPr>
      <w:hyperlink r:id="rId84">
        <w:r>
          <w:rPr>
            <w:rStyle w:val="Hyperlink"/>
          </w:rPr>
          <w:t xml:space="preserve">https://www.nist.gov/cyberframework</w:t>
        </w:r>
      </w:hyperlink>
    </w:p>
    <w:p>
      <w:pPr>
        <w:numPr>
          <w:ilvl w:val="0"/>
          <w:numId w:val="1040"/>
        </w:numPr>
        <w:pStyle w:val="Compact"/>
      </w:pP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6">
        <w:hyperlink r:id="rId8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40"/>
        </w:numPr>
        <w:pStyle w:val="Compact"/>
      </w:pPr>
      <w:hyperlink r:id="rId87">
        <w:r>
          <w:rPr>
            <w:rStyle w:val="Hyperlink"/>
          </w:rPr>
          <w:t xml:space="preserve">https://www.section508.gov/create/</w:t>
        </w:r>
      </w:hyperlink>
    </w:p>
    <w:bookmarkEnd w:id="88"/>
    <w:bookmarkStart w:id="89" w:name="aviso-de-escopo-e-ausência-de-garantia"/>
    <w:p>
      <w:pPr>
        <w:pStyle w:val="Heading2"/>
      </w:pPr>
      <w:r>
        <w:t xml:space="preserve">Aviso de escopo e ausência de garantia</w:t>
      </w:r>
    </w:p>
    <w:p>
      <w:pPr>
        <w:pStyle w:val="FirstParagraph"/>
      </w:pPr>
      <w:r>
        <w:t xml:space="preserve">Este guia oferece informações educacionais e de planejamento de carreira. Não garante emprego, renda, admissão, financiamento, certificação, licença, promoção ou qualquer outro resultado. Requisitos, remuneração e oportunidades variam por jurisdição, empregador e tempo.</w:t>
      </w:r>
    </w:p>
    <w:p>
      <w:pPr>
        <w:pStyle w:val="BodyText"/>
      </w:pPr>
      <w:r>
        <w:t xml:space="preserve">Ele não fornece aconselhamento jurídico, autorização de cibersegurança, autorização para teste de penetração, aprovação de arquitetura ou certificação de acessibilidade. Siga a legislação aplicável, as políticas do empregador, os processos de mudança e a autoridade atribuída.</w:t>
      </w:r>
    </w:p>
    <w:p>
      <w:pPr>
        <w:pStyle w:val="BodyText"/>
      </w:pPr>
      <w:r>
        <w:t xml:space="preserve">Criado e dirigido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O ChatGPT apoiou pesquisa, organização, edição, suporte à tradução e preparação de documentos sob a direção do autor. O autor permanece responsável pelas decisões editoriais e de publicação.</w:t>
      </w:r>
    </w:p>
    <w:p>
      <w:pPr>
        <w:pStyle w:val="BodyText"/>
      </w:pPr>
      <w:r>
        <w:t xml:space="preserve">Salvo indicação diferente em algum arquivo, estes materiais estão licenciados sob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89"/>
    <w:bookmarkEnd w:id="9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https://betowa.sena.edu.co/oferta/gestion-de-redes-de-datos?level=6&amp;modality=V&amp;programId=107412" TargetMode="External" /><Relationship Type="http://schemas.openxmlformats.org/officeDocument/2006/relationships/hyperlink" Id="rId80" Target="https://betowa.sena.edu.co/oferta/instalacion-de-redes-de-computadores?level=2&amp;location=57008001&amp;modality=P&amp;programId=132975" TargetMode="External" /><Relationship Type="http://schemas.openxmlformats.org/officeDocument/2006/relationships/hyperlink" Id="rId79" Target="https://ocupacol.mintrabajo.gov.co/Profile/OccupationalProfile/35130" TargetMode="External" /><Relationship Type="http://schemas.openxmlformats.org/officeDocument/2006/relationships/hyperlink" Id="rId78" Target="https://www.canada.ca/en/services/jobs/training.html" TargetMode="External" /><Relationship Type="http://schemas.openxmlformats.org/officeDocument/2006/relationships/hyperlink" Id="rId73" Target="https://www.careeronestop.org/FindTraining/find-training.aspx" TargetMode="External" /><Relationship Type="http://schemas.openxmlformats.org/officeDocument/2006/relationships/hyperlink" Id="rId72" Target="https://www.careeronestop.org/LocalHelp/EmploymentAndTraining/find-WIOA-training-programs.aspx" TargetMode="External" /><Relationship Type="http://schemas.openxmlformats.org/officeDocument/2006/relationships/hyperlink" Id="rId83" Target="https://www.cisa.gov/secure-our-world" TargetMode="External" /><Relationship Type="http://schemas.openxmlformats.org/officeDocument/2006/relationships/hyperlink" Id="rId74" Target="https://www.indeed.com/career/network-technician/salaries" TargetMode="External" /><Relationship Type="http://schemas.openxmlformats.org/officeDocument/2006/relationships/hyperlink" Id="rId76" Target="https://www.jobbank.gc.ca/marketreport/requirements/24514/ca" TargetMode="External" /><Relationship Type="http://schemas.openxmlformats.org/officeDocument/2006/relationships/hyperlink" Id="rId75" Target="https://www.jobbank.gc.ca/marketreport/summary-occupation/24514/ca" TargetMode="External" /><Relationship Type="http://schemas.openxmlformats.org/officeDocument/2006/relationships/hyperlink" Id="rId77" Target="https://www.jobbank.gc.ca/wagereport/occupation/24514" TargetMode="External" /><Relationship Type="http://schemas.openxmlformats.org/officeDocument/2006/relationships/hyperlink" Id="rId84" Target="https://www.nist.gov/cyberframework" TargetMode="External" /><Relationship Type="http://schemas.openxmlformats.org/officeDocument/2006/relationships/hyperlink" Id="rId85" Target="https://www.nist.gov/itl/ai-risk-management-framework" TargetMode="External" /><Relationship Type="http://schemas.openxmlformats.org/officeDocument/2006/relationships/hyperlink" Id="rId86" Target="https://www.nist.gov/publications/artificial-intelligence-risk-management-framework-generative-artificial-intelligence" TargetMode="External" /><Relationship Type="http://schemas.openxmlformats.org/officeDocument/2006/relationships/hyperlink" Id="rId82" Target="https://www.oitcinterfor.org/statsfp/paises" TargetMode="External" /><Relationship Type="http://schemas.openxmlformats.org/officeDocument/2006/relationships/hyperlink" Id="rId71" Target="https://www.onetonline.org/link/demand/15-1231.00" TargetMode="External" /><Relationship Type="http://schemas.openxmlformats.org/officeDocument/2006/relationships/hyperlink" Id="rId66" Target="https://www.onetonline.org/link/details/15-1231.00" TargetMode="External" /><Relationship Type="http://schemas.openxmlformats.org/officeDocument/2006/relationships/hyperlink" Id="rId70" Target="https://www.onetonline.org/link/hot_tech/15-1231.00" TargetMode="External" /><Relationship Type="http://schemas.openxmlformats.org/officeDocument/2006/relationships/hyperlink" Id="rId69" Target="https://www.onetonline.org/link/localtrends/15-1231.00" TargetMode="External" /><Relationship Type="http://schemas.openxmlformats.org/officeDocument/2006/relationships/hyperlink" Id="rId68" Target="https://www.onetonline.org/link/localwages/15-1231.00" TargetMode="External" /><Relationship Type="http://schemas.openxmlformats.org/officeDocument/2006/relationships/hyperlink" Id="rId67" Target="https://www.onetonline.org/link/summary/15-1231.00" TargetMode="External" /><Relationship Type="http://schemas.openxmlformats.org/officeDocument/2006/relationships/hyperlink" Id="rId87" Target="https://www.section508.gov/creat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s://betowa.sena.edu.co/oferta/gestion-de-redes-de-datos?level=6&amp;modality=V&amp;programId=107412" TargetMode="External" /><Relationship Type="http://schemas.openxmlformats.org/officeDocument/2006/relationships/hyperlink" Id="rId80" Target="https://betowa.sena.edu.co/oferta/instalacion-de-redes-de-computadores?level=2&amp;location=57008001&amp;modality=P&amp;programId=132975" TargetMode="External" /><Relationship Type="http://schemas.openxmlformats.org/officeDocument/2006/relationships/hyperlink" Id="rId79" Target="https://ocupacol.mintrabajo.gov.co/Profile/OccupationalProfile/35130" TargetMode="External" /><Relationship Type="http://schemas.openxmlformats.org/officeDocument/2006/relationships/hyperlink" Id="rId78" Target="https://www.canada.ca/en/services/jobs/training.html" TargetMode="External" /><Relationship Type="http://schemas.openxmlformats.org/officeDocument/2006/relationships/hyperlink" Id="rId73" Target="https://www.careeronestop.org/FindTraining/find-training.aspx" TargetMode="External" /><Relationship Type="http://schemas.openxmlformats.org/officeDocument/2006/relationships/hyperlink" Id="rId72" Target="https://www.careeronestop.org/LocalHelp/EmploymentAndTraining/find-WIOA-training-programs.aspx" TargetMode="External" /><Relationship Type="http://schemas.openxmlformats.org/officeDocument/2006/relationships/hyperlink" Id="rId83" Target="https://www.cisa.gov/secure-our-world" TargetMode="External" /><Relationship Type="http://schemas.openxmlformats.org/officeDocument/2006/relationships/hyperlink" Id="rId74" Target="https://www.indeed.com/career/network-technician/salaries" TargetMode="External" /><Relationship Type="http://schemas.openxmlformats.org/officeDocument/2006/relationships/hyperlink" Id="rId76" Target="https://www.jobbank.gc.ca/marketreport/requirements/24514/ca" TargetMode="External" /><Relationship Type="http://schemas.openxmlformats.org/officeDocument/2006/relationships/hyperlink" Id="rId75" Target="https://www.jobbank.gc.ca/marketreport/summary-occupation/24514/ca" TargetMode="External" /><Relationship Type="http://schemas.openxmlformats.org/officeDocument/2006/relationships/hyperlink" Id="rId77" Target="https://www.jobbank.gc.ca/wagereport/occupation/24514" TargetMode="External" /><Relationship Type="http://schemas.openxmlformats.org/officeDocument/2006/relationships/hyperlink" Id="rId84" Target="https://www.nist.gov/cyberframework" TargetMode="External" /><Relationship Type="http://schemas.openxmlformats.org/officeDocument/2006/relationships/hyperlink" Id="rId85" Target="https://www.nist.gov/itl/ai-risk-management-framework" TargetMode="External" /><Relationship Type="http://schemas.openxmlformats.org/officeDocument/2006/relationships/hyperlink" Id="rId86" Target="https://www.nist.gov/publications/artificial-intelligence-risk-management-framework-generative-artificial-intelligence" TargetMode="External" /><Relationship Type="http://schemas.openxmlformats.org/officeDocument/2006/relationships/hyperlink" Id="rId82" Target="https://www.oitcinterfor.org/statsfp/paises" TargetMode="External" /><Relationship Type="http://schemas.openxmlformats.org/officeDocument/2006/relationships/hyperlink" Id="rId71" Target="https://www.onetonline.org/link/demand/15-1231.00" TargetMode="External" /><Relationship Type="http://schemas.openxmlformats.org/officeDocument/2006/relationships/hyperlink" Id="rId66" Target="https://www.onetonline.org/link/details/15-1231.00" TargetMode="External" /><Relationship Type="http://schemas.openxmlformats.org/officeDocument/2006/relationships/hyperlink" Id="rId70" Target="https://www.onetonline.org/link/hot_tech/15-1231.00" TargetMode="External" /><Relationship Type="http://schemas.openxmlformats.org/officeDocument/2006/relationships/hyperlink" Id="rId69" Target="https://www.onetonline.org/link/localtrends/15-1231.00" TargetMode="External" /><Relationship Type="http://schemas.openxmlformats.org/officeDocument/2006/relationships/hyperlink" Id="rId68" Target="https://www.onetonline.org/link/localwages/15-1231.00" TargetMode="External" /><Relationship Type="http://schemas.openxmlformats.org/officeDocument/2006/relationships/hyperlink" Id="rId67" Target="https://www.onetonline.org/link/summary/15-1231.00" TargetMode="External" /><Relationship Type="http://schemas.openxmlformats.org/officeDocument/2006/relationships/hyperlink" Id="rId87" Target="https://www.section508.gov/creat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2026-08-22T04:08:05Z</dcterms:created>
  <dcterms:modified xsi:type="dcterms:W3CDTF">2026-08-22T04:08:05Z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