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289ff305b40b630c7d9c59cb58dcbf109f9351a"/>
    <w:p>
      <w:pPr>
        <w:pStyle w:val="Heading1"/>
      </w:pPr>
      <w:r>
        <w:t xml:space="preserve">Guía de Oportunidades para Toda la Vida 83 — Técnico de soporte de redes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— maestro de trabajo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neutro de América Latina (</w:t>
      </w:r>
      <w:r>
        <w:rPr>
          <w:rStyle w:val="VerbatimChar"/>
        </w:rPr>
        <w:t xml:space="preserve">es-419</w:t>
      </w:r>
      <w:r>
        <w:t xml:space="preserve">)</w:t>
      </w:r>
      <w:r>
        <w:br/>
      </w:r>
      <w:r>
        <w:rPr>
          <w:bCs/>
          <w:b/>
        </w:rPr>
        <w:t xml:space="preserve">Referencia principal de EE. UU.:</w:t>
      </w:r>
      <w:r>
        <w:t xml:space="preserve"> </w:t>
      </w:r>
      <w:r>
        <w:t xml:space="preserve">O*NET-SOC 15-1231.00 — Computer Network Support Specialists</w:t>
      </w:r>
      <w:r>
        <w:br/>
      </w:r>
      <w:r>
        <w:rPr>
          <w:bCs/>
          <w:b/>
        </w:rPr>
        <w:t xml:space="preserve">Comparación con Canadá:</w:t>
      </w:r>
      <w:r>
        <w:t xml:space="preserve"> </w:t>
      </w:r>
      <w:r>
        <w:t xml:space="preserve">NOC 22220 — Computer network and web technicians</w:t>
      </w:r>
      <w:r>
        <w:br/>
      </w:r>
      <w:r>
        <w:rPr>
          <w:bCs/>
          <w:b/>
        </w:rPr>
        <w:t xml:space="preserve">Comparación con Colombia:</w:t>
      </w:r>
      <w:r>
        <w:t xml:space="preserve"> </w:t>
      </w:r>
      <w:r>
        <w:t xml:space="preserve">CUOC 35130 — Técnicos en redes y tecnologías de la información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2026-08-21</w:t>
      </w:r>
    </w:p>
    <w:bookmarkStart w:id="20" w:name="qué-es-esta-carrera"/>
    <w:p>
      <w:pPr>
        <w:pStyle w:val="Heading2"/>
      </w:pPr>
      <w:r>
        <w:t xml:space="preserve">Qué es esta carrera</w:t>
      </w:r>
    </w:p>
    <w:p>
      <w:pPr>
        <w:pStyle w:val="FirstParagraph"/>
      </w:pPr>
      <w:r>
        <w:t xml:space="preserve">Un técnico de soporte de redes ayuda a mantener las redes de datos disponibles, utilizables, seguras y con capacidad de soporte. El trabajo puede incluir solucionar problemas de conectividad LAN, WAN, inalámbrica, VPN, nube e híbrida; revisar switches, routers, puntos de acceso, firewalls y servicios relacionados; analizar registros y datos de monitoreo; documentar incidentes y cambios; brindar soporte a usuarios; respaldar configuraciones; y escalar fallas o señales de seguridad que excedan la autoridad asignada.</w:t>
      </w:r>
    </w:p>
    <w:p>
      <w:pPr>
        <w:pStyle w:val="BodyText"/>
      </w:pPr>
      <w:r>
        <w:t xml:space="preserve">Esta guía utiliza</w:t>
      </w:r>
      <w:r>
        <w:t xml:space="preserve"> </w:t>
      </w:r>
      <w:r>
        <w:rPr>
          <w:bCs/>
          <w:b/>
        </w:rPr>
        <w:t xml:space="preserve">O*NET-SOC 15-1231.00 — Computer Network Support Specialists</w:t>
      </w:r>
      <w:r>
        <w:t xml:space="preserve"> </w:t>
      </w:r>
      <w:r>
        <w:t xml:space="preserve">como referencia principal de Estados Unidos. Canadá se compara estrechamente con</w:t>
      </w:r>
      <w:r>
        <w:t xml:space="preserve"> </w:t>
      </w:r>
      <w:r>
        <w:rPr>
          <w:bCs/>
          <w:b/>
        </w:rPr>
        <w:t xml:space="preserve">NOC 22220 — Computer network and web technicians</w:t>
      </w:r>
      <w:r>
        <w:t xml:space="preserve">. Colombia tiene una correspondencia directa en</w:t>
      </w:r>
      <w:r>
        <w:t xml:space="preserve"> </w:t>
      </w:r>
      <w:r>
        <w:rPr>
          <w:bCs/>
          <w:b/>
        </w:rPr>
        <w:t xml:space="preserve">CUOC 35130 — Técnicos en redes y tecnologías de la información</w:t>
      </w:r>
      <w:r>
        <w:t xml:space="preserve">.</w:t>
      </w:r>
    </w:p>
    <w:p>
      <w:pPr>
        <w:pStyle w:val="BodyText"/>
      </w:pPr>
      <w:r>
        <w:t xml:space="preserve">El soporte de redes no es lo mismo que arquitectura de redes, pruebas de penetración, ingeniería de seguridad ni autoridad administrativa irrestricta. Un técnico puede diagnosticar y corregir muchas fallas, pero el acceso a producción, los cambios de configuración y las acciones de seguridad deben mantenerse dentro de la autorización del empleador y de los procesos de control de cambios.</w:t>
      </w:r>
    </w:p>
    <w:bookmarkEnd w:id="20"/>
    <w:bookmarkStart w:id="21" w:name="por-qué-puede-ser-una-buena-oportunidad"/>
    <w:p>
      <w:pPr>
        <w:pStyle w:val="Heading2"/>
      </w:pPr>
      <w:r>
        <w:t xml:space="preserve">Por qué puede ser una buena oportunidad</w:t>
      </w:r>
    </w:p>
    <w:p>
      <w:pPr>
        <w:pStyle w:val="FirstParagraph"/>
      </w:pPr>
      <w:r>
        <w:t xml:space="preserve">Las organizaciones siguen dependiendo de conectividad confiable entre oficinas, centros de datos, servicios en la nube, usuarios remotos, redes inalámbricas y sistemas expuestos a internet. Aunque el monitoreo y ciertas configuraciones rutinarias se automaticen, siguen siendo necesarias personas que puedan interpretar síntomas, aislar fallas, comunicar impacto, validar cambios, preservar evidencia y saber cuándo escalar.</w:t>
      </w:r>
    </w:p>
    <w:p>
      <w:pPr>
        <w:pStyle w:val="BodyText"/>
      </w:pPr>
      <w:r>
        <w:t xml:space="preserve">La estrategia más sólida a largo plazo no es quedarse únicamente en tareas repetitivas y guionizadas. Conviene avanzar hacia redes más profundas, sistemas, nube, automatización, observabilidad y ciberseguridad.</w:t>
      </w:r>
    </w:p>
    <w:p>
      <w:pPr>
        <w:pStyle w:val="BodyText"/>
      </w:pPr>
      <w:r>
        <w:t xml:space="preserve">Una progresión práctica puede ser:</w:t>
      </w:r>
    </w:p>
    <w:p>
      <w:pPr>
        <w:pStyle w:val="BodyText"/>
      </w:pPr>
      <w:r>
        <w:rPr>
          <w:bCs/>
          <w:b/>
        </w:rPr>
        <w:t xml:space="preserve">mesa de ayuda o soporte de campo → técnico de soporte de redes → administrador de redes / administrador de sistemas / soporte de nube → ingeniero de redes, ingeniero de nube, operaciones de seguridad o especialista en infraestructura.</w:t>
      </w:r>
    </w:p>
    <w:p>
      <w:pPr>
        <w:pStyle w:val="BodyText"/>
      </w:pPr>
      <w:r>
        <w:t xml:space="preserve">La progresión real depende de la experiencia, educación, estructura del empleador y jurisdicción.</w:t>
      </w:r>
    </w:p>
    <w:bookmarkEnd w:id="21"/>
    <w:bookmarkStart w:id="26" w:name="Xdbe0fdcf083c65a37995f7077a3cde1a4888153"/>
    <w:p>
      <w:pPr>
        <w:pStyle w:val="Heading2"/>
      </w:pPr>
      <w:r>
        <w:t xml:space="preserve">Técnico de soporte de redes, administrador de redes e ingeniero de redes no son lo mismo</w:t>
      </w:r>
    </w:p>
    <w:bookmarkStart w:id="22" w:name="técnico-de-soporte-de-redes"/>
    <w:p>
      <w:pPr>
        <w:pStyle w:val="Heading3"/>
      </w:pPr>
      <w:r>
        <w:t xml:space="preserve">Técnico de soporte de redes</w:t>
      </w:r>
    </w:p>
    <w:p>
      <w:pPr>
        <w:pStyle w:val="FirstParagraph"/>
      </w:pPr>
      <w:r>
        <w:t xml:space="preserve">Suele enfocarse en:</w:t>
      </w:r>
    </w:p>
    <w:p>
      <w:pPr>
        <w:numPr>
          <w:ilvl w:val="0"/>
          <w:numId w:val="1001"/>
        </w:numPr>
        <w:pStyle w:val="Compact"/>
      </w:pPr>
      <w:r>
        <w:t xml:space="preserve">incidentes de conectividad de usuarios y sedes;</w:t>
      </w:r>
    </w:p>
    <w:p>
      <w:pPr>
        <w:numPr>
          <w:ilvl w:val="0"/>
          <w:numId w:val="1001"/>
        </w:numPr>
        <w:pStyle w:val="Compact"/>
      </w:pPr>
      <w:r>
        <w:t xml:space="preserve">estado de dispositivos de red y diagnóstico inicial;</w:t>
      </w:r>
    </w:p>
    <w:p>
      <w:pPr>
        <w:numPr>
          <w:ilvl w:val="0"/>
          <w:numId w:val="1001"/>
        </w:numPr>
        <w:pStyle w:val="Compact"/>
      </w:pPr>
      <w:r>
        <w:t xml:space="preserve">problemas de cableado, puertos, VLAN, IP, DNS, DHCP y Wi-Fi;</w:t>
      </w:r>
    </w:p>
    <w:p>
      <w:pPr>
        <w:numPr>
          <w:ilvl w:val="0"/>
          <w:numId w:val="1001"/>
        </w:numPr>
        <w:pStyle w:val="Compact"/>
      </w:pPr>
      <w:r>
        <w:t xml:space="preserve">alertas de monitoreo;</w:t>
      </w:r>
    </w:p>
    <w:p>
      <w:pPr>
        <w:numPr>
          <w:ilvl w:val="0"/>
          <w:numId w:val="1001"/>
        </w:numPr>
        <w:pStyle w:val="Compact"/>
      </w:pPr>
      <w:r>
        <w:t xml:space="preserve">tareas de configuración autorizadas;</w:t>
      </w:r>
    </w:p>
    <w:p>
      <w:pPr>
        <w:numPr>
          <w:ilvl w:val="0"/>
          <w:numId w:val="1001"/>
        </w:numPr>
        <w:pStyle w:val="Compact"/>
      </w:pPr>
      <w:r>
        <w:t xml:space="preserve">escalamiento y documentación;</w:t>
      </w:r>
    </w:p>
    <w:p>
      <w:pPr>
        <w:numPr>
          <w:ilvl w:val="0"/>
          <w:numId w:val="1001"/>
        </w:numPr>
        <w:pStyle w:val="Compact"/>
      </w:pPr>
      <w:r>
        <w:t xml:space="preserve">soporte remoto y coordinación con carriers/proveedores.</w:t>
      </w:r>
    </w:p>
    <w:bookmarkEnd w:id="22"/>
    <w:bookmarkStart w:id="23" w:name="administrador-de-redes"/>
    <w:p>
      <w:pPr>
        <w:pStyle w:val="Heading3"/>
      </w:pPr>
      <w:r>
        <w:t xml:space="preserve">Administrador de redes</w:t>
      </w:r>
    </w:p>
    <w:p>
      <w:pPr>
        <w:pStyle w:val="FirstParagraph"/>
      </w:pPr>
      <w:r>
        <w:t xml:space="preserve">Puede tener responsabilidad más amplia sobre:</w:t>
      </w:r>
    </w:p>
    <w:p>
      <w:pPr>
        <w:numPr>
          <w:ilvl w:val="0"/>
          <w:numId w:val="1002"/>
        </w:numPr>
        <w:pStyle w:val="Compact"/>
      </w:pPr>
      <w:r>
        <w:t xml:space="preserve">administración continua de la red;</w:t>
      </w:r>
    </w:p>
    <w:p>
      <w:pPr>
        <w:numPr>
          <w:ilvl w:val="0"/>
          <w:numId w:val="1002"/>
        </w:numPr>
        <w:pStyle w:val="Compact"/>
      </w:pPr>
      <w:r>
        <w:t xml:space="preserve">controles de cuentas y acceso;</w:t>
      </w:r>
    </w:p>
    <w:p>
      <w:pPr>
        <w:numPr>
          <w:ilvl w:val="0"/>
          <w:numId w:val="1002"/>
        </w:numPr>
        <w:pStyle w:val="Compact"/>
      </w:pPr>
      <w:r>
        <w:t xml:space="preserve">respaldo y recuperación;</w:t>
      </w:r>
    </w:p>
    <w:p>
      <w:pPr>
        <w:numPr>
          <w:ilvl w:val="0"/>
          <w:numId w:val="1002"/>
        </w:numPr>
        <w:pStyle w:val="Compact"/>
      </w:pPr>
      <w:r>
        <w:t xml:space="preserve">servicios de red y servidores;</w:t>
      </w:r>
    </w:p>
    <w:p>
      <w:pPr>
        <w:numPr>
          <w:ilvl w:val="0"/>
          <w:numId w:val="1002"/>
        </w:numPr>
        <w:pStyle w:val="Compact"/>
      </w:pPr>
      <w:r>
        <w:t xml:space="preserve">parches y ciclo de vida;</w:t>
      </w:r>
    </w:p>
    <w:p>
      <w:pPr>
        <w:numPr>
          <w:ilvl w:val="0"/>
          <w:numId w:val="1002"/>
        </w:numPr>
        <w:pStyle w:val="Compact"/>
      </w:pPr>
      <w:r>
        <w:t xml:space="preserve">mayor autoridad para cambios.</w:t>
      </w:r>
    </w:p>
    <w:bookmarkEnd w:id="23"/>
    <w:bookmarkStart w:id="24" w:name="ingeniero-o-arquitecto-de-redes"/>
    <w:p>
      <w:pPr>
        <w:pStyle w:val="Heading3"/>
      </w:pPr>
      <w:r>
        <w:t xml:space="preserve">Ingeniero o arquitecto de redes</w:t>
      </w:r>
    </w:p>
    <w:p>
      <w:pPr>
        <w:pStyle w:val="FirstParagraph"/>
      </w:pPr>
      <w:r>
        <w:t xml:space="preserve">Puede diseñar e implementar arquitecturas más amplias de routing, switching, wireless, nube, WAN, segmentación, resiliencia y seguridad. Estos puestos normalmente requieren mayor profundidad técnica y autoridad de cambio.</w:t>
      </w:r>
    </w:p>
    <w:bookmarkEnd w:id="24"/>
    <w:bookmarkStart w:id="25" w:name="roles-de-seguridad"/>
    <w:p>
      <w:pPr>
        <w:pStyle w:val="Heading3"/>
      </w:pPr>
      <w:r>
        <w:t xml:space="preserve">Roles de seguridad</w:t>
      </w:r>
    </w:p>
    <w:p>
      <w:pPr>
        <w:pStyle w:val="FirstParagraph"/>
      </w:pPr>
      <w:r>
        <w:t xml:space="preserve">Analistas e ingenieros de seguridad pueden investigar amenazas, ajustar controles, ejecutar pruebas autorizadas o diseñar arquitectura de seguridad. El personal de soporte de redes debe reconocer y escalar indicadores de seguridad, pero no debe realizar escaneos, explotación ni destrucción de evidencia sin autorización.</w:t>
      </w:r>
    </w:p>
    <w:bookmarkEnd w:id="25"/>
    <w:bookmarkEnd w:id="26"/>
    <w:bookmarkStart w:id="27" w:name="límites-de-autoridad-profesional"/>
    <w:p>
      <w:pPr>
        <w:pStyle w:val="Heading2"/>
      </w:pPr>
      <w:r>
        <w:t xml:space="preserve">Límites de autoridad profesional</w:t>
      </w:r>
    </w:p>
    <w:p>
      <w:pPr>
        <w:pStyle w:val="FirstParagraph"/>
      </w:pPr>
      <w:r>
        <w:t xml:space="preserve">El título de soporte de redes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autoriza automáticamente a una persona para:</w:t>
      </w:r>
    </w:p>
    <w:p>
      <w:pPr>
        <w:numPr>
          <w:ilvl w:val="0"/>
          <w:numId w:val="1003"/>
        </w:numPr>
        <w:pStyle w:val="Compact"/>
      </w:pPr>
      <w:r>
        <w:t xml:space="preserve">eludir controles de acceso para solucionar un problema;</w:t>
      </w:r>
    </w:p>
    <w:p>
      <w:pPr>
        <w:numPr>
          <w:ilvl w:val="0"/>
          <w:numId w:val="1003"/>
        </w:numPr>
        <w:pStyle w:val="Compact"/>
      </w:pPr>
      <w:r>
        <w:t xml:space="preserve">usar la cuenta privilegiada de otra persona;</w:t>
      </w:r>
    </w:p>
    <w:p>
      <w:pPr>
        <w:numPr>
          <w:ilvl w:val="0"/>
          <w:numId w:val="1003"/>
        </w:numPr>
        <w:pStyle w:val="Compact"/>
      </w:pPr>
      <w:r>
        <w:t xml:space="preserve">desactivar un firewall, control de endpoint, MFA o monitoreo porque parezca inconveniente;</w:t>
      </w:r>
    </w:p>
    <w:p>
      <w:pPr>
        <w:numPr>
          <w:ilvl w:val="0"/>
          <w:numId w:val="1003"/>
        </w:numPr>
        <w:pStyle w:val="Compact"/>
      </w:pPr>
      <w:r>
        <w:t xml:space="preserve">escanear o sondear sistemas fuera del alcance autorizado;</w:t>
      </w:r>
    </w:p>
    <w:p>
      <w:pPr>
        <w:numPr>
          <w:ilvl w:val="0"/>
          <w:numId w:val="1003"/>
        </w:numPr>
        <w:pStyle w:val="Compact"/>
      </w:pPr>
      <w:r>
        <w:t xml:space="preserve">realizar pruebas de penetración sin un alcance explícito y aprobado;</w:t>
      </w:r>
    </w:p>
    <w:p>
      <w:pPr>
        <w:numPr>
          <w:ilvl w:val="0"/>
          <w:numId w:val="1003"/>
        </w:numPr>
        <w:pStyle w:val="Compact"/>
      </w:pPr>
      <w:r>
        <w:t xml:space="preserve">hacer cambios de routing, switching, Wi-Fi, DNS o firewall en producción fuera del proceso aprobado;</w:t>
      </w:r>
    </w:p>
    <w:p>
      <w:pPr>
        <w:numPr>
          <w:ilvl w:val="0"/>
          <w:numId w:val="1003"/>
        </w:numPr>
        <w:pStyle w:val="Compact"/>
      </w:pPr>
      <w:r>
        <w:t xml:space="preserve">copiar contraseñas, llaves, tokens o configuraciones protegidas en notas públicas o servicios de IA no aprobados;</w:t>
      </w:r>
    </w:p>
    <w:p>
      <w:pPr>
        <w:numPr>
          <w:ilvl w:val="0"/>
          <w:numId w:val="1003"/>
        </w:numPr>
        <w:pStyle w:val="Compact"/>
      </w:pPr>
      <w:r>
        <w:t xml:space="preserve">borrar registros o evidencia después de una posible intrusión;</w:t>
      </w:r>
    </w:p>
    <w:p>
      <w:pPr>
        <w:numPr>
          <w:ilvl w:val="0"/>
          <w:numId w:val="1003"/>
        </w:numPr>
        <w:pStyle w:val="Compact"/>
      </w:pPr>
      <w:r>
        <w:t xml:space="preserve">afirmar que un servicio fue restaurado antes de validarlo;</w:t>
      </w:r>
    </w:p>
    <w:p>
      <w:pPr>
        <w:numPr>
          <w:ilvl w:val="0"/>
          <w:numId w:val="1003"/>
        </w:numPr>
        <w:pStyle w:val="Compact"/>
      </w:pPr>
      <w:r>
        <w:t xml:space="preserve">tomar decisiones de arquitectura, regulatorias o legales fuera de la autoridad asignada;</w:t>
      </w:r>
    </w:p>
    <w:p>
      <w:pPr>
        <w:numPr>
          <w:ilvl w:val="0"/>
          <w:numId w:val="1003"/>
        </w:numPr>
        <w:pStyle w:val="Compact"/>
      </w:pPr>
      <w:r>
        <w:t xml:space="preserve">afirmar certificaciones o credenciales que realmente no posee.</w:t>
      </w:r>
    </w:p>
    <w:p>
      <w:pPr>
        <w:pStyle w:val="FirstParagraph"/>
      </w:pPr>
      <w:r>
        <w:t xml:space="preserve">Cuando un problema requiera privilegios más amplios, investigación de seguridad, autoridad de cambio de emergencia o rediseño de arquitectura, debe escalarse por el proceso aprobado.</w:t>
      </w:r>
    </w:p>
    <w:bookmarkEnd w:id="27"/>
    <w:bookmarkStart w:id="28" w:name="X7f5120d612d15375f5014e896078f67df0cbc47"/>
    <w:p>
      <w:pPr>
        <w:pStyle w:val="Heading2"/>
      </w:pPr>
      <w:r>
        <w:t xml:space="preserve">Un modelo disciplinado de solución de problemas</w:t>
      </w:r>
    </w:p>
    <w:p>
      <w:pPr>
        <w:pStyle w:val="FirstParagraph"/>
      </w:pPr>
      <w:r>
        <w:t xml:space="preserve">Una buena solución de problemas de red se basa en evidencia. Una secuencia práctica es:</w:t>
      </w:r>
    </w:p>
    <w:p>
      <w:pPr>
        <w:numPr>
          <w:ilvl w:val="0"/>
          <w:numId w:val="1004"/>
        </w:numPr>
        <w:pStyle w:val="Compact"/>
      </w:pPr>
      <w:r>
        <w:t xml:space="preserve">definir el usuario, servicio, sede e impacto al negocio;</w:t>
      </w:r>
    </w:p>
    <w:p>
      <w:pPr>
        <w:numPr>
          <w:ilvl w:val="0"/>
          <w:numId w:val="1004"/>
        </w:numPr>
        <w:pStyle w:val="Compact"/>
      </w:pPr>
      <w:r>
        <w:t xml:space="preserve">establecer qué cambió y cuándo;</w:t>
      </w:r>
    </w:p>
    <w:p>
      <w:pPr>
        <w:numPr>
          <w:ilvl w:val="0"/>
          <w:numId w:val="1004"/>
        </w:numPr>
        <w:pStyle w:val="Compact"/>
      </w:pPr>
      <w:r>
        <w:t xml:space="preserve">verificar si el problema es aislado o generalizado;</w:t>
      </w:r>
    </w:p>
    <w:p>
      <w:pPr>
        <w:numPr>
          <w:ilvl w:val="0"/>
          <w:numId w:val="1004"/>
        </w:numPr>
        <w:pStyle w:val="Compact"/>
      </w:pPr>
      <w:r>
        <w:t xml:space="preserve">identificar la ruta esperada y las dependencias;</w:t>
      </w:r>
    </w:p>
    <w:p>
      <w:pPr>
        <w:numPr>
          <w:ilvl w:val="0"/>
          <w:numId w:val="1004"/>
        </w:numPr>
        <w:pStyle w:val="Compact"/>
      </w:pPr>
      <w:r>
        <w:t xml:space="preserve">recopilar evidencia antes de cambiar algo;</w:t>
      </w:r>
    </w:p>
    <w:p>
      <w:pPr>
        <w:numPr>
          <w:ilvl w:val="0"/>
          <w:numId w:val="1004"/>
        </w:numPr>
        <w:pStyle w:val="Compact"/>
      </w:pPr>
      <w:r>
        <w:t xml:space="preserve">probar primero las hipótesis de menor riesgo;</w:t>
      </w:r>
    </w:p>
    <w:p>
      <w:pPr>
        <w:numPr>
          <w:ilvl w:val="0"/>
          <w:numId w:val="1004"/>
        </w:numPr>
        <w:pStyle w:val="Compact"/>
      </w:pPr>
      <w:r>
        <w:t xml:space="preserve">hacer solamente cambios aprobados y reversibles;</w:t>
      </w:r>
    </w:p>
    <w:p>
      <w:pPr>
        <w:numPr>
          <w:ilvl w:val="0"/>
          <w:numId w:val="1004"/>
        </w:numPr>
        <w:pStyle w:val="Compact"/>
      </w:pPr>
      <w:r>
        <w:t xml:space="preserve">validar el servicio desde la perspectiva del usuario;</w:t>
      </w:r>
    </w:p>
    <w:p>
      <w:pPr>
        <w:numPr>
          <w:ilvl w:val="0"/>
          <w:numId w:val="1004"/>
        </w:numPr>
        <w:pStyle w:val="Compact"/>
      </w:pPr>
      <w:r>
        <w:t xml:space="preserve">registrar lo observado, modificado y confirmado;</w:t>
      </w:r>
    </w:p>
    <w:p>
      <w:pPr>
        <w:numPr>
          <w:ilvl w:val="0"/>
          <w:numId w:val="1004"/>
        </w:numPr>
        <w:pStyle w:val="Compact"/>
      </w:pPr>
      <w:r>
        <w:t xml:space="preserve">escalar hallazgos no resueltos o sensibles a seguridad.</w:t>
      </w:r>
    </w:p>
    <w:p>
      <w:pPr>
        <w:pStyle w:val="FirstParagraph"/>
      </w:pPr>
      <w:r>
        <w:t xml:space="preserve">Evite ejecutar comandos al azar. Un comando es útil cuando se sabe qué pregunta debe responder.</w:t>
      </w:r>
    </w:p>
    <w:bookmarkEnd w:id="28"/>
    <w:bookmarkStart w:id="29" w:name="X9116bd4e527a994c50af9109addd9e3138c8a83"/>
    <w:p>
      <w:pPr>
        <w:pStyle w:val="Heading2"/>
      </w:pPr>
      <w:r>
        <w:t xml:space="preserve">Los modelos OSI y TCP/IP como herramientas de diagnóstico</w:t>
      </w:r>
    </w:p>
    <w:p>
      <w:pPr>
        <w:pStyle w:val="FirstParagraph"/>
      </w:pPr>
      <w:r>
        <w:t xml:space="preserve">Los modelos son útiles cuando ayudan a aislar una falla.</w:t>
      </w:r>
    </w:p>
    <w:p>
      <w:pPr>
        <w:pStyle w:val="BodyText"/>
      </w:pPr>
      <w:r>
        <w:t xml:space="preserve">Una progresión simplificada: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física/enlace:</w:t>
      </w:r>
      <w:r>
        <w:t xml:space="preserve"> </w:t>
      </w:r>
      <w:r>
        <w:t xml:space="preserve">energía, cable, óptica, radio, estado de interfaz, errores;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enlace de datos:</w:t>
      </w:r>
      <w:r>
        <w:t xml:space="preserve"> </w:t>
      </w:r>
      <w:r>
        <w:t xml:space="preserve">aprendizaje MAC, pertenencia a VLAN, trunks, spanning tree;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red:</w:t>
      </w:r>
      <w:r>
        <w:t xml:space="preserve"> </w:t>
      </w:r>
      <w:r>
        <w:t xml:space="preserve">direccionamiento IPv4/IPv6, subred, gateway, routing;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transporte:</w:t>
      </w:r>
      <w:r>
        <w:t xml:space="preserve"> </w:t>
      </w:r>
      <w:r>
        <w:t xml:space="preserve">alcance TCP/UDP y puertos;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aplicación/servicio:</w:t>
      </w:r>
      <w:r>
        <w:t xml:space="preserve"> </w:t>
      </w:r>
      <w:r>
        <w:t xml:space="preserve">DNS, autenticación, web, mensajería, archivos o aplicación de negocio.</w:t>
      </w:r>
    </w:p>
    <w:p>
      <w:pPr>
        <w:pStyle w:val="FirstParagraph"/>
      </w:pPr>
      <w:r>
        <w:t xml:space="preserve">No suponga que el problema es “la red” únicamente porque una aplicación no está disponible.</w:t>
      </w:r>
    </w:p>
    <w:bookmarkEnd w:id="29"/>
    <w:bookmarkStart w:id="30" w:name="direccionamiento-ip-y-subnetting"/>
    <w:p>
      <w:pPr>
        <w:pStyle w:val="Heading2"/>
      </w:pPr>
      <w:r>
        <w:t xml:space="preserve">Direccionamiento IP y subnetting</w:t>
      </w:r>
    </w:p>
    <w:p>
      <w:pPr>
        <w:pStyle w:val="FirstParagraph"/>
      </w:pPr>
      <w:r>
        <w:t xml:space="preserve">Un técnico de redes debe comprender:</w:t>
      </w:r>
    </w:p>
    <w:p>
      <w:pPr>
        <w:numPr>
          <w:ilvl w:val="0"/>
          <w:numId w:val="1006"/>
        </w:numPr>
        <w:pStyle w:val="Compact"/>
      </w:pPr>
      <w:r>
        <w:t xml:space="preserve">direcciones IPv4 y máscaras/prefijos;</w:t>
      </w:r>
    </w:p>
    <w:p>
      <w:pPr>
        <w:numPr>
          <w:ilvl w:val="0"/>
          <w:numId w:val="1006"/>
        </w:numPr>
        <w:pStyle w:val="Compact"/>
      </w:pPr>
      <w:r>
        <w:t xml:space="preserve">espacio privado versus público;</w:t>
      </w:r>
    </w:p>
    <w:p>
      <w:pPr>
        <w:numPr>
          <w:ilvl w:val="0"/>
          <w:numId w:val="1006"/>
        </w:numPr>
        <w:pStyle w:val="Compact"/>
      </w:pPr>
      <w:r>
        <w:t xml:space="preserve">gateways predeterminados;</w:t>
      </w:r>
    </w:p>
    <w:p>
      <w:pPr>
        <w:numPr>
          <w:ilvl w:val="0"/>
          <w:numId w:val="1006"/>
        </w:numPr>
        <w:pStyle w:val="Compact"/>
      </w:pPr>
      <w:r>
        <w:t xml:space="preserve">conceptos de red/broadcast en IPv4;</w:t>
      </w:r>
    </w:p>
    <w:p>
      <w:pPr>
        <w:numPr>
          <w:ilvl w:val="0"/>
          <w:numId w:val="1006"/>
        </w:numPr>
        <w:pStyle w:val="Compact"/>
      </w:pPr>
      <w:r>
        <w:t xml:space="preserve">notación CIDR;</w:t>
      </w:r>
    </w:p>
    <w:p>
      <w:pPr>
        <w:numPr>
          <w:ilvl w:val="0"/>
          <w:numId w:val="1006"/>
        </w:numPr>
        <w:pStyle w:val="Compact"/>
      </w:pPr>
      <w:r>
        <w:t xml:space="preserve">conceptos básicos de direcciones y prefijos IPv6;</w:t>
      </w:r>
    </w:p>
    <w:p>
      <w:pPr>
        <w:numPr>
          <w:ilvl w:val="0"/>
          <w:numId w:val="1006"/>
        </w:numPr>
        <w:pStyle w:val="Compact"/>
      </w:pPr>
      <w:r>
        <w:t xml:space="preserve">direccionamiento estático versus dinámico;</w:t>
      </w:r>
    </w:p>
    <w:p>
      <w:pPr>
        <w:numPr>
          <w:ilvl w:val="0"/>
          <w:numId w:val="1006"/>
        </w:numPr>
        <w:pStyle w:val="Compact"/>
      </w:pPr>
      <w:r>
        <w:t xml:space="preserve">direcciones duplicadas;</w:t>
      </w:r>
    </w:p>
    <w:p>
      <w:pPr>
        <w:numPr>
          <w:ilvl w:val="0"/>
          <w:numId w:val="1006"/>
        </w:numPr>
        <w:pStyle w:val="Compact"/>
      </w:pPr>
      <w:r>
        <w:t xml:space="preserve">pools y agotamiento de direcciones;</w:t>
      </w:r>
    </w:p>
    <w:p>
      <w:pPr>
        <w:numPr>
          <w:ilvl w:val="0"/>
          <w:numId w:val="1006"/>
        </w:numPr>
        <w:pStyle w:val="Compact"/>
      </w:pPr>
      <w:r>
        <w:t xml:space="preserve">cómo un subnetting incorrecto crea problemas de alcance.</w:t>
      </w:r>
    </w:p>
    <w:p>
      <w:pPr>
        <w:pStyle w:val="FirstParagraph"/>
      </w:pPr>
      <w:r>
        <w:t xml:space="preserve">El subnetting es especialmente útil al leer tablas de routing, scopes DHCP, ACL y diagramas de red.</w:t>
      </w:r>
    </w:p>
    <w:bookmarkEnd w:id="30"/>
    <w:bookmarkStart w:id="33" w:name="dhcp-dns-y-resolución-de-nombres"/>
    <w:p>
      <w:pPr>
        <w:pStyle w:val="Heading2"/>
      </w:pPr>
      <w:r>
        <w:t xml:space="preserve">DHCP, DNS y resolución de nombres</w:t>
      </w:r>
    </w:p>
    <w:bookmarkStart w:id="31" w:name="dhcp"/>
    <w:p>
      <w:pPr>
        <w:pStyle w:val="Heading3"/>
      </w:pPr>
      <w:r>
        <w:t xml:space="preserve">DHCP</w:t>
      </w:r>
    </w:p>
    <w:p>
      <w:pPr>
        <w:pStyle w:val="FirstParagraph"/>
      </w:pPr>
      <w:r>
        <w:t xml:space="preserve">DHCP suele proporcionar a los clientes:</w:t>
      </w:r>
    </w:p>
    <w:p>
      <w:pPr>
        <w:numPr>
          <w:ilvl w:val="0"/>
          <w:numId w:val="1007"/>
        </w:numPr>
        <w:pStyle w:val="Compact"/>
      </w:pPr>
      <w:r>
        <w:t xml:space="preserve">dirección IP;</w:t>
      </w:r>
    </w:p>
    <w:p>
      <w:pPr>
        <w:numPr>
          <w:ilvl w:val="0"/>
          <w:numId w:val="1007"/>
        </w:numPr>
        <w:pStyle w:val="Compact"/>
      </w:pPr>
      <w:r>
        <w:t xml:space="preserve">información de subred/prefijo;</w:t>
      </w:r>
    </w:p>
    <w:p>
      <w:pPr>
        <w:numPr>
          <w:ilvl w:val="0"/>
          <w:numId w:val="1007"/>
        </w:numPr>
        <w:pStyle w:val="Compact"/>
      </w:pPr>
      <w:r>
        <w:t xml:space="preserve">gateway predeterminado;</w:t>
      </w:r>
    </w:p>
    <w:p>
      <w:pPr>
        <w:numPr>
          <w:ilvl w:val="0"/>
          <w:numId w:val="1007"/>
        </w:numPr>
        <w:pStyle w:val="Compact"/>
      </w:pPr>
      <w:r>
        <w:t xml:space="preserve">servidores DNS;</w:t>
      </w:r>
    </w:p>
    <w:p>
      <w:pPr>
        <w:numPr>
          <w:ilvl w:val="0"/>
          <w:numId w:val="1007"/>
        </w:numPr>
        <w:pStyle w:val="Compact"/>
      </w:pPr>
      <w:r>
        <w:t xml:space="preserve">tiempo de concesión y otras opciones.</w:t>
      </w:r>
    </w:p>
    <w:p>
      <w:pPr>
        <w:pStyle w:val="FirstParagraph"/>
      </w:pPr>
      <w:r>
        <w:t xml:space="preserve">El diagnóstico puede incluir estado de concesión, disponibilidad del pool, relay/helper, ubicación en VLAN y opciones recibidas por el cliente.</w:t>
      </w:r>
    </w:p>
    <w:bookmarkEnd w:id="31"/>
    <w:bookmarkStart w:id="32" w:name="dns"/>
    <w:p>
      <w:pPr>
        <w:pStyle w:val="Heading3"/>
      </w:pPr>
      <w:r>
        <w:t xml:space="preserve">DNS</w:t>
      </w:r>
    </w:p>
    <w:p>
      <w:pPr>
        <w:pStyle w:val="FirstParagraph"/>
      </w:pPr>
      <w:r>
        <w:t xml:space="preserve">Los problemas de DNS pueden parecer fallas de red. Verifique:</w:t>
      </w:r>
    </w:p>
    <w:p>
      <w:pPr>
        <w:numPr>
          <w:ilvl w:val="0"/>
          <w:numId w:val="1008"/>
        </w:numPr>
        <w:pStyle w:val="Compact"/>
      </w:pPr>
      <w:r>
        <w:t xml:space="preserve">si el host alcanza al servidor DNS;</w:t>
      </w:r>
    </w:p>
    <w:p>
      <w:pPr>
        <w:numPr>
          <w:ilvl w:val="0"/>
          <w:numId w:val="1008"/>
        </w:numPr>
        <w:pStyle w:val="Compact"/>
      </w:pPr>
      <w:r>
        <w:t xml:space="preserve">si existe el registro esperado;</w:t>
      </w:r>
    </w:p>
    <w:p>
      <w:pPr>
        <w:numPr>
          <w:ilvl w:val="0"/>
          <w:numId w:val="1008"/>
        </w:numPr>
        <w:pStyle w:val="Compact"/>
      </w:pPr>
      <w:r>
        <w:t xml:space="preserve">si el cliente usa el resolver correcto;</w:t>
      </w:r>
    </w:p>
    <w:p>
      <w:pPr>
        <w:numPr>
          <w:ilvl w:val="0"/>
          <w:numId w:val="1008"/>
        </w:numPr>
        <w:pStyle w:val="Compact"/>
      </w:pPr>
      <w:r>
        <w:t xml:space="preserve">si hay información cacheada u obsoleta;</w:t>
      </w:r>
    </w:p>
    <w:p>
      <w:pPr>
        <w:numPr>
          <w:ilvl w:val="0"/>
          <w:numId w:val="1008"/>
        </w:numPr>
        <w:pStyle w:val="Compact"/>
      </w:pPr>
      <w:r>
        <w:t xml:space="preserve">si el problema afecta a un nombre, una zona o toda la resolución.</w:t>
      </w:r>
    </w:p>
    <w:p>
      <w:pPr>
        <w:pStyle w:val="FirstParagraph"/>
      </w:pPr>
      <w:r>
        <w:t xml:space="preserve">No haga cambios de DNS sin confirmar autoridad e impacto aguas abajo.</w:t>
      </w:r>
    </w:p>
    <w:bookmarkEnd w:id="32"/>
    <w:bookmarkEnd w:id="33"/>
    <w:bookmarkStart w:id="34" w:name="switching-vlan-y-trunks"/>
    <w:p>
      <w:pPr>
        <w:pStyle w:val="Heading2"/>
      </w:pPr>
      <w:r>
        <w:t xml:space="preserve">Switching, VLAN y trunks</w:t>
      </w:r>
    </w:p>
    <w:p>
      <w:pPr>
        <w:pStyle w:val="FirstParagraph"/>
      </w:pPr>
      <w:r>
        <w:t xml:space="preserve">Conceptos útiles incluyen:</w:t>
      </w:r>
    </w:p>
    <w:p>
      <w:pPr>
        <w:numPr>
          <w:ilvl w:val="0"/>
          <w:numId w:val="1009"/>
        </w:numPr>
        <w:pStyle w:val="Compact"/>
      </w:pPr>
      <w:r>
        <w:t xml:space="preserve">puertos de acceso;</w:t>
      </w:r>
    </w:p>
    <w:p>
      <w:pPr>
        <w:numPr>
          <w:ilvl w:val="0"/>
          <w:numId w:val="1009"/>
        </w:numPr>
        <w:pStyle w:val="Compact"/>
      </w:pPr>
      <w:r>
        <w:t xml:space="preserve">pertenencia a VLAN;</w:t>
      </w:r>
    </w:p>
    <w:p>
      <w:pPr>
        <w:numPr>
          <w:ilvl w:val="0"/>
          <w:numId w:val="1009"/>
        </w:numPr>
        <w:pStyle w:val="Compact"/>
      </w:pPr>
      <w:r>
        <w:t xml:space="preserve">enlaces trunk;</w:t>
      </w:r>
    </w:p>
    <w:p>
      <w:pPr>
        <w:numPr>
          <w:ilvl w:val="0"/>
          <w:numId w:val="1009"/>
        </w:numPr>
        <w:pStyle w:val="Compact"/>
      </w:pPr>
      <w:r>
        <w:t xml:space="preserve">tráfico etiquetado/no etiquetado;</w:t>
      </w:r>
    </w:p>
    <w:p>
      <w:pPr>
        <w:numPr>
          <w:ilvl w:val="0"/>
          <w:numId w:val="1009"/>
        </w:numPr>
        <w:pStyle w:val="Compact"/>
      </w:pPr>
      <w:r>
        <w:t xml:space="preserve">tablas MAC;</w:t>
      </w:r>
    </w:p>
    <w:p>
      <w:pPr>
        <w:numPr>
          <w:ilvl w:val="0"/>
          <w:numId w:val="1009"/>
        </w:numPr>
        <w:pStyle w:val="Compact"/>
      </w:pPr>
      <w:r>
        <w:t xml:space="preserve">prevención de bucles y spanning tree;</w:t>
      </w:r>
    </w:p>
    <w:p>
      <w:pPr>
        <w:numPr>
          <w:ilvl w:val="0"/>
          <w:numId w:val="1009"/>
        </w:numPr>
        <w:pStyle w:val="Compact"/>
      </w:pPr>
      <w:r>
        <w:t xml:space="preserve">errores de puerto y negociación;</w:t>
      </w:r>
    </w:p>
    <w:p>
      <w:pPr>
        <w:numPr>
          <w:ilvl w:val="0"/>
          <w:numId w:val="1009"/>
        </w:numPr>
        <w:pStyle w:val="Compact"/>
      </w:pPr>
      <w:r>
        <w:t xml:space="preserve">agregación de enlaces;</w:t>
      </w:r>
    </w:p>
    <w:p>
      <w:pPr>
        <w:numPr>
          <w:ilvl w:val="0"/>
          <w:numId w:val="1009"/>
        </w:numPr>
        <w:pStyle w:val="Compact"/>
      </w:pPr>
      <w:r>
        <w:t xml:space="preserve">administración y respaldo de configuraciones de switches.</w:t>
      </w:r>
    </w:p>
    <w:p>
      <w:pPr>
        <w:pStyle w:val="FirstParagraph"/>
      </w:pPr>
      <w:r>
        <w:t xml:space="preserve">Un error común es cambiar un puerto o VLAN antes de confirmar el diseño previsto. Primero verifique documentación, dispositivo, interfaz e identidad del endpoint.</w:t>
      </w:r>
    </w:p>
    <w:bookmarkEnd w:id="34"/>
    <w:bookmarkStart w:id="35" w:name="routing-y-gateways"/>
    <w:p>
      <w:pPr>
        <w:pStyle w:val="Heading2"/>
      </w:pPr>
      <w:r>
        <w:t xml:space="preserve">Routing y gateways</w:t>
      </w:r>
    </w:p>
    <w:p>
      <w:pPr>
        <w:pStyle w:val="FirstParagraph"/>
      </w:pPr>
      <w:r>
        <w:t xml:space="preserve">Conceptos útiles incluyen:</w:t>
      </w:r>
    </w:p>
    <w:p>
      <w:pPr>
        <w:numPr>
          <w:ilvl w:val="0"/>
          <w:numId w:val="1010"/>
        </w:numPr>
        <w:pStyle w:val="Compact"/>
      </w:pPr>
      <w:r>
        <w:t xml:space="preserve">redes directamente conectadas;</w:t>
      </w:r>
    </w:p>
    <w:p>
      <w:pPr>
        <w:numPr>
          <w:ilvl w:val="0"/>
          <w:numId w:val="1010"/>
        </w:numPr>
        <w:pStyle w:val="Compact"/>
      </w:pPr>
      <w:r>
        <w:t xml:space="preserve">rutas estáticas;</w:t>
      </w:r>
    </w:p>
    <w:p>
      <w:pPr>
        <w:numPr>
          <w:ilvl w:val="0"/>
          <w:numId w:val="1010"/>
        </w:numPr>
        <w:pStyle w:val="Compact"/>
      </w:pPr>
      <w:r>
        <w:t xml:space="preserve">ruta predeterminada;</w:t>
      </w:r>
    </w:p>
    <w:p>
      <w:pPr>
        <w:numPr>
          <w:ilvl w:val="0"/>
          <w:numId w:val="1010"/>
        </w:numPr>
        <w:pStyle w:val="Compact"/>
      </w:pPr>
      <w:r>
        <w:t xml:space="preserve">tablas de routing;</w:t>
      </w:r>
    </w:p>
    <w:p>
      <w:pPr>
        <w:numPr>
          <w:ilvl w:val="0"/>
          <w:numId w:val="1010"/>
        </w:numPr>
        <w:pStyle w:val="Compact"/>
      </w:pPr>
      <w:r>
        <w:t xml:space="preserve">siguiente salto;</w:t>
      </w:r>
    </w:p>
    <w:p>
      <w:pPr>
        <w:numPr>
          <w:ilvl w:val="0"/>
          <w:numId w:val="1010"/>
        </w:numPr>
        <w:pStyle w:val="Compact"/>
      </w:pPr>
      <w:r>
        <w:t xml:space="preserve">conceptos de preferencia administrativa/métricas;</w:t>
      </w:r>
    </w:p>
    <w:p>
      <w:pPr>
        <w:numPr>
          <w:ilvl w:val="0"/>
          <w:numId w:val="1010"/>
        </w:numPr>
        <w:pStyle w:val="Compact"/>
      </w:pPr>
      <w:r>
        <w:t xml:space="preserve">conocimiento general de routing dinámico;</w:t>
      </w:r>
    </w:p>
    <w:p>
      <w:pPr>
        <w:numPr>
          <w:ilvl w:val="0"/>
          <w:numId w:val="1010"/>
        </w:numPr>
        <w:pStyle w:val="Compact"/>
      </w:pPr>
      <w:r>
        <w:t xml:space="preserve">asimetría de rutas;</w:t>
      </w:r>
    </w:p>
    <w:p>
      <w:pPr>
        <w:numPr>
          <w:ilvl w:val="0"/>
          <w:numId w:val="1010"/>
        </w:numPr>
        <w:pStyle w:val="Compact"/>
      </w:pPr>
      <w:r>
        <w:t xml:space="preserve">conceptos de NAT.</w:t>
      </w:r>
    </w:p>
    <w:p>
      <w:pPr>
        <w:pStyle w:val="FirstParagraph"/>
      </w:pPr>
      <w:r>
        <w:t xml:space="preserve">Los datos de ofertas de empleo de O*NET identifican específicamente</w:t>
      </w:r>
      <w:r>
        <w:t xml:space="preserve"> </w:t>
      </w:r>
      <w:r>
        <w:rPr>
          <w:bCs/>
          <w:b/>
        </w:rPr>
        <w:t xml:space="preserve">Border Gateway Protocol (BGP)</w:t>
      </w:r>
      <w:r>
        <w:t xml:space="preserve"> </w:t>
      </w:r>
      <w:r>
        <w:t xml:space="preserve">entre las señales tecnológicas actuales. Un técnico inicial no necesita diseñar BGP a escala de internet, pero debe comprender que los cambios de routing dinámico requieren autorización y validación cuidadosas.</w:t>
      </w:r>
    </w:p>
    <w:bookmarkEnd w:id="35"/>
    <w:bookmarkStart w:id="36" w:name="redes-inalámbricas"/>
    <w:p>
      <w:pPr>
        <w:pStyle w:val="Heading2"/>
      </w:pPr>
      <w:r>
        <w:t xml:space="preserve">Redes inalámbricas</w:t>
      </w:r>
    </w:p>
    <w:p>
      <w:pPr>
        <w:pStyle w:val="FirstParagraph"/>
      </w:pPr>
      <w:r>
        <w:t xml:space="preserve">El soporte Wi-Fi puede involucrar:</w:t>
      </w:r>
    </w:p>
    <w:p>
      <w:pPr>
        <w:numPr>
          <w:ilvl w:val="0"/>
          <w:numId w:val="1011"/>
        </w:numPr>
        <w:pStyle w:val="Compact"/>
      </w:pPr>
      <w:r>
        <w:t xml:space="preserve">SSID y autenticación;</w:t>
      </w:r>
    </w:p>
    <w:p>
      <w:pPr>
        <w:numPr>
          <w:ilvl w:val="0"/>
          <w:numId w:val="1011"/>
        </w:numPr>
        <w:pStyle w:val="Compact"/>
      </w:pPr>
      <w:r>
        <w:t xml:space="preserve">conectividad del punto de acceso;</w:t>
      </w:r>
    </w:p>
    <w:p>
      <w:pPr>
        <w:numPr>
          <w:ilvl w:val="0"/>
          <w:numId w:val="1011"/>
        </w:numPr>
        <w:pStyle w:val="Compact"/>
      </w:pPr>
      <w:r>
        <w:t xml:space="preserve">intensidad de señal e interferencia;</w:t>
      </w:r>
    </w:p>
    <w:p>
      <w:pPr>
        <w:numPr>
          <w:ilvl w:val="0"/>
          <w:numId w:val="1011"/>
        </w:numPr>
        <w:pStyle w:val="Compact"/>
      </w:pPr>
      <w:r>
        <w:t xml:space="preserve">compatibilidad del cliente;</w:t>
      </w:r>
    </w:p>
    <w:p>
      <w:pPr>
        <w:numPr>
          <w:ilvl w:val="0"/>
          <w:numId w:val="1011"/>
        </w:numPr>
        <w:pStyle w:val="Compact"/>
      </w:pPr>
      <w:r>
        <w:t xml:space="preserve">canales y congestión;</w:t>
      </w:r>
    </w:p>
    <w:p>
      <w:pPr>
        <w:numPr>
          <w:ilvl w:val="0"/>
          <w:numId w:val="1011"/>
        </w:numPr>
        <w:pStyle w:val="Compact"/>
      </w:pPr>
      <w:r>
        <w:t xml:space="preserve">roaming;</w:t>
      </w:r>
    </w:p>
    <w:p>
      <w:pPr>
        <w:numPr>
          <w:ilvl w:val="0"/>
          <w:numId w:val="1011"/>
        </w:numPr>
        <w:pStyle w:val="Compact"/>
      </w:pPr>
      <w:r>
        <w:t xml:space="preserve">segmentación de invitados versus red interna;</w:t>
      </w:r>
    </w:p>
    <w:p>
      <w:pPr>
        <w:numPr>
          <w:ilvl w:val="0"/>
          <w:numId w:val="1011"/>
        </w:numPr>
        <w:pStyle w:val="Compact"/>
      </w:pPr>
      <w:r>
        <w:t xml:space="preserve">portales cautivos;</w:t>
      </w:r>
    </w:p>
    <w:p>
      <w:pPr>
        <w:numPr>
          <w:ilvl w:val="0"/>
          <w:numId w:val="1011"/>
        </w:numPr>
        <w:pStyle w:val="Compact"/>
      </w:pPr>
      <w:r>
        <w:t xml:space="preserve">autenticación empresarial;</w:t>
      </w:r>
    </w:p>
    <w:p>
      <w:pPr>
        <w:numPr>
          <w:ilvl w:val="0"/>
          <w:numId w:val="1011"/>
        </w:numPr>
        <w:pStyle w:val="Compact"/>
      </w:pPr>
      <w:r>
        <w:t xml:space="preserve">configuraciones de seguridad aprobadas.</w:t>
      </w:r>
    </w:p>
    <w:p>
      <w:pPr>
        <w:pStyle w:val="FirstParagraph"/>
      </w:pPr>
      <w:r>
        <w:t xml:space="preserve">No debilite cifrado o autenticación inalámbrica solamente para lograr que un dispositivo se conecte.</w:t>
      </w:r>
    </w:p>
    <w:bookmarkEnd w:id="36"/>
    <w:bookmarkStart w:id="37" w:name="vpn-y-conectividad-remota"/>
    <w:p>
      <w:pPr>
        <w:pStyle w:val="Heading2"/>
      </w:pPr>
      <w:r>
        <w:t xml:space="preserve">VPN y conectividad remota</w:t>
      </w:r>
    </w:p>
    <w:p>
      <w:pPr>
        <w:pStyle w:val="FirstParagraph"/>
      </w:pPr>
      <w:r>
        <w:t xml:space="preserve">Los problemas de acceso remoto pueden relacionarse con:</w:t>
      </w:r>
    </w:p>
    <w:p>
      <w:pPr>
        <w:numPr>
          <w:ilvl w:val="0"/>
          <w:numId w:val="1012"/>
        </w:numPr>
        <w:pStyle w:val="Compact"/>
      </w:pPr>
      <w:r>
        <w:t xml:space="preserve">conectividad a internet;</w:t>
      </w:r>
    </w:p>
    <w:p>
      <w:pPr>
        <w:numPr>
          <w:ilvl w:val="0"/>
          <w:numId w:val="1012"/>
        </w:numPr>
        <w:pStyle w:val="Compact"/>
      </w:pPr>
      <w:r>
        <w:t xml:space="preserve">DNS;</w:t>
      </w:r>
    </w:p>
    <w:p>
      <w:pPr>
        <w:numPr>
          <w:ilvl w:val="0"/>
          <w:numId w:val="1012"/>
        </w:numPr>
        <w:pStyle w:val="Compact"/>
      </w:pPr>
      <w:r>
        <w:t xml:space="preserve">identidad/MFA;</w:t>
      </w:r>
    </w:p>
    <w:p>
      <w:pPr>
        <w:numPr>
          <w:ilvl w:val="0"/>
          <w:numId w:val="1012"/>
        </w:numPr>
        <w:pStyle w:val="Compact"/>
      </w:pPr>
      <w:r>
        <w:t xml:space="preserve">configuración del cliente;</w:t>
      </w:r>
    </w:p>
    <w:p>
      <w:pPr>
        <w:numPr>
          <w:ilvl w:val="0"/>
          <w:numId w:val="1012"/>
        </w:numPr>
        <w:pStyle w:val="Compact"/>
      </w:pPr>
      <w:r>
        <w:t xml:space="preserve">certificados o credenciales;</w:t>
      </w:r>
    </w:p>
    <w:p>
      <w:pPr>
        <w:numPr>
          <w:ilvl w:val="0"/>
          <w:numId w:val="1012"/>
        </w:numPr>
        <w:pStyle w:val="Compact"/>
      </w:pPr>
      <w:r>
        <w:t xml:space="preserve">política de split tunnel/full tunnel;</w:t>
      </w:r>
    </w:p>
    <w:p>
      <w:pPr>
        <w:numPr>
          <w:ilvl w:val="0"/>
          <w:numId w:val="1012"/>
        </w:numPr>
        <w:pStyle w:val="Compact"/>
      </w:pPr>
      <w:r>
        <w:t xml:space="preserve">rutas;</w:t>
      </w:r>
    </w:p>
    <w:p>
      <w:pPr>
        <w:numPr>
          <w:ilvl w:val="0"/>
          <w:numId w:val="1012"/>
        </w:numPr>
        <w:pStyle w:val="Compact"/>
      </w:pPr>
      <w:r>
        <w:t xml:space="preserve">postura del endpoint;</w:t>
      </w:r>
    </w:p>
    <w:p>
      <w:pPr>
        <w:numPr>
          <w:ilvl w:val="0"/>
          <w:numId w:val="1012"/>
        </w:numPr>
        <w:pStyle w:val="Compact"/>
      </w:pPr>
      <w:r>
        <w:t xml:space="preserve">política de firewall;</w:t>
      </w:r>
    </w:p>
    <w:p>
      <w:pPr>
        <w:numPr>
          <w:ilvl w:val="0"/>
          <w:numId w:val="1012"/>
        </w:numPr>
        <w:pStyle w:val="Compact"/>
      </w:pPr>
      <w:r>
        <w:t xml:space="preserve">licenciamiento/capacidad;</w:t>
      </w:r>
    </w:p>
    <w:p>
      <w:pPr>
        <w:numPr>
          <w:ilvl w:val="0"/>
          <w:numId w:val="1012"/>
        </w:numPr>
        <w:pStyle w:val="Compact"/>
      </w:pPr>
      <w:r>
        <w:t xml:space="preserve">caída del servicio.</w:t>
      </w:r>
    </w:p>
    <w:p>
      <w:pPr>
        <w:pStyle w:val="FirstParagraph"/>
      </w:pPr>
      <w:r>
        <w:t xml:space="preserve">Respete la privacidad durante sesiones remotas. Explique qué hará, use herramientas aprobadas, limite el acceso a la tarea y cierre la sesión al terminar.</w:t>
      </w:r>
    </w:p>
    <w:bookmarkEnd w:id="37"/>
    <w:bookmarkStart w:id="38" w:name="rendimiento-y-disponibilidad"/>
    <w:p>
      <w:pPr>
        <w:pStyle w:val="Heading2"/>
      </w:pPr>
      <w:r>
        <w:t xml:space="preserve">Rendimiento y disponibilidad</w:t>
      </w:r>
    </w:p>
    <w:p>
      <w:pPr>
        <w:pStyle w:val="FirstParagraph"/>
      </w:pPr>
      <w:r>
        <w:t xml:space="preserve">Métricas útiles incluyen:</w:t>
      </w:r>
    </w:p>
    <w:p>
      <w:pPr>
        <w:numPr>
          <w:ilvl w:val="0"/>
          <w:numId w:val="1013"/>
        </w:numPr>
        <w:pStyle w:val="Compact"/>
      </w:pPr>
      <w:r>
        <w:t xml:space="preserve">latencia;</w:t>
      </w:r>
    </w:p>
    <w:p>
      <w:pPr>
        <w:numPr>
          <w:ilvl w:val="0"/>
          <w:numId w:val="1013"/>
        </w:numPr>
        <w:pStyle w:val="Compact"/>
      </w:pPr>
      <w:r>
        <w:t xml:space="preserve">pérdida de paquetes;</w:t>
      </w:r>
    </w:p>
    <w:p>
      <w:pPr>
        <w:numPr>
          <w:ilvl w:val="0"/>
          <w:numId w:val="1013"/>
        </w:numPr>
        <w:pStyle w:val="Compact"/>
      </w:pPr>
      <w:r>
        <w:t xml:space="preserve">jitter;</w:t>
      </w:r>
    </w:p>
    <w:p>
      <w:pPr>
        <w:numPr>
          <w:ilvl w:val="0"/>
          <w:numId w:val="1013"/>
        </w:numPr>
        <w:pStyle w:val="Compact"/>
      </w:pPr>
      <w:r>
        <w:t xml:space="preserve">throughput;</w:t>
      </w:r>
    </w:p>
    <w:p>
      <w:pPr>
        <w:numPr>
          <w:ilvl w:val="0"/>
          <w:numId w:val="1013"/>
        </w:numPr>
        <w:pStyle w:val="Compact"/>
      </w:pPr>
      <w:r>
        <w:t xml:space="preserve">utilización de ancho de banda;</w:t>
      </w:r>
    </w:p>
    <w:p>
      <w:pPr>
        <w:numPr>
          <w:ilvl w:val="0"/>
          <w:numId w:val="1013"/>
        </w:numPr>
        <w:pStyle w:val="Compact"/>
      </w:pPr>
      <w:r>
        <w:t xml:space="preserve">errores/discards de interfaz;</w:t>
      </w:r>
    </w:p>
    <w:p>
      <w:pPr>
        <w:numPr>
          <w:ilvl w:val="0"/>
          <w:numId w:val="1013"/>
        </w:numPr>
        <w:pStyle w:val="Compact"/>
      </w:pPr>
      <w:r>
        <w:t xml:space="preserve">retransmisiones;</w:t>
      </w:r>
    </w:p>
    <w:p>
      <w:pPr>
        <w:numPr>
          <w:ilvl w:val="0"/>
          <w:numId w:val="1013"/>
        </w:numPr>
        <w:pStyle w:val="Compact"/>
      </w:pPr>
      <w:r>
        <w:t xml:space="preserve">disponibilidad y duración de interrupciones.</w:t>
      </w:r>
    </w:p>
    <w:p>
      <w:pPr>
        <w:pStyle w:val="FirstParagraph"/>
      </w:pPr>
      <w:r>
        <w:t xml:space="preserve">Una aplicación lenta puede deberse a red, servidor, cliente, almacenamiento, autenticación, DNS, código de aplicación o una dependencia externa. Correlacione evidencia antes de asignar causa.</w:t>
      </w:r>
    </w:p>
    <w:bookmarkEnd w:id="38"/>
    <w:bookmarkStart w:id="39" w:name="monitoreo-registros-y-observabilidad"/>
    <w:p>
      <w:pPr>
        <w:pStyle w:val="Heading2"/>
      </w:pPr>
      <w:r>
        <w:t xml:space="preserve">Monitoreo, registros y observabilidad</w:t>
      </w:r>
    </w:p>
    <w:p>
      <w:pPr>
        <w:pStyle w:val="FirstParagraph"/>
      </w:pPr>
      <w:r>
        <w:t xml:space="preserve">El soporte puede utilizar:</w:t>
      </w:r>
    </w:p>
    <w:p>
      <w:pPr>
        <w:numPr>
          <w:ilvl w:val="0"/>
          <w:numId w:val="1014"/>
        </w:numPr>
        <w:pStyle w:val="Compact"/>
      </w:pPr>
      <w:r>
        <w:t xml:space="preserve">monitoreo de interfaces/dispositivos;</w:t>
      </w:r>
    </w:p>
    <w:p>
      <w:pPr>
        <w:numPr>
          <w:ilvl w:val="0"/>
          <w:numId w:val="1014"/>
        </w:numPr>
        <w:pStyle w:val="Compact"/>
      </w:pPr>
      <w:r>
        <w:t xml:space="preserve">syslog y registros de eventos;</w:t>
      </w:r>
    </w:p>
    <w:p>
      <w:pPr>
        <w:numPr>
          <w:ilvl w:val="0"/>
          <w:numId w:val="1014"/>
        </w:numPr>
        <w:pStyle w:val="Compact"/>
      </w:pPr>
      <w:r>
        <w:t xml:space="preserve">SNMP u otra telemetría;</w:t>
      </w:r>
    </w:p>
    <w:p>
      <w:pPr>
        <w:numPr>
          <w:ilvl w:val="0"/>
          <w:numId w:val="1014"/>
        </w:numPr>
        <w:pStyle w:val="Compact"/>
      </w:pPr>
      <w:r>
        <w:t xml:space="preserve">datos de flujo;</w:t>
      </w:r>
    </w:p>
    <w:p>
      <w:pPr>
        <w:numPr>
          <w:ilvl w:val="0"/>
          <w:numId w:val="1014"/>
        </w:numPr>
        <w:pStyle w:val="Compact"/>
      </w:pPr>
      <w:r>
        <w:t xml:space="preserve">capturas de paquetes cuando estén autorizadas;</w:t>
      </w:r>
    </w:p>
    <w:p>
      <w:pPr>
        <w:numPr>
          <w:ilvl w:val="0"/>
          <w:numId w:val="1014"/>
        </w:numPr>
        <w:pStyle w:val="Compact"/>
      </w:pPr>
      <w:r>
        <w:t xml:space="preserve">dashboards de rendimiento;</w:t>
      </w:r>
    </w:p>
    <w:p>
      <w:pPr>
        <w:numPr>
          <w:ilvl w:val="0"/>
          <w:numId w:val="1014"/>
        </w:numPr>
        <w:pStyle w:val="Compact"/>
      </w:pPr>
      <w:r>
        <w:t xml:space="preserve">alertas;</w:t>
      </w:r>
    </w:p>
    <w:p>
      <w:pPr>
        <w:numPr>
          <w:ilvl w:val="0"/>
          <w:numId w:val="1014"/>
        </w:numPr>
        <w:pStyle w:val="Compact"/>
      </w:pPr>
      <w:r>
        <w:t xml:space="preserve">sistemas de historial/configuración;</w:t>
      </w:r>
    </w:p>
    <w:p>
      <w:pPr>
        <w:numPr>
          <w:ilvl w:val="0"/>
          <w:numId w:val="1014"/>
        </w:numPr>
        <w:pStyle w:val="Compact"/>
      </w:pPr>
      <w:r>
        <w:t xml:space="preserve">correlación de tickets/eventos.</w:t>
      </w:r>
    </w:p>
    <w:p>
      <w:pPr>
        <w:pStyle w:val="FirstParagraph"/>
      </w:pPr>
      <w:r>
        <w:t xml:space="preserve">Preserve el contexto temporal y la identidad de la fuente. Si se sospecha un incidente de seguridad, siga los procedimientos de preservación y escalamiento en vez de borrar o “limpiar” registros.</w:t>
      </w:r>
    </w:p>
    <w:bookmarkEnd w:id="39"/>
    <w:bookmarkStart w:id="40" w:name="redes-de-nube-e-híbridas"/>
    <w:p>
      <w:pPr>
        <w:pStyle w:val="Heading2"/>
      </w:pPr>
      <w:r>
        <w:t xml:space="preserve">Redes de nube e híbridas</w:t>
      </w:r>
    </w:p>
    <w:p>
      <w:pPr>
        <w:pStyle w:val="FirstParagraph"/>
      </w:pPr>
      <w:r>
        <w:t xml:space="preserve">El soporte moderno toca cada vez más:</w:t>
      </w:r>
    </w:p>
    <w:p>
      <w:pPr>
        <w:numPr>
          <w:ilvl w:val="0"/>
          <w:numId w:val="1015"/>
        </w:numPr>
        <w:pStyle w:val="Compact"/>
      </w:pPr>
      <w:r>
        <w:t xml:space="preserve">conceptos de redes virtuales/VPC/VNet;</w:t>
      </w:r>
    </w:p>
    <w:p>
      <w:pPr>
        <w:numPr>
          <w:ilvl w:val="0"/>
          <w:numId w:val="1015"/>
        </w:numPr>
        <w:pStyle w:val="Compact"/>
      </w:pPr>
      <w:r>
        <w:t xml:space="preserve">subredes y tablas de rutas;</w:t>
      </w:r>
    </w:p>
    <w:p>
      <w:pPr>
        <w:numPr>
          <w:ilvl w:val="0"/>
          <w:numId w:val="1015"/>
        </w:numPr>
        <w:pStyle w:val="Compact"/>
      </w:pPr>
      <w:r>
        <w:t xml:space="preserve">grupos de seguridad/reglas de firewall;</w:t>
      </w:r>
    </w:p>
    <w:p>
      <w:pPr>
        <w:numPr>
          <w:ilvl w:val="0"/>
          <w:numId w:val="1015"/>
        </w:numPr>
        <w:pStyle w:val="Compact"/>
      </w:pPr>
      <w:r>
        <w:t xml:space="preserve">VPN y conectividad dedicada;</w:t>
      </w:r>
    </w:p>
    <w:p>
      <w:pPr>
        <w:numPr>
          <w:ilvl w:val="0"/>
          <w:numId w:val="1015"/>
        </w:numPr>
        <w:pStyle w:val="Compact"/>
      </w:pPr>
      <w:r>
        <w:t xml:space="preserve">balanceadores;</w:t>
      </w:r>
    </w:p>
    <w:p>
      <w:pPr>
        <w:numPr>
          <w:ilvl w:val="0"/>
          <w:numId w:val="1015"/>
        </w:numPr>
        <w:pStyle w:val="Compact"/>
      </w:pPr>
      <w:r>
        <w:t xml:space="preserve">DNS;</w:t>
      </w:r>
    </w:p>
    <w:p>
      <w:pPr>
        <w:numPr>
          <w:ilvl w:val="0"/>
          <w:numId w:val="1015"/>
        </w:numPr>
        <w:pStyle w:val="Compact"/>
      </w:pPr>
      <w:r>
        <w:t xml:space="preserve">identidad y acceso;</w:t>
      </w:r>
    </w:p>
    <w:p>
      <w:pPr>
        <w:numPr>
          <w:ilvl w:val="0"/>
          <w:numId w:val="1015"/>
        </w:numPr>
        <w:pStyle w:val="Compact"/>
      </w:pPr>
      <w:r>
        <w:t xml:space="preserve">monitoreo de nube;</w:t>
      </w:r>
    </w:p>
    <w:p>
      <w:pPr>
        <w:numPr>
          <w:ilvl w:val="0"/>
          <w:numId w:val="1015"/>
        </w:numPr>
        <w:pStyle w:val="Compact"/>
      </w:pPr>
      <w:r>
        <w:t xml:space="preserve">conectividad híbrida entre nube y redes locales.</w:t>
      </w:r>
    </w:p>
    <w:p>
      <w:pPr>
        <w:pStyle w:val="FirstParagraph"/>
      </w:pPr>
      <w:r>
        <w:t xml:space="preserve">Las ofertas actuales en O*NET incluyen Microsoft Azure como señal tecnológica. Aprenda conceptos transferibles de redes en nube en lugar de asumir que un solo proveedor es universal.</w:t>
      </w:r>
    </w:p>
    <w:bookmarkEnd w:id="40"/>
    <w:bookmarkStart w:id="41" w:name="Xb199f560353a71682760efed0cc7e5fb4dce322"/>
    <w:p>
      <w:pPr>
        <w:pStyle w:val="Heading2"/>
      </w:pPr>
      <w:r>
        <w:t xml:space="preserve">Control de configuración, respaldo y recuperación</w:t>
      </w:r>
    </w:p>
    <w:p>
      <w:pPr>
        <w:pStyle w:val="FirstParagraph"/>
      </w:pPr>
      <w:r>
        <w:t xml:space="preserve">Antes de un cambio autorizado en producción, conozca:</w:t>
      </w:r>
    </w:p>
    <w:p>
      <w:pPr>
        <w:numPr>
          <w:ilvl w:val="0"/>
          <w:numId w:val="1016"/>
        </w:numPr>
        <w:pStyle w:val="Compact"/>
      </w:pPr>
      <w:r>
        <w:t xml:space="preserve">qué se cambiará;</w:t>
      </w:r>
    </w:p>
    <w:p>
      <w:pPr>
        <w:numPr>
          <w:ilvl w:val="0"/>
          <w:numId w:val="1016"/>
        </w:numPr>
        <w:pStyle w:val="Compact"/>
      </w:pPr>
      <w:r>
        <w:t xml:space="preserve">por qué;</w:t>
      </w:r>
    </w:p>
    <w:p>
      <w:pPr>
        <w:numPr>
          <w:ilvl w:val="0"/>
          <w:numId w:val="1016"/>
        </w:numPr>
        <w:pStyle w:val="Compact"/>
      </w:pPr>
      <w:r>
        <w:t xml:space="preserve">quién lo aprobó;</w:t>
      </w:r>
    </w:p>
    <w:p>
      <w:pPr>
        <w:numPr>
          <w:ilvl w:val="0"/>
          <w:numId w:val="1016"/>
        </w:numPr>
        <w:pStyle w:val="Compact"/>
      </w:pPr>
      <w:r>
        <w:t xml:space="preserve">dependencias;</w:t>
      </w:r>
    </w:p>
    <w:p>
      <w:pPr>
        <w:numPr>
          <w:ilvl w:val="0"/>
          <w:numId w:val="1016"/>
        </w:numPr>
        <w:pStyle w:val="Compact"/>
      </w:pPr>
      <w:r>
        <w:t xml:space="preserve">pasos de validación;</w:t>
      </w:r>
    </w:p>
    <w:p>
      <w:pPr>
        <w:numPr>
          <w:ilvl w:val="0"/>
          <w:numId w:val="1016"/>
        </w:numPr>
        <w:pStyle w:val="Compact"/>
      </w:pPr>
      <w:r>
        <w:t xml:space="preserve">método de rollback;</w:t>
      </w:r>
    </w:p>
    <w:p>
      <w:pPr>
        <w:numPr>
          <w:ilvl w:val="0"/>
          <w:numId w:val="1016"/>
        </w:numPr>
        <w:pStyle w:val="Compact"/>
      </w:pPr>
      <w:r>
        <w:t xml:space="preserve">ventana de mantenimiento si aplica;</w:t>
      </w:r>
    </w:p>
    <w:p>
      <w:pPr>
        <w:numPr>
          <w:ilvl w:val="0"/>
          <w:numId w:val="1016"/>
        </w:numPr>
        <w:pStyle w:val="Compact"/>
      </w:pPr>
      <w:r>
        <w:t xml:space="preserve">cómo se registrará la configuración/evidencia.</w:t>
      </w:r>
    </w:p>
    <w:p>
      <w:pPr>
        <w:pStyle w:val="FirstParagraph"/>
      </w:pPr>
      <w:r>
        <w:t xml:space="preserve">Mantenga los respaldos requeridos y siga reglas de retención/seguridad. Un respaldo con credenciales o topología sensible debe protegerse adecuadamente.</w:t>
      </w:r>
    </w:p>
    <w:bookmarkEnd w:id="41"/>
    <w:bookmarkStart w:id="42" w:name="gestión-de-cambios"/>
    <w:p>
      <w:pPr>
        <w:pStyle w:val="Heading2"/>
      </w:pPr>
      <w:r>
        <w:t xml:space="preserve">Gestión de cambios</w:t>
      </w:r>
    </w:p>
    <w:p>
      <w:pPr>
        <w:pStyle w:val="FirstParagraph"/>
      </w:pPr>
      <w:r>
        <w:t xml:space="preserve">Un buen registro de cambio incluye:</w:t>
      </w:r>
    </w:p>
    <w:p>
      <w:pPr>
        <w:numPr>
          <w:ilvl w:val="0"/>
          <w:numId w:val="1017"/>
        </w:numPr>
        <w:pStyle w:val="Compact"/>
      </w:pPr>
      <w:r>
        <w:t xml:space="preserve">cambio solicitado;</w:t>
      </w:r>
    </w:p>
    <w:p>
      <w:pPr>
        <w:numPr>
          <w:ilvl w:val="0"/>
          <w:numId w:val="1017"/>
        </w:numPr>
        <w:pStyle w:val="Compact"/>
      </w:pPr>
      <w:r>
        <w:t xml:space="preserve">dispositivos/servicios afectados;</w:t>
      </w:r>
    </w:p>
    <w:p>
      <w:pPr>
        <w:numPr>
          <w:ilvl w:val="0"/>
          <w:numId w:val="1017"/>
        </w:numPr>
        <w:pStyle w:val="Compact"/>
      </w:pPr>
      <w:r>
        <w:t xml:space="preserve">riesgo e impacto;</w:t>
      </w:r>
    </w:p>
    <w:p>
      <w:pPr>
        <w:numPr>
          <w:ilvl w:val="0"/>
          <w:numId w:val="1017"/>
        </w:numPr>
        <w:pStyle w:val="Compact"/>
      </w:pPr>
      <w:r>
        <w:t xml:space="preserve">aprobación;</w:t>
      </w:r>
    </w:p>
    <w:p>
      <w:pPr>
        <w:numPr>
          <w:ilvl w:val="0"/>
          <w:numId w:val="1017"/>
        </w:numPr>
        <w:pStyle w:val="Compact"/>
      </w:pPr>
      <w:r>
        <w:t xml:space="preserve">plan de implementación;</w:t>
      </w:r>
    </w:p>
    <w:p>
      <w:pPr>
        <w:numPr>
          <w:ilvl w:val="0"/>
          <w:numId w:val="1017"/>
        </w:numPr>
        <w:pStyle w:val="Compact"/>
      </w:pPr>
      <w:r>
        <w:t xml:space="preserve">plan de prueba/validación;</w:t>
      </w:r>
    </w:p>
    <w:p>
      <w:pPr>
        <w:numPr>
          <w:ilvl w:val="0"/>
          <w:numId w:val="1017"/>
        </w:numPr>
        <w:pStyle w:val="Compact"/>
      </w:pPr>
      <w:r>
        <w:t xml:space="preserve">plan de rollback;</w:t>
      </w:r>
    </w:p>
    <w:p>
      <w:pPr>
        <w:numPr>
          <w:ilvl w:val="0"/>
          <w:numId w:val="1017"/>
        </w:numPr>
        <w:pStyle w:val="Compact"/>
      </w:pPr>
      <w:r>
        <w:t xml:space="preserve">resultado real;</w:t>
      </w:r>
    </w:p>
    <w:p>
      <w:pPr>
        <w:numPr>
          <w:ilvl w:val="0"/>
          <w:numId w:val="1017"/>
        </w:numPr>
        <w:pStyle w:val="Compact"/>
      </w:pPr>
      <w:r>
        <w:t xml:space="preserve">vínculo al incidente/problema si aplica.</w:t>
      </w:r>
    </w:p>
    <w:p>
      <w:pPr>
        <w:pStyle w:val="FirstParagraph"/>
      </w:pPr>
      <w:r>
        <w:t xml:space="preserve">Los cambios de emergencia pueden usar un proceso más rápido, pero “emergencia” no significa sin documentación o autoridad ilimitada.</w:t>
      </w:r>
    </w:p>
    <w:bookmarkEnd w:id="42"/>
    <w:bookmarkStart w:id="43" w:name="calidad-de-tickets-y-documentación"/>
    <w:p>
      <w:pPr>
        <w:pStyle w:val="Heading2"/>
      </w:pPr>
      <w:r>
        <w:t xml:space="preserve">Calidad de tickets y documentación</w:t>
      </w:r>
    </w:p>
    <w:p>
      <w:pPr>
        <w:pStyle w:val="FirstParagraph"/>
      </w:pPr>
      <w:r>
        <w:t xml:space="preserve">Un buen ticket debe permitir reproducir el trabajo. Registre:</w:t>
      </w:r>
    </w:p>
    <w:p>
      <w:pPr>
        <w:numPr>
          <w:ilvl w:val="0"/>
          <w:numId w:val="1018"/>
        </w:numPr>
        <w:pStyle w:val="Compact"/>
      </w:pPr>
      <w:r>
        <w:t xml:space="preserve">quién/qué está afectado;</w:t>
      </w:r>
    </w:p>
    <w:p>
      <w:pPr>
        <w:numPr>
          <w:ilvl w:val="0"/>
          <w:numId w:val="1018"/>
        </w:numPr>
        <w:pStyle w:val="Compact"/>
      </w:pPr>
      <w:r>
        <w:t xml:space="preserve">ubicación/sede;</w:t>
      </w:r>
    </w:p>
    <w:p>
      <w:pPr>
        <w:numPr>
          <w:ilvl w:val="0"/>
          <w:numId w:val="1018"/>
        </w:numPr>
        <w:pStyle w:val="Compact"/>
      </w:pPr>
      <w:r>
        <w:t xml:space="preserve">identificadores de dispositivos/servicios;</w:t>
      </w:r>
    </w:p>
    <w:p>
      <w:pPr>
        <w:numPr>
          <w:ilvl w:val="0"/>
          <w:numId w:val="1018"/>
        </w:numPr>
        <w:pStyle w:val="Compact"/>
      </w:pPr>
      <w:r>
        <w:t xml:space="preserve">síntomas y horas;</w:t>
      </w:r>
    </w:p>
    <w:p>
      <w:pPr>
        <w:numPr>
          <w:ilvl w:val="0"/>
          <w:numId w:val="1018"/>
        </w:numPr>
        <w:pStyle w:val="Compact"/>
      </w:pPr>
      <w:r>
        <w:t xml:space="preserve">impacto al negocio;</w:t>
      </w:r>
    </w:p>
    <w:p>
      <w:pPr>
        <w:numPr>
          <w:ilvl w:val="0"/>
          <w:numId w:val="1018"/>
        </w:numPr>
        <w:pStyle w:val="Compact"/>
      </w:pPr>
      <w:r>
        <w:t xml:space="preserve">diagnósticos ejecutados;</w:t>
      </w:r>
    </w:p>
    <w:p>
      <w:pPr>
        <w:numPr>
          <w:ilvl w:val="0"/>
          <w:numId w:val="1018"/>
        </w:numPr>
        <w:pStyle w:val="Compact"/>
      </w:pPr>
      <w:r>
        <w:t xml:space="preserve">evidencia/resultados;</w:t>
      </w:r>
    </w:p>
    <w:p>
      <w:pPr>
        <w:numPr>
          <w:ilvl w:val="0"/>
          <w:numId w:val="1018"/>
        </w:numPr>
        <w:pStyle w:val="Compact"/>
      </w:pPr>
      <w:r>
        <w:t xml:space="preserve">cambios realizados;</w:t>
      </w:r>
    </w:p>
    <w:p>
      <w:pPr>
        <w:numPr>
          <w:ilvl w:val="0"/>
          <w:numId w:val="1018"/>
        </w:numPr>
        <w:pStyle w:val="Compact"/>
      </w:pPr>
      <w:r>
        <w:t xml:space="preserve">validación;</w:t>
      </w:r>
    </w:p>
    <w:p>
      <w:pPr>
        <w:numPr>
          <w:ilvl w:val="0"/>
          <w:numId w:val="1018"/>
        </w:numPr>
        <w:pStyle w:val="Compact"/>
      </w:pPr>
      <w:r>
        <w:t xml:space="preserve">escalamiento/próxima acción.</w:t>
      </w:r>
    </w:p>
    <w:p>
      <w:pPr>
        <w:pStyle w:val="FirstParagraph"/>
      </w:pPr>
      <w:r>
        <w:t xml:space="preserve">Evite cierres vagos como “red arreglada”. Explique qué estaba mal y qué confirmó la restauración.</w:t>
      </w:r>
    </w:p>
    <w:bookmarkEnd w:id="43"/>
    <w:bookmarkStart w:id="44" w:name="ciberseguridad-en-soporte-de-redes"/>
    <w:p>
      <w:pPr>
        <w:pStyle w:val="Heading2"/>
      </w:pPr>
      <w:r>
        <w:t xml:space="preserve">Ciberseguridad en soporte de redes</w:t>
      </w:r>
    </w:p>
    <w:p>
      <w:pPr>
        <w:pStyle w:val="FirstParagraph"/>
      </w:pPr>
      <w:r>
        <w:t xml:space="preserve">O*NET incluye explícitamente configurar ajustes/permisos de seguridad y analizar brechas o intentos de brecha entre las tareas de la ocupación.</w:t>
      </w:r>
    </w:p>
    <w:p>
      <w:pPr>
        <w:pStyle w:val="BodyText"/>
      </w:pPr>
      <w:r>
        <w:t xml:space="preserve">Buenos hábitos de seguridad incluyen:</w:t>
      </w:r>
    </w:p>
    <w:p>
      <w:pPr>
        <w:numPr>
          <w:ilvl w:val="0"/>
          <w:numId w:val="1019"/>
        </w:numPr>
        <w:pStyle w:val="Compact"/>
      </w:pPr>
      <w:r>
        <w:t xml:space="preserve">mínimo privilegio;</w:t>
      </w:r>
    </w:p>
    <w:p>
      <w:pPr>
        <w:numPr>
          <w:ilvl w:val="0"/>
          <w:numId w:val="1019"/>
        </w:numPr>
        <w:pStyle w:val="Compact"/>
      </w:pPr>
      <w:r>
        <w:t xml:space="preserve">cuentas nominativas;</w:t>
      </w:r>
    </w:p>
    <w:p>
      <w:pPr>
        <w:numPr>
          <w:ilvl w:val="0"/>
          <w:numId w:val="1019"/>
        </w:numPr>
        <w:pStyle w:val="Compact"/>
      </w:pPr>
      <w:r>
        <w:t xml:space="preserve">MFA cuando corresponda;</w:t>
      </w:r>
    </w:p>
    <w:p>
      <w:pPr>
        <w:numPr>
          <w:ilvl w:val="0"/>
          <w:numId w:val="1019"/>
        </w:numPr>
        <w:pStyle w:val="Compact"/>
      </w:pPr>
      <w:r>
        <w:t xml:space="preserve">manejo seguro de credenciales;</w:t>
      </w:r>
    </w:p>
    <w:p>
      <w:pPr>
        <w:numPr>
          <w:ilvl w:val="0"/>
          <w:numId w:val="1019"/>
        </w:numPr>
        <w:pStyle w:val="Compact"/>
      </w:pPr>
      <w:r>
        <w:t xml:space="preserve">cambios autorizados;</w:t>
      </w:r>
    </w:p>
    <w:p>
      <w:pPr>
        <w:numPr>
          <w:ilvl w:val="0"/>
          <w:numId w:val="1019"/>
        </w:numPr>
        <w:pStyle w:val="Compact"/>
      </w:pPr>
      <w:r>
        <w:t xml:space="preserve">procesos de parcheo/actualización;</w:t>
      </w:r>
    </w:p>
    <w:p>
      <w:pPr>
        <w:numPr>
          <w:ilvl w:val="0"/>
          <w:numId w:val="1019"/>
        </w:numPr>
        <w:pStyle w:val="Compact"/>
      </w:pPr>
      <w:r>
        <w:t xml:space="preserve">conciencia sobre phishing e ingeniería social;</w:t>
      </w:r>
    </w:p>
    <w:p>
      <w:pPr>
        <w:numPr>
          <w:ilvl w:val="0"/>
          <w:numId w:val="1019"/>
        </w:numPr>
        <w:pStyle w:val="Compact"/>
      </w:pPr>
      <w:r>
        <w:t xml:space="preserve">soporte remoto seguro;</w:t>
      </w:r>
    </w:p>
    <w:p>
      <w:pPr>
        <w:numPr>
          <w:ilvl w:val="0"/>
          <w:numId w:val="1019"/>
        </w:numPr>
        <w:pStyle w:val="Compact"/>
      </w:pPr>
      <w:r>
        <w:t xml:space="preserve">protección de diagramas/configuraciones;</w:t>
      </w:r>
    </w:p>
    <w:p>
      <w:pPr>
        <w:numPr>
          <w:ilvl w:val="0"/>
          <w:numId w:val="1019"/>
        </w:numPr>
        <w:pStyle w:val="Compact"/>
      </w:pPr>
      <w:r>
        <w:t xml:space="preserve">escalamiento de tráfico o acceso sospechoso;</w:t>
      </w:r>
    </w:p>
    <w:p>
      <w:pPr>
        <w:numPr>
          <w:ilvl w:val="0"/>
          <w:numId w:val="1019"/>
        </w:numPr>
        <w:pStyle w:val="Compact"/>
      </w:pPr>
      <w:r>
        <w:t xml:space="preserve">preservación de registros/evidencia.</w:t>
      </w:r>
    </w:p>
    <w:p>
      <w:pPr>
        <w:pStyle w:val="FirstParagraph"/>
      </w:pPr>
      <w:r>
        <w:t xml:space="preserve">Un técnico no debe declarar de forma independiente que un incidente está contenido ni realizar pruebas ofensivas salvo que ese rol y alcance estén formalmente asignados.</w:t>
      </w:r>
    </w:p>
    <w:p>
      <w:pPr>
        <w:pStyle w:val="BodyText"/>
      </w:pPr>
      <w:r>
        <w:t xml:space="preserve">El material Secure Our World de CISA es útil para conciencia básica. Las políticas del empleador y los procedimientos autorizados de incidentes siguen siendo determinantes.</w:t>
      </w:r>
    </w:p>
    <w:bookmarkEnd w:id="44"/>
    <w:bookmarkStart w:id="45" w:name="ia-y-automatización-responsables"/>
    <w:p>
      <w:pPr>
        <w:pStyle w:val="Heading2"/>
      </w:pPr>
      <w:r>
        <w:t xml:space="preserve">IA y automatización responsables</w:t>
      </w:r>
    </w:p>
    <w:p>
      <w:pPr>
        <w:pStyle w:val="FirstParagraph"/>
      </w:pPr>
      <w:r>
        <w:t xml:space="preserve">La IA y automatización pueden ayudar con:</w:t>
      </w:r>
    </w:p>
    <w:p>
      <w:pPr>
        <w:numPr>
          <w:ilvl w:val="0"/>
          <w:numId w:val="1020"/>
        </w:numPr>
        <w:pStyle w:val="Compact"/>
      </w:pPr>
      <w:r>
        <w:t xml:space="preserve">resumir registros;</w:t>
      </w:r>
    </w:p>
    <w:p>
      <w:pPr>
        <w:numPr>
          <w:ilvl w:val="0"/>
          <w:numId w:val="1020"/>
        </w:numPr>
        <w:pStyle w:val="Compact"/>
      </w:pPr>
      <w:r>
        <w:t xml:space="preserve">redactar tickets/runbooks;</w:t>
      </w:r>
    </w:p>
    <w:p>
      <w:pPr>
        <w:numPr>
          <w:ilvl w:val="0"/>
          <w:numId w:val="1020"/>
        </w:numPr>
        <w:pStyle w:val="Compact"/>
      </w:pPr>
      <w:r>
        <w:t xml:space="preserve">explicar protocolos;</w:t>
      </w:r>
    </w:p>
    <w:p>
      <w:pPr>
        <w:numPr>
          <w:ilvl w:val="0"/>
          <w:numId w:val="1020"/>
        </w:numPr>
        <w:pStyle w:val="Compact"/>
      </w:pPr>
      <w:r>
        <w:t xml:space="preserve">generar ejemplos de laboratorio;</w:t>
      </w:r>
    </w:p>
    <w:p>
      <w:pPr>
        <w:numPr>
          <w:ilvl w:val="0"/>
          <w:numId w:val="1020"/>
        </w:numPr>
        <w:pStyle w:val="Compact"/>
      </w:pPr>
      <w:r>
        <w:t xml:space="preserve">proponer hipótesis de diagnóstico;</w:t>
      </w:r>
    </w:p>
    <w:p>
      <w:pPr>
        <w:numPr>
          <w:ilvl w:val="0"/>
          <w:numId w:val="1020"/>
        </w:numPr>
        <w:pStyle w:val="Compact"/>
      </w:pPr>
      <w:r>
        <w:t xml:space="preserve">formatear datos repetitivos;</w:t>
      </w:r>
    </w:p>
    <w:p>
      <w:pPr>
        <w:numPr>
          <w:ilvl w:val="0"/>
          <w:numId w:val="1020"/>
        </w:numPr>
        <w:pStyle w:val="Compact"/>
      </w:pPr>
      <w:r>
        <w:t xml:space="preserve">crear ejemplos de configuración no productivos.</w:t>
      </w:r>
    </w:p>
    <w:p>
      <w:pPr>
        <w:pStyle w:val="FirstParagraph"/>
      </w:pPr>
      <w:r>
        <w:t xml:space="preserve">Controles:</w:t>
      </w:r>
    </w:p>
    <w:p>
      <w:pPr>
        <w:numPr>
          <w:ilvl w:val="0"/>
          <w:numId w:val="1021"/>
        </w:numPr>
        <w:pStyle w:val="Compact"/>
      </w:pPr>
      <w:r>
        <w:t xml:space="preserve">use únicamente sistemas y clases de datos aprobados;</w:t>
      </w:r>
    </w:p>
    <w:p>
      <w:pPr>
        <w:numPr>
          <w:ilvl w:val="0"/>
          <w:numId w:val="1021"/>
        </w:numPr>
        <w:pStyle w:val="Compact"/>
      </w:pPr>
      <w:r>
        <w:t xml:space="preserve">nunca coloque credenciales, tokens, llaves o configuraciones protegidas en servicios públicos de IA no aprobados;</w:t>
      </w:r>
    </w:p>
    <w:p>
      <w:pPr>
        <w:numPr>
          <w:ilvl w:val="0"/>
          <w:numId w:val="1021"/>
        </w:numPr>
        <w:pStyle w:val="Compact"/>
      </w:pPr>
      <w:r>
        <w:t xml:space="preserve">verifique cada comando/configuración antes de usarlo;</w:t>
      </w:r>
    </w:p>
    <w:p>
      <w:pPr>
        <w:numPr>
          <w:ilvl w:val="0"/>
          <w:numId w:val="1021"/>
        </w:numPr>
        <w:pStyle w:val="Compact"/>
      </w:pPr>
      <w:r>
        <w:t xml:space="preserve">conserve trazabilidad de fuentes/registros;</w:t>
      </w:r>
    </w:p>
    <w:p>
      <w:pPr>
        <w:numPr>
          <w:ilvl w:val="0"/>
          <w:numId w:val="1021"/>
        </w:numPr>
        <w:pStyle w:val="Compact"/>
      </w:pPr>
      <w:r>
        <w:t xml:space="preserve">pruebe apropiadamente antes de producción;</w:t>
      </w:r>
    </w:p>
    <w:p>
      <w:pPr>
        <w:numPr>
          <w:ilvl w:val="0"/>
          <w:numId w:val="1021"/>
        </w:numPr>
        <w:pStyle w:val="Compact"/>
      </w:pPr>
      <w:r>
        <w:t xml:space="preserve">no permita cambios autónomos de producción sin autoridad aprobada;</w:t>
      </w:r>
    </w:p>
    <w:p>
      <w:pPr>
        <w:numPr>
          <w:ilvl w:val="0"/>
          <w:numId w:val="1021"/>
        </w:numPr>
        <w:pStyle w:val="Compact"/>
      </w:pPr>
      <w:r>
        <w:t xml:space="preserve">compare conclusiones de IA con evidencia observada;</w:t>
      </w:r>
    </w:p>
    <w:p>
      <w:pPr>
        <w:numPr>
          <w:ilvl w:val="0"/>
          <w:numId w:val="1021"/>
        </w:numPr>
        <w:pStyle w:val="Compact"/>
      </w:pPr>
      <w:r>
        <w:t xml:space="preserve">escale recomendaciones inseguras o inexplicables.</w:t>
      </w:r>
    </w:p>
    <w:p>
      <w:pPr>
        <w:pStyle w:val="FirstParagraph"/>
      </w:pPr>
      <w:r>
        <w:t xml:space="preserve">El AI Risk Management Framework de NIST y su Generative AI Profile son orientación voluntaria para gestión de riesgos. No sustituyen la gobernanza del empleador sobre redes, seguridad o cambios.</w:t>
      </w:r>
    </w:p>
    <w:bookmarkEnd w:id="45"/>
    <w:bookmarkStart w:id="46" w:name="accesibilidad-y-soporte-inclusivo"/>
    <w:p>
      <w:pPr>
        <w:pStyle w:val="Heading2"/>
      </w:pPr>
      <w:r>
        <w:t xml:space="preserve">Accesibilidad y soporte inclusivo</w:t>
      </w:r>
    </w:p>
    <w:p>
      <w:pPr>
        <w:pStyle w:val="FirstParagraph"/>
      </w:pPr>
      <w:r>
        <w:t xml:space="preserve">Los procesos de soporte deben ser utilizables por personas con discapacidad. Buenas prácticas incluyen:</w:t>
      </w:r>
    </w:p>
    <w:p>
      <w:pPr>
        <w:numPr>
          <w:ilvl w:val="0"/>
          <w:numId w:val="1022"/>
        </w:numPr>
        <w:pStyle w:val="Compact"/>
      </w:pPr>
      <w:r>
        <w:t xml:space="preserve">herramientas accesibles por teclado cuando sea posible;</w:t>
      </w:r>
    </w:p>
    <w:p>
      <w:pPr>
        <w:numPr>
          <w:ilvl w:val="0"/>
          <w:numId w:val="1022"/>
        </w:numPr>
        <w:pStyle w:val="Compact"/>
      </w:pPr>
      <w:r>
        <w:t xml:space="preserve">encabezados legibles y runbooks estructurados;</w:t>
      </w:r>
    </w:p>
    <w:p>
      <w:pPr>
        <w:numPr>
          <w:ilvl w:val="0"/>
          <w:numId w:val="1022"/>
        </w:numPr>
        <w:pStyle w:val="Compact"/>
      </w:pPr>
      <w:r>
        <w:t xml:space="preserve">etiquetas significativas;</w:t>
      </w:r>
    </w:p>
    <w:p>
      <w:pPr>
        <w:numPr>
          <w:ilvl w:val="0"/>
          <w:numId w:val="1022"/>
        </w:numPr>
        <w:pStyle w:val="Compact"/>
      </w:pPr>
      <w:r>
        <w:t xml:space="preserve">contraste suficiente;</w:t>
      </w:r>
    </w:p>
    <w:p>
      <w:pPr>
        <w:numPr>
          <w:ilvl w:val="0"/>
          <w:numId w:val="1022"/>
        </w:numPr>
        <w:pStyle w:val="Compact"/>
      </w:pPr>
      <w:r>
        <w:t xml:space="preserve">indicadores que no dependan solamente del color;</w:t>
      </w:r>
    </w:p>
    <w:p>
      <w:pPr>
        <w:numPr>
          <w:ilvl w:val="0"/>
          <w:numId w:val="1022"/>
        </w:numPr>
        <w:pStyle w:val="Compact"/>
      </w:pPr>
      <w:r>
        <w:t xml:space="preserve">alternativas de texto para diagramas/capturas cuando corresponda;</w:t>
      </w:r>
    </w:p>
    <w:p>
      <w:pPr>
        <w:numPr>
          <w:ilvl w:val="0"/>
          <w:numId w:val="1022"/>
        </w:numPr>
        <w:pStyle w:val="Compact"/>
      </w:pPr>
      <w:r>
        <w:t xml:space="preserve">alternativas de comunicación si el soporte solo por voz no es adecuado;</w:t>
      </w:r>
    </w:p>
    <w:p>
      <w:pPr>
        <w:numPr>
          <w:ilvl w:val="0"/>
          <w:numId w:val="1022"/>
        </w:numPr>
        <w:pStyle w:val="Compact"/>
      </w:pPr>
      <w:r>
        <w:t xml:space="preserve">documentos electrónicos accesibles.</w:t>
      </w:r>
    </w:p>
    <w:p>
      <w:pPr>
        <w:pStyle w:val="FirstParagraph"/>
      </w:pPr>
      <w:r>
        <w:t xml:space="preserve">Las verificaciones automáticas de accesibilidad no constituyen certificación legal completa.</w:t>
      </w:r>
    </w:p>
    <w:bookmarkEnd w:id="46"/>
    <w:bookmarkStart w:id="47" w:name="X1ba39deeebe2891afee17da88a8ea092cd4dd31"/>
    <w:p>
      <w:pPr>
        <w:pStyle w:val="Heading2"/>
      </w:pPr>
      <w:r>
        <w:t xml:space="preserve">Perfil actual de preparación en Estados Unidos</w:t>
      </w:r>
    </w:p>
    <w:p>
      <w:pPr>
        <w:pStyle w:val="FirstParagraph"/>
      </w:pPr>
      <w:r>
        <w:t xml:space="preserve">O*NET ubica</w:t>
      </w:r>
      <w:r>
        <w:t xml:space="preserve"> </w:t>
      </w:r>
      <w:r>
        <w:rPr>
          <w:bCs/>
          <w:b/>
        </w:rPr>
        <w:t xml:space="preserve">15-1231.00</w:t>
      </w:r>
      <w:r>
        <w:t xml:space="preserve"> </w:t>
      </w:r>
      <w:r>
        <w:t xml:space="preserve">en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 Indica que muchas ocupaciones de esta zona requieren un título universitario de cuatro años, aunque algunas no, y que puede ser necesaria experiencia considerable y formación vocacional o en el trabajo.</w:t>
      </w:r>
    </w:p>
    <w:p>
      <w:pPr>
        <w:pStyle w:val="BodyText"/>
      </w:pPr>
      <w:r>
        <w:t xml:space="preserve">Esto no significa que cada puesto de técnico de soporte de redes requiera licenciatura. Los empleadores varían. Las vías relevantes pueden incluir:</w:t>
      </w:r>
    </w:p>
    <w:p>
      <w:pPr>
        <w:numPr>
          <w:ilvl w:val="0"/>
          <w:numId w:val="1023"/>
        </w:numPr>
        <w:pStyle w:val="Compact"/>
      </w:pPr>
      <w:r>
        <w:t xml:space="preserve">experiencia en soporte de TI más práctica en redes;</w:t>
      </w:r>
    </w:p>
    <w:p>
      <w:pPr>
        <w:numPr>
          <w:ilvl w:val="0"/>
          <w:numId w:val="1023"/>
        </w:numPr>
        <w:pStyle w:val="Compact"/>
      </w:pPr>
      <w:r>
        <w:t xml:space="preserve">community college o educación técnica;</w:t>
      </w:r>
    </w:p>
    <w:p>
      <w:pPr>
        <w:numPr>
          <w:ilvl w:val="0"/>
          <w:numId w:val="1023"/>
        </w:numPr>
        <w:pStyle w:val="Compact"/>
      </w:pPr>
      <w:r>
        <w:t xml:space="preserve">programas de administración de redes;</w:t>
      </w:r>
    </w:p>
    <w:p>
      <w:pPr>
        <w:numPr>
          <w:ilvl w:val="0"/>
          <w:numId w:val="1023"/>
        </w:numPr>
        <w:pStyle w:val="Compact"/>
      </w:pPr>
      <w:r>
        <w:t xml:space="preserve">certificaciones cuando los empleadores las valoren;</w:t>
      </w:r>
    </w:p>
    <w:p>
      <w:pPr>
        <w:numPr>
          <w:ilvl w:val="0"/>
          <w:numId w:val="1023"/>
        </w:numPr>
        <w:pStyle w:val="Compact"/>
      </w:pPr>
      <w:r>
        <w:t xml:space="preserve">evidencia de laboratorio/portafolio;</w:t>
      </w:r>
    </w:p>
    <w:p>
      <w:pPr>
        <w:numPr>
          <w:ilvl w:val="0"/>
          <w:numId w:val="1023"/>
        </w:numPr>
        <w:pStyle w:val="Compact"/>
      </w:pPr>
      <w:r>
        <w:t xml:space="preserve">aprendizajes relacionados;</w:t>
      </w:r>
    </w:p>
    <w:p>
      <w:pPr>
        <w:numPr>
          <w:ilvl w:val="0"/>
          <w:numId w:val="1023"/>
        </w:numPr>
        <w:pStyle w:val="Compact"/>
      </w:pPr>
      <w:r>
        <w:t xml:space="preserve">formación técnica militar o del empleador.</w:t>
      </w:r>
    </w:p>
    <w:p>
      <w:pPr>
        <w:pStyle w:val="FirstParagraph"/>
      </w:pPr>
      <w:r>
        <w:t xml:space="preserve">O*NET enumera como títulos de aprendizaje aprobados</w:t>
      </w:r>
      <w:r>
        <w:t xml:space="preserve"> </w:t>
      </w:r>
      <w:r>
        <w:rPr>
          <w:bCs/>
          <w:b/>
        </w:rPr>
        <w:t xml:space="preserve">Cloud Support Specialist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Junior Cloud Engineer (Nof)</w:t>
      </w:r>
      <w:r>
        <w:t xml:space="preserve">. Un título aprobado no garantiza una vacante local.</w:t>
      </w:r>
    </w:p>
    <w:bookmarkEnd w:id="47"/>
    <w:bookmarkStart w:id="49" w:name="salarios-y-perspectiva-en-estados-unidos"/>
    <w:p>
      <w:pPr>
        <w:pStyle w:val="Heading2"/>
      </w:pPr>
      <w:r>
        <w:t xml:space="preserve">Salarios y perspectiva en Estados Unidos</w:t>
      </w:r>
    </w:p>
    <w:p>
      <w:pPr>
        <w:pStyle w:val="FirstParagraph"/>
      </w:pPr>
      <w:r>
        <w:t xml:space="preserve">Datos nacionales BLS 2025 mostrados por O*NET para 15-1231.00: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$58,240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$127,780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$61.43</w:t>
            </w:r>
          </w:p>
        </w:tc>
      </w:tr>
    </w:tbl>
    <w:p>
      <w:pPr>
        <w:pStyle w:val="BodyText"/>
      </w:pPr>
      <w:r>
        <w:t xml:space="preserve">Proyecciones 2024–2034:</w:t>
      </w:r>
    </w:p>
    <w:p>
      <w:pPr>
        <w:numPr>
          <w:ilvl w:val="0"/>
          <w:numId w:val="1024"/>
        </w:numPr>
        <w:pStyle w:val="Compact"/>
      </w:pPr>
      <w:r>
        <w:t xml:space="preserve">empleo 2024:</w:t>
      </w:r>
      <w:r>
        <w:t xml:space="preserve"> </w:t>
      </w:r>
      <w:r>
        <w:rPr>
          <w:bCs/>
          <w:b/>
        </w:rPr>
        <w:t xml:space="preserve">152,700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empleo proyectado 2034:</w:t>
      </w:r>
      <w:r>
        <w:t xml:space="preserve"> </w:t>
      </w:r>
      <w:r>
        <w:rPr>
          <w:bCs/>
          <w:b/>
        </w:rPr>
        <w:t xml:space="preserve">155,500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crecimiento proyectado:</w:t>
      </w:r>
      <w:r>
        <w:t xml:space="preserve"> </w:t>
      </w:r>
      <w:r>
        <w:rPr>
          <w:bCs/>
          <w:b/>
        </w:rPr>
        <w:t xml:space="preserve">2%</w:t>
      </w:r>
      <w:r>
        <w:t xml:space="preserve">, más lento que el promedio;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9,600 vacantes proyectadas por año</w:t>
      </w:r>
      <w:r>
        <w:t xml:space="preserve">.</w:t>
      </w:r>
    </w:p>
    <w:p>
      <w:pPr>
        <w:pStyle w:val="FirstParagraph"/>
      </w:pPr>
      <w:r>
        <w:t xml:space="preserve">Las vacantes anuales incluyen crecimiento y reemplazos y no garantizan oportunidades para una persona específica.</w:t>
      </w:r>
    </w:p>
    <w:bookmarkStart w:id="48" w:name="X40325f99b506918203961be8bc0dd2975c8568b"/>
    <w:p>
      <w:pPr>
        <w:pStyle w:val="Heading3"/>
      </w:pPr>
      <w:r>
        <w:t xml:space="preserve">Contexto actual no gubernamental de título relacionado</w:t>
      </w:r>
    </w:p>
    <w:p>
      <w:pPr>
        <w:pStyle w:val="FirstParagraph"/>
      </w:pPr>
      <w:r>
        <w:t xml:space="preserve">Indeed informó un salario base promedio de</w:t>
      </w:r>
      <w:r>
        <w:t xml:space="preserve"> </w:t>
      </w:r>
      <w:r>
        <w:rPr>
          <w:bCs/>
          <w:b/>
        </w:rPr>
        <w:t xml:space="preserve">$26.30 por hora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Network Technician</w:t>
      </w:r>
      <w:r>
        <w:t xml:space="preserve"> </w:t>
      </w:r>
      <w:r>
        <w:t xml:space="preserve">en Estados Unidos, con rango mostrado de</w:t>
      </w:r>
      <w:r>
        <w:t xml:space="preserve"> </w:t>
      </w:r>
      <w:r>
        <w:rPr>
          <w:bCs/>
          <w:b/>
        </w:rPr>
        <w:t xml:space="preserve">$17.46–$39.60 por hora</w:t>
      </w:r>
      <w:r>
        <w:t xml:space="preserve">, basado en aproximadamente</w:t>
      </w:r>
      <w:r>
        <w:t xml:space="preserve"> </w:t>
      </w:r>
      <w:r>
        <w:rPr>
          <w:bCs/>
          <w:b/>
        </w:rPr>
        <w:t xml:space="preserve">2.1k salarios</w:t>
      </w:r>
      <w:r>
        <w:t xml:space="preserve"> </w:t>
      </w:r>
      <w:r>
        <w:t xml:space="preserve">de publicaciones de los 36 meses anteriores, actualizado el</w:t>
      </w:r>
      <w:r>
        <w:t xml:space="preserve"> </w:t>
      </w:r>
      <w:r>
        <w:rPr>
          <w:bCs/>
          <w:b/>
        </w:rPr>
        <w:t xml:space="preserve">3 de agosto de 2026</w:t>
      </w:r>
      <w:r>
        <w:t xml:space="preserve">.</w:t>
      </w:r>
    </w:p>
    <w:p>
      <w:pPr>
        <w:pStyle w:val="BodyText"/>
      </w:pPr>
      <w:r>
        <w:t xml:space="preserve">Es una estimación no gubernamental para un título relacionado que puede representar una población más amplia o junior que O</w:t>
      </w:r>
      <w:r>
        <w:rPr>
          <w:iCs/>
          <w:i/>
        </w:rPr>
        <w:t xml:space="preserve">NET-SOC 15-1231.00. No la sustituya por la serie oficial BLS/O</w:t>
      </w:r>
      <w:r>
        <w:t xml:space="preserve">NET.</w:t>
      </w:r>
    </w:p>
    <w:bookmarkEnd w:id="48"/>
    <w:bookmarkEnd w:id="49"/>
    <w:bookmarkStart w:id="50" w:name="X16a96bef8d5558e4c3aa690d5ecd28f6d0fbec5"/>
    <w:p>
      <w:pPr>
        <w:pStyle w:val="Heading2"/>
      </w:pPr>
      <w:r>
        <w:t xml:space="preserve">Señales actuales de tecnologías en ofertas de EE. UU.</w:t>
      </w:r>
    </w:p>
    <w:p>
      <w:pPr>
        <w:pStyle w:val="FirstParagraph"/>
      </w:pPr>
      <w:r>
        <w:t xml:space="preserve">O*NET Hot Technologies, basado en publicaciones estadounidenses de 2025, incluye:</w:t>
      </w:r>
    </w:p>
    <w:p>
      <w:pPr>
        <w:numPr>
          <w:ilvl w:val="0"/>
          <w:numId w:val="1025"/>
        </w:numPr>
        <w:pStyle w:val="Compact"/>
      </w:pPr>
      <w:r>
        <w:t xml:space="preserve">Microsoft Office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Active Directory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ServiceNow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Linux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Apple macOS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Windows Server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Outlook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Excel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Windows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BGP</w:t>
      </w:r>
      <w:r>
        <w:t xml:space="preserve"> </w:t>
      </w:r>
      <w:r>
        <w:rPr>
          <w:bCs/>
          <w:b/>
        </w:rPr>
        <w:t xml:space="preserve">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Azure</w:t>
      </w:r>
      <w:r>
        <w:t xml:space="preserve"> </w:t>
      </w:r>
      <w:r>
        <w:rPr>
          <w:bCs/>
          <w:b/>
        </w:rPr>
        <w:t xml:space="preserve">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PowerShell</w:t>
      </w:r>
      <w:r>
        <w:t xml:space="preserve"> </w:t>
      </w:r>
      <w:r>
        <w:rPr>
          <w:bCs/>
          <w:b/>
        </w:rPr>
        <w:t xml:space="preserve">2%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1%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1%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Splunk Enterprise</w:t>
      </w:r>
      <w:r>
        <w:t xml:space="preserve"> </w:t>
      </w:r>
      <w:r>
        <w:rPr>
          <w:bCs/>
          <w:b/>
        </w:rPr>
        <w:t xml:space="preserve">1%</w:t>
      </w:r>
      <w:r>
        <w:t xml:space="preserve">.</w:t>
      </w:r>
    </w:p>
    <w:p>
      <w:pPr>
        <w:pStyle w:val="FirstParagraph"/>
      </w:pPr>
      <w:r>
        <w:t xml:space="preserve">Estas son señales de mercado, no una lista obligatoria para todos los empleos.</w:t>
      </w:r>
    </w:p>
    <w:bookmarkEnd w:id="50"/>
    <w:bookmarkStart w:id="51" w:name="ruta-en-canadá"/>
    <w:p>
      <w:pPr>
        <w:pStyle w:val="Heading2"/>
      </w:pPr>
      <w:r>
        <w:t xml:space="preserve">Ruta en Canadá</w:t>
      </w:r>
    </w:p>
    <w:p>
      <w:pPr>
        <w:pStyle w:val="FirstParagraph"/>
      </w:pPr>
      <w:r>
        <w:t xml:space="preserve">Canada Job Bank identifica</w:t>
      </w:r>
      <w:r>
        <w:t xml:space="preserve"> </w:t>
      </w:r>
      <w:r>
        <w:rPr>
          <w:bCs/>
          <w:b/>
        </w:rPr>
        <w:t xml:space="preserve">NOC 22220 — Computer network and web technicians</w:t>
      </w:r>
      <w:r>
        <w:t xml:space="preserve">. Los técnicos de redes establecen, operan, mantienen y coordinan LAN/WAN y hardware/software relacionado, y monitorean conectividad y rendimiento.</w:t>
      </w:r>
    </w:p>
    <w:p>
      <w:pPr>
        <w:pStyle w:val="BodyText"/>
      </w:pPr>
      <w:r>
        <w:t xml:space="preserve">Los requisitos actuales indican normalmente:</w:t>
      </w:r>
    </w:p>
    <w:p>
      <w:pPr>
        <w:numPr>
          <w:ilvl w:val="0"/>
          <w:numId w:val="1026"/>
        </w:numPr>
        <w:pStyle w:val="Compact"/>
      </w:pPr>
      <w:r>
        <w:t xml:space="preserve">completar un programa de college u otro programa en informática, administración de redes, tecnología web o campo relacionado;</w:t>
      </w:r>
    </w:p>
    <w:p>
      <w:pPr>
        <w:numPr>
          <w:ilvl w:val="0"/>
          <w:numId w:val="1026"/>
        </w:numPr>
        <w:pStyle w:val="Compact"/>
      </w:pPr>
      <w:r>
        <w:t xml:space="preserve">algunos empleadores pueden requerir formación/certificación del proveedor de software;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 requiere registro ante un organismo regulador en Saskatchewan</w:t>
      </w:r>
      <w:r>
        <w:t xml:space="preserve">.</w:t>
      </w:r>
    </w:p>
    <w:p>
      <w:pPr>
        <w:pStyle w:val="FirstParagraph"/>
      </w:pPr>
      <w:r>
        <w:t xml:space="preserve">No describa la ocupación como uniformemente no regulada en todo Canadá.</w:t>
      </w:r>
    </w:p>
    <w:p>
      <w:pPr>
        <w:pStyle w:val="BodyText"/>
      </w:pPr>
      <w:r>
        <w:t xml:space="preserve">Salarios nacionales actuales, actualizados el 19 de noviembre de 2025:</w:t>
      </w:r>
    </w:p>
    <w:p>
      <w:pPr>
        <w:numPr>
          <w:ilvl w:val="0"/>
          <w:numId w:val="1027"/>
        </w:numPr>
        <w:pStyle w:val="Compact"/>
      </w:pPr>
      <w:r>
        <w:t xml:space="preserve">bajo:</w:t>
      </w:r>
      <w:r>
        <w:t xml:space="preserve"> </w:t>
      </w:r>
      <w:r>
        <w:rPr>
          <w:bCs/>
          <w:b/>
        </w:rPr>
        <w:t xml:space="preserve">C$21.00/hora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C$36.00/hora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C$55.00/hora</w:t>
      </w:r>
      <w:r>
        <w:t xml:space="preserve">.</w:t>
      </w:r>
    </w:p>
    <w:p>
      <w:pPr>
        <w:pStyle w:val="FirstParagraph"/>
      </w:pPr>
      <w:r>
        <w:t xml:space="preserve">Las perspectivas cambian por provincia/territorio. Use la vista regional actual de Job Bank para la ubicación considerada.</w:t>
      </w:r>
    </w:p>
    <w:bookmarkEnd w:id="51"/>
    <w:bookmarkStart w:id="55" w:name="ruta-en-colombia"/>
    <w:p>
      <w:pPr>
        <w:pStyle w:val="Heading2"/>
      </w:pPr>
      <w:r>
        <w:t xml:space="preserve">Ruta en Colombia</w:t>
      </w:r>
    </w:p>
    <w:bookmarkStart w:id="52" w:name="X040543ff655bb60416dec16dac738f054b7e58e"/>
    <w:p>
      <w:pPr>
        <w:pStyle w:val="Heading3"/>
      </w:pPr>
      <w:r>
        <w:t xml:space="preserve">CUOC 35130 — Técnicos en redes y tecnologías de la información</w:t>
      </w:r>
    </w:p>
    <w:p>
      <w:pPr>
        <w:pStyle w:val="FirstParagraph"/>
      </w:pPr>
      <w:r>
        <w:t xml:space="preserve">Es una correspondencia ocupacional directa. Entre los títulos relevantes se incluyen:</w:t>
      </w:r>
    </w:p>
    <w:p>
      <w:pPr>
        <w:numPr>
          <w:ilvl w:val="0"/>
          <w:numId w:val="1028"/>
        </w:numPr>
        <w:pStyle w:val="Compact"/>
      </w:pPr>
      <w:r>
        <w:t xml:space="preserve">Técnico de apoyo de red;</w:t>
      </w:r>
    </w:p>
    <w:p>
      <w:pPr>
        <w:numPr>
          <w:ilvl w:val="0"/>
          <w:numId w:val="1028"/>
        </w:numPr>
        <w:pStyle w:val="Compact"/>
      </w:pPr>
      <w:r>
        <w:t xml:space="preserve">Técnico de redes y sistemas informáticos;</w:t>
      </w:r>
    </w:p>
    <w:p>
      <w:pPr>
        <w:numPr>
          <w:ilvl w:val="0"/>
          <w:numId w:val="1028"/>
        </w:numPr>
        <w:pStyle w:val="Compact"/>
      </w:pPr>
      <w:r>
        <w:t xml:space="preserve">Técnico de sistemas en red;</w:t>
      </w:r>
    </w:p>
    <w:p>
      <w:pPr>
        <w:numPr>
          <w:ilvl w:val="0"/>
          <w:numId w:val="1028"/>
        </w:numPr>
        <w:pStyle w:val="Compact"/>
      </w:pPr>
      <w:r>
        <w:t xml:space="preserve">Técnico de soporte de red informática;</w:t>
      </w:r>
    </w:p>
    <w:p>
      <w:pPr>
        <w:numPr>
          <w:ilvl w:val="0"/>
          <w:numId w:val="1028"/>
        </w:numPr>
        <w:pStyle w:val="Compact"/>
      </w:pPr>
      <w:r>
        <w:t xml:space="preserve">Técnico en mantenimiento de red informática;</w:t>
      </w:r>
    </w:p>
    <w:p>
      <w:pPr>
        <w:numPr>
          <w:ilvl w:val="0"/>
          <w:numId w:val="1028"/>
        </w:numPr>
        <w:pStyle w:val="Compact"/>
      </w:pPr>
      <w:r>
        <w:t xml:space="preserve">Técnico en redes de computadores;</w:t>
      </w:r>
    </w:p>
    <w:p>
      <w:pPr>
        <w:numPr>
          <w:ilvl w:val="0"/>
          <w:numId w:val="1028"/>
        </w:numPr>
        <w:pStyle w:val="Compact"/>
      </w:pPr>
      <w:r>
        <w:t xml:space="preserve">Técnico especialista en infraestructura tecnológica.</w:t>
      </w:r>
    </w:p>
    <w:p>
      <w:pPr>
        <w:pStyle w:val="FirstParagraph"/>
      </w:pPr>
      <w:r>
        <w:t xml:space="preserve">Las funciones oficiales incluyen implementar/operar/solucionar problemas de redes de datos, instalar software de red y sistemas operativos, respaldar/recuperar, configurar dispositivos de interconexión, ejecutar diagnósticos de seguridad, monitorear centros de datos, mantener infraestructura, atender usuarios y documentar.</w:t>
      </w:r>
    </w:p>
    <w:p>
      <w:pPr>
        <w:pStyle w:val="BodyText"/>
      </w:pPr>
      <w:r>
        <w:t xml:space="preserve">OCUPACOL muestra información salarial histórica/derivada, pero advierte expresamente que los datos carecen de representatividad estadística. Por ello esta guía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usa ese rango como referencia nacional actual representativa para Colombia.</w:t>
      </w:r>
    </w:p>
    <w:bookmarkEnd w:id="52"/>
    <w:bookmarkStart w:id="53" w:name="X5c2c86a1e4bf3b3b876a8254a62fe091dac4f08"/>
    <w:p>
      <w:pPr>
        <w:pStyle w:val="Heading3"/>
      </w:pPr>
      <w:r>
        <w:t xml:space="preserve">SENA — Instalación de redes de computadores</w:t>
      </w:r>
    </w:p>
    <w:p>
      <w:pPr>
        <w:pStyle w:val="FirstParagraph"/>
      </w:pPr>
      <w:r>
        <w:t xml:space="preserve">SENA Betowa actualmente muestra</w:t>
      </w:r>
      <w:r>
        <w:t xml:space="preserve"> </w:t>
      </w:r>
      <w:r>
        <w:rPr>
          <w:bCs/>
          <w:b/>
        </w:rPr>
        <w:t xml:space="preserve">Instalación de redes de computadores</w:t>
      </w:r>
      <w:r>
        <w:t xml:space="preserve"> </w:t>
      </w:r>
      <w:r>
        <w:t xml:space="preserve">como: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Técnico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2,208 horas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formación titulada;</w:t>
      </w:r>
    </w:p>
    <w:p>
      <w:pPr>
        <w:numPr>
          <w:ilvl w:val="0"/>
          <w:numId w:val="1029"/>
        </w:numPr>
        <w:pStyle w:val="Compact"/>
      </w:pPr>
      <w:r>
        <w:t xml:space="preserve">competencias que incluyen implementación de redes físicas de datos y redes inalámbricas locales.</w:t>
      </w:r>
    </w:p>
    <w:p>
      <w:pPr>
        <w:pStyle w:val="FirstParagraph"/>
      </w:pPr>
      <w:r>
        <w:t xml:space="preserve">Las cohortes, sedes y fechas de inscripción cambian. Verifique disponibilidad actual antes de planificar una admisión específica.</w:t>
      </w:r>
    </w:p>
    <w:bookmarkEnd w:id="53"/>
    <w:bookmarkStart w:id="54" w:name="sena--gestión-de-redes-de-datos"/>
    <w:p>
      <w:pPr>
        <w:pStyle w:val="Heading3"/>
      </w:pPr>
      <w:r>
        <w:t xml:space="preserve">SENA — Gestión de redes de datos</w:t>
      </w:r>
    </w:p>
    <w:p>
      <w:pPr>
        <w:pStyle w:val="FirstParagraph"/>
      </w:pPr>
      <w:r>
        <w:t xml:space="preserve">SENA Betowa también muestra</w:t>
      </w:r>
      <w:r>
        <w:t xml:space="preserve"> </w:t>
      </w:r>
      <w:r>
        <w:rPr>
          <w:bCs/>
          <w:b/>
        </w:rPr>
        <w:t xml:space="preserve">Gestión de redes de datos</w:t>
      </w:r>
      <w:r>
        <w:t xml:space="preserve"> </w:t>
      </w:r>
      <w:r>
        <w:t xml:space="preserve">como: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Tecnólogo</w:t>
      </w:r>
      <w:r>
        <w:t xml:space="preserve">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3,984 horas</w:t>
      </w:r>
      <w:r>
        <w:t xml:space="preserve">;</w:t>
      </w:r>
    </w:p>
    <w:p>
      <w:pPr>
        <w:numPr>
          <w:ilvl w:val="0"/>
          <w:numId w:val="1030"/>
        </w:numPr>
        <w:pStyle w:val="Compact"/>
      </w:pPr>
      <w:r>
        <w:t xml:space="preserve">formación titulada;</w:t>
      </w:r>
    </w:p>
    <w:p>
      <w:pPr>
        <w:numPr>
          <w:ilvl w:val="0"/>
          <w:numId w:val="1030"/>
        </w:numPr>
        <w:pStyle w:val="Compact"/>
      </w:pPr>
      <w:r>
        <w:t xml:space="preserve">cableado estructurado, centros de datos, redes alámbricas/inalámbricas y seguridad de redes entre sus temas.</w:t>
      </w:r>
    </w:p>
    <w:p>
      <w:pPr>
        <w:pStyle w:val="FirstParagraph"/>
      </w:pPr>
      <w:r>
        <w:t xml:space="preserve">Esta ruta más profunda puede apoyar el crecimiento profesional, pero no es obligatoria para todos los puestos iniciales de soporte de redes.</w:t>
      </w:r>
    </w:p>
    <w:bookmarkEnd w:id="54"/>
    <w:bookmarkEnd w:id="55"/>
    <w:bookmarkStart w:id="56" w:name="ruta-más-amplia-en-américa-latina"/>
    <w:p>
      <w:pPr>
        <w:pStyle w:val="Heading2"/>
      </w:pPr>
      <w:r>
        <w:t xml:space="preserve">Ruta más amplia en América Latina</w:t>
      </w:r>
    </w:p>
    <w:p>
      <w:pPr>
        <w:pStyle w:val="FirstParagraph"/>
      </w:pPr>
      <w:r>
        <w:t xml:space="preserve">Los sistemas de formación varían por país. Los recursos por país de OIT/Cinterfor pueden ayudar a localizar instituciones nacionales de formación profesional. Verifique directamente con el proveedor el estado actual, admisión, modalidad, costo y reconocimiento de credenciales.</w:t>
      </w:r>
    </w:p>
    <w:bookmarkEnd w:id="56"/>
    <w:bookmarkStart w:id="57" w:name="Xb86d9235edf1605a85e4f5f991aca91007c0307"/>
    <w:p>
      <w:pPr>
        <w:pStyle w:val="Heading2"/>
      </w:pPr>
      <w:r>
        <w:t xml:space="preserve">Estrategia de aprendizaje gratuita o de bajo costo primero</w:t>
      </w:r>
    </w:p>
    <w:p>
      <w:pPr>
        <w:pStyle w:val="FirstParagraph"/>
      </w:pPr>
      <w:r>
        <w:t xml:space="preserve">Antes de pagar una formación costosa:</w:t>
      </w:r>
    </w:p>
    <w:p>
      <w:pPr>
        <w:numPr>
          <w:ilvl w:val="0"/>
          <w:numId w:val="1031"/>
        </w:numPr>
        <w:pStyle w:val="Compact"/>
      </w:pPr>
      <w:r>
        <w:t xml:space="preserve">aprenda fundamentos de redes con materiales confiables gratuitos o económicos;</w:t>
      </w:r>
    </w:p>
    <w:p>
      <w:pPr>
        <w:numPr>
          <w:ilvl w:val="0"/>
          <w:numId w:val="1031"/>
        </w:numPr>
        <w:pStyle w:val="Compact"/>
      </w:pPr>
      <w:r>
        <w:t xml:space="preserve">construya un laboratorio aislado o use ambientes de nube/lab autorizados;</w:t>
      </w:r>
    </w:p>
    <w:p>
      <w:pPr>
        <w:numPr>
          <w:ilvl w:val="0"/>
          <w:numId w:val="1031"/>
        </w:numPr>
        <w:pStyle w:val="Compact"/>
      </w:pPr>
      <w:r>
        <w:t xml:space="preserve">practique direccionamiento, VLAN, routing, DNS, DHCP, Wi-Fi y troubleshooting;</w:t>
      </w:r>
    </w:p>
    <w:p>
      <w:pPr>
        <w:numPr>
          <w:ilvl w:val="0"/>
          <w:numId w:val="1031"/>
        </w:numPr>
        <w:pStyle w:val="Compact"/>
      </w:pPr>
      <w:r>
        <w:t xml:space="preserve">documente incidentes y cambios como si trabajara en producción;</w:t>
      </w:r>
    </w:p>
    <w:p>
      <w:pPr>
        <w:numPr>
          <w:ilvl w:val="0"/>
          <w:numId w:val="1031"/>
        </w:numPr>
        <w:pStyle w:val="Compact"/>
      </w:pPr>
      <w:r>
        <w:t xml:space="preserve">aprenda conceptualmente un flujo de ticketing/monitoreo;</w:t>
      </w:r>
    </w:p>
    <w:p>
      <w:pPr>
        <w:numPr>
          <w:ilvl w:val="0"/>
          <w:numId w:val="1031"/>
        </w:numPr>
        <w:pStyle w:val="Compact"/>
      </w:pPr>
      <w:r>
        <w:t xml:space="preserve">luego decida si una certificación de proveedor o programa formal coincide con los empleadores objetivo.</w:t>
      </w:r>
    </w:p>
    <w:p>
      <w:pPr>
        <w:pStyle w:val="FirstParagraph"/>
      </w:pPr>
      <w:r>
        <w:t xml:space="preserve">Para lectores en EE. UU., los localizadores WIOA y de formación de CareerOneStop pueden ayudar a encontrar opciones elegibles. La elegibilidad y financiación se determinan localmente y no están garantizadas.</w:t>
      </w:r>
    </w:p>
    <w:bookmarkEnd w:id="57"/>
    <w:bookmarkStart w:id="58" w:name="proyectos-éticos-de-portafolio"/>
    <w:p>
      <w:pPr>
        <w:pStyle w:val="Heading2"/>
      </w:pPr>
      <w:r>
        <w:t xml:space="preserve">Proyectos éticos de portafolio</w:t>
      </w:r>
    </w:p>
    <w:p>
      <w:pPr>
        <w:pStyle w:val="FirstParagraph"/>
      </w:pPr>
      <w:r>
        <w:t xml:space="preserve">Use solamente dispositivos, redes, tenants y datos propios o para los que tenga autorización explícita.</w:t>
      </w:r>
    </w:p>
    <w:p>
      <w:pPr>
        <w:pStyle w:val="BodyText"/>
      </w:pPr>
      <w:r>
        <w:t xml:space="preserve">Ideas:</w:t>
      </w:r>
    </w:p>
    <w:p>
      <w:pPr>
        <w:numPr>
          <w:ilvl w:val="0"/>
          <w:numId w:val="1032"/>
        </w:numPr>
        <w:pStyle w:val="Compact"/>
      </w:pPr>
      <w:r>
        <w:t xml:space="preserve">laboratorio pequeño de routing/VLAN con diagrama y plan de direccionamiento;</w:t>
      </w:r>
    </w:p>
    <w:p>
      <w:pPr>
        <w:numPr>
          <w:ilvl w:val="0"/>
          <w:numId w:val="1032"/>
        </w:numPr>
        <w:pStyle w:val="Compact"/>
      </w:pPr>
      <w:r>
        <w:t xml:space="preserve">caso de troubleshooting DNS/DHCP;</w:t>
      </w:r>
    </w:p>
    <w:p>
      <w:pPr>
        <w:numPr>
          <w:ilvl w:val="0"/>
          <w:numId w:val="1032"/>
        </w:numPr>
        <w:pStyle w:val="Compact"/>
      </w:pPr>
      <w:r>
        <w:t xml:space="preserve">escenario de aislamiento de una falla inalámbrica;</w:t>
      </w:r>
    </w:p>
    <w:p>
      <w:pPr>
        <w:numPr>
          <w:ilvl w:val="0"/>
          <w:numId w:val="1032"/>
        </w:numPr>
        <w:pStyle w:val="Compact"/>
      </w:pPr>
      <w:r>
        <w:t xml:space="preserve">diseño simulado de conectividad sucursal-nube;</w:t>
      </w:r>
    </w:p>
    <w:p>
      <w:pPr>
        <w:numPr>
          <w:ilvl w:val="0"/>
          <w:numId w:val="1032"/>
        </w:numPr>
        <w:pStyle w:val="Compact"/>
      </w:pPr>
      <w:r>
        <w:t xml:space="preserve">dashboard de monitoreo con datos sintéticos;</w:t>
      </w:r>
    </w:p>
    <w:p>
      <w:pPr>
        <w:numPr>
          <w:ilvl w:val="0"/>
          <w:numId w:val="1032"/>
        </w:numPr>
        <w:pStyle w:val="Compact"/>
      </w:pPr>
      <w:r>
        <w:t xml:space="preserve">ejercicio de backup y rollback de configuración;</w:t>
      </w:r>
    </w:p>
    <w:p>
      <w:pPr>
        <w:numPr>
          <w:ilvl w:val="0"/>
          <w:numId w:val="1032"/>
        </w:numPr>
        <w:pStyle w:val="Compact"/>
      </w:pPr>
      <w:r>
        <w:t xml:space="preserve">ticket de incidente con evidencia, hipótesis, cambio y validación;</w:t>
      </w:r>
    </w:p>
    <w:p>
      <w:pPr>
        <w:numPr>
          <w:ilvl w:val="0"/>
          <w:numId w:val="1032"/>
        </w:numPr>
        <w:pStyle w:val="Compact"/>
      </w:pPr>
      <w:r>
        <w:t xml:space="preserve">runbook de red accesible;</w:t>
      </w:r>
    </w:p>
    <w:p>
      <w:pPr>
        <w:numPr>
          <w:ilvl w:val="0"/>
          <w:numId w:val="1032"/>
        </w:numPr>
        <w:pStyle w:val="Compact"/>
      </w:pPr>
      <w:r>
        <w:t xml:space="preserve">script de automatización que procese logs sintéticos sin cambiar producción.</w:t>
      </w:r>
    </w:p>
    <w:p>
      <w:pPr>
        <w:pStyle w:val="FirstParagraph"/>
      </w:pPr>
      <w:r>
        <w:t xml:space="preserve">Nunca escanee sistemas públicos o redes de terceros para crear evidencia de portafolio.</w:t>
      </w:r>
    </w:p>
    <w:bookmarkEnd w:id="58"/>
    <w:bookmarkStart w:id="59" w:name="evidencia-para-el-currículum"/>
    <w:p>
      <w:pPr>
        <w:pStyle w:val="Heading2"/>
      </w:pPr>
      <w:r>
        <w:t xml:space="preserve">Evidencia para el currículum</w:t>
      </w:r>
    </w:p>
    <w:p>
      <w:pPr>
        <w:pStyle w:val="FirstParagraph"/>
      </w:pPr>
      <w:r>
        <w:t xml:space="preserve">Los buenos bullets describen resultados y alcance, por ejemplo:</w:t>
      </w:r>
    </w:p>
    <w:p>
      <w:pPr>
        <w:numPr>
          <w:ilvl w:val="0"/>
          <w:numId w:val="1033"/>
        </w:numPr>
        <w:pStyle w:val="Compact"/>
      </w:pPr>
      <w:r>
        <w:t xml:space="preserve">redujo incidentes repetidos mejorando documentación de causa raíz;</w:t>
      </w:r>
    </w:p>
    <w:p>
      <w:pPr>
        <w:numPr>
          <w:ilvl w:val="0"/>
          <w:numId w:val="1033"/>
        </w:numPr>
        <w:pStyle w:val="Compact"/>
      </w:pPr>
      <w:r>
        <w:t xml:space="preserve">restauró conectividad de una sede tras aislar una falla de VLAN, DHCP o routing;</w:t>
      </w:r>
    </w:p>
    <w:p>
      <w:pPr>
        <w:numPr>
          <w:ilvl w:val="0"/>
          <w:numId w:val="1033"/>
        </w:numPr>
        <w:pStyle w:val="Compact"/>
      </w:pPr>
      <w:r>
        <w:t xml:space="preserve">mantuvo respaldos de configuración y validó procedimientos de rollback;</w:t>
      </w:r>
    </w:p>
    <w:p>
      <w:pPr>
        <w:numPr>
          <w:ilvl w:val="0"/>
          <w:numId w:val="1033"/>
        </w:numPr>
        <w:pStyle w:val="Compact"/>
      </w:pPr>
      <w:r>
        <w:t xml:space="preserve">soportó routers, switches, Wi-Fi y VPN bajo control de cambios;</w:t>
      </w:r>
    </w:p>
    <w:p>
      <w:pPr>
        <w:numPr>
          <w:ilvl w:val="0"/>
          <w:numId w:val="1033"/>
        </w:numPr>
        <w:pStyle w:val="Compact"/>
      </w:pPr>
      <w:r>
        <w:t xml:space="preserve">mejoró la calidad de alertas/tickets mediante mejor evidencia de monitoreo.</w:t>
      </w:r>
    </w:p>
    <w:p>
      <w:pPr>
        <w:pStyle w:val="FirstParagraph"/>
      </w:pPr>
      <w:r>
        <w:t xml:space="preserve">Use solo hechos que pueda respaldar. No invente experiencia con productos, métricas de disponibilidad, certificaciones o autoridad de seguridad.</w:t>
      </w:r>
    </w:p>
    <w:bookmarkEnd w:id="59"/>
    <w:bookmarkStart w:id="60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Prepárese para explicar:</w:t>
      </w:r>
    </w:p>
    <w:p>
      <w:pPr>
        <w:numPr>
          <w:ilvl w:val="0"/>
          <w:numId w:val="1034"/>
        </w:numPr>
        <w:pStyle w:val="Compact"/>
      </w:pPr>
      <w:r>
        <w:t xml:space="preserve">cómo diagnosticaría cuando un usuario no puede conectarse;</w:t>
      </w:r>
    </w:p>
    <w:p>
      <w:pPr>
        <w:numPr>
          <w:ilvl w:val="0"/>
          <w:numId w:val="1034"/>
        </w:numPr>
        <w:pStyle w:val="Compact"/>
      </w:pPr>
      <w:r>
        <w:t xml:space="preserve">cómo cambia el enfoque si una sede completa está caída;</w:t>
      </w:r>
    </w:p>
    <w:p>
      <w:pPr>
        <w:numPr>
          <w:ilvl w:val="0"/>
          <w:numId w:val="1034"/>
        </w:numPr>
        <w:pStyle w:val="Compact"/>
      </w:pPr>
      <w:r>
        <w:t xml:space="preserve">diferencia entre DNS y DHCP;</w:t>
      </w:r>
    </w:p>
    <w:p>
      <w:pPr>
        <w:numPr>
          <w:ilvl w:val="0"/>
          <w:numId w:val="1034"/>
        </w:numPr>
        <w:pStyle w:val="Compact"/>
      </w:pPr>
      <w:r>
        <w:t xml:space="preserve">función de un gateway predeterminado;</w:t>
      </w:r>
    </w:p>
    <w:p>
      <w:pPr>
        <w:numPr>
          <w:ilvl w:val="0"/>
          <w:numId w:val="1034"/>
        </w:numPr>
        <w:pStyle w:val="Compact"/>
      </w:pPr>
      <w:r>
        <w:t xml:space="preserve">qué es una VLAN;</w:t>
      </w:r>
    </w:p>
    <w:p>
      <w:pPr>
        <w:numPr>
          <w:ilvl w:val="0"/>
          <w:numId w:val="1034"/>
        </w:numPr>
        <w:pStyle w:val="Compact"/>
      </w:pPr>
      <w:r>
        <w:t xml:space="preserve">cómo investigaría latencia alta o pérdida de paquetes;</w:t>
      </w:r>
    </w:p>
    <w:p>
      <w:pPr>
        <w:numPr>
          <w:ilvl w:val="0"/>
          <w:numId w:val="1034"/>
        </w:numPr>
        <w:pStyle w:val="Compact"/>
      </w:pPr>
      <w:r>
        <w:t xml:space="preserve">por qué importan control de cambios y rollback;</w:t>
      </w:r>
    </w:p>
    <w:p>
      <w:pPr>
        <w:numPr>
          <w:ilvl w:val="0"/>
          <w:numId w:val="1034"/>
        </w:numPr>
        <w:pStyle w:val="Compact"/>
      </w:pPr>
      <w:r>
        <w:t xml:space="preserve">qué haría ante evidencia de compromiso;</w:t>
      </w:r>
    </w:p>
    <w:p>
      <w:pPr>
        <w:numPr>
          <w:ilvl w:val="0"/>
          <w:numId w:val="1034"/>
        </w:numPr>
        <w:pStyle w:val="Compact"/>
      </w:pPr>
      <w:r>
        <w:t xml:space="preserve">cómo protege credenciales en soporte remoto;</w:t>
      </w:r>
    </w:p>
    <w:p>
      <w:pPr>
        <w:numPr>
          <w:ilvl w:val="0"/>
          <w:numId w:val="1034"/>
        </w:numPr>
        <w:pStyle w:val="Compact"/>
      </w:pPr>
      <w:r>
        <w:t xml:space="preserve">cómo documenta un incidente resuelto.</w:t>
      </w:r>
    </w:p>
    <w:p>
      <w:pPr>
        <w:pStyle w:val="FirstParagraph"/>
      </w:pPr>
      <w:r>
        <w:t xml:space="preserve">Una buena respuesta explica razonamiento, límites de seguridad y validación, no solamente comandos.</w:t>
      </w:r>
    </w:p>
    <w:bookmarkEnd w:id="60"/>
    <w:bookmarkStart w:id="61" w:name="preguntas-para-un-empleador"/>
    <w:p>
      <w:pPr>
        <w:pStyle w:val="Heading2"/>
      </w:pPr>
      <w:r>
        <w:t xml:space="preserve">Preguntas para un empleador</w:t>
      </w:r>
    </w:p>
    <w:p>
      <w:pPr>
        <w:pStyle w:val="FirstParagraph"/>
      </w:pPr>
      <w:r>
        <w:t xml:space="preserve">Pregunte sobre:</w:t>
      </w:r>
    </w:p>
    <w:p>
      <w:pPr>
        <w:numPr>
          <w:ilvl w:val="0"/>
          <w:numId w:val="1035"/>
        </w:numPr>
        <w:pStyle w:val="Compact"/>
      </w:pPr>
      <w:r>
        <w:t xml:space="preserve">tamaño de la red y tecnologías principales;</w:t>
      </w:r>
    </w:p>
    <w:p>
      <w:pPr>
        <w:numPr>
          <w:ilvl w:val="0"/>
          <w:numId w:val="1035"/>
        </w:numPr>
        <w:pStyle w:val="Compact"/>
      </w:pPr>
      <w:r>
        <w:t xml:space="preserve">turnos/on-call;</w:t>
      </w:r>
    </w:p>
    <w:p>
      <w:pPr>
        <w:numPr>
          <w:ilvl w:val="0"/>
          <w:numId w:val="1035"/>
        </w:numPr>
        <w:pStyle w:val="Compact"/>
      </w:pPr>
      <w:r>
        <w:t xml:space="preserve">trabajo de campo versus remoto;</w:t>
      </w:r>
    </w:p>
    <w:p>
      <w:pPr>
        <w:numPr>
          <w:ilvl w:val="0"/>
          <w:numId w:val="1035"/>
        </w:numPr>
        <w:pStyle w:val="Compact"/>
      </w:pPr>
      <w:r>
        <w:t xml:space="preserve">autoridad y aprobación de cambios;</w:t>
      </w:r>
    </w:p>
    <w:p>
      <w:pPr>
        <w:numPr>
          <w:ilvl w:val="0"/>
          <w:numId w:val="1035"/>
        </w:numPr>
        <w:pStyle w:val="Compact"/>
      </w:pPr>
      <w:r>
        <w:t xml:space="preserve">herramientas de monitoreo/ticketing;</w:t>
      </w:r>
    </w:p>
    <w:p>
      <w:pPr>
        <w:numPr>
          <w:ilvl w:val="0"/>
          <w:numId w:val="1035"/>
        </w:numPr>
        <w:pStyle w:val="Compact"/>
      </w:pPr>
      <w:r>
        <w:t xml:space="preserve">escalamiento de incidentes;</w:t>
      </w:r>
    </w:p>
    <w:p>
      <w:pPr>
        <w:numPr>
          <w:ilvl w:val="0"/>
          <w:numId w:val="1035"/>
        </w:numPr>
        <w:pStyle w:val="Compact"/>
      </w:pPr>
      <w:r>
        <w:t xml:space="preserve">estándares de documentación;</w:t>
      </w:r>
    </w:p>
    <w:p>
      <w:pPr>
        <w:numPr>
          <w:ilvl w:val="0"/>
          <w:numId w:val="1035"/>
        </w:numPr>
        <w:pStyle w:val="Compact"/>
      </w:pPr>
      <w:r>
        <w:t xml:space="preserve">apoyo para formación/certificaciones;</w:t>
      </w:r>
    </w:p>
    <w:p>
      <w:pPr>
        <w:numPr>
          <w:ilvl w:val="0"/>
          <w:numId w:val="1035"/>
        </w:numPr>
        <w:pStyle w:val="Compact"/>
      </w:pPr>
      <w:r>
        <w:t xml:space="preserve">progresión hacia administración/ingeniería/nube/seguridad;</w:t>
      </w:r>
    </w:p>
    <w:p>
      <w:pPr>
        <w:numPr>
          <w:ilvl w:val="0"/>
          <w:numId w:val="1035"/>
        </w:numPr>
        <w:pStyle w:val="Compact"/>
      </w:pPr>
      <w:r>
        <w:t xml:space="preserve">requisitos físicos y viajes;</w:t>
      </w:r>
    </w:p>
    <w:p>
      <w:pPr>
        <w:numPr>
          <w:ilvl w:val="0"/>
          <w:numId w:val="1035"/>
        </w:numPr>
        <w:pStyle w:val="Compact"/>
      </w:pPr>
      <w:r>
        <w:t xml:space="preserve">proceso de accesibilidad/adaptaciones.</w:t>
      </w:r>
    </w:p>
    <w:bookmarkEnd w:id="61"/>
    <w:bookmarkStart w:id="62" w:name="primeros-30-días-en-un-puesto-nuevo"/>
    <w:p>
      <w:pPr>
        <w:pStyle w:val="Heading2"/>
      </w:pPr>
      <w:r>
        <w:t xml:space="preserve">Primeros 30 días en un puesto nuevo</w:t>
      </w:r>
    </w:p>
    <w:p>
      <w:pPr>
        <w:pStyle w:val="FirstParagraph"/>
      </w:pPr>
      <w:r>
        <w:t xml:space="preserve">Prioridades:</w:t>
      </w:r>
    </w:p>
    <w:p>
      <w:pPr>
        <w:numPr>
          <w:ilvl w:val="0"/>
          <w:numId w:val="1036"/>
        </w:numPr>
        <w:pStyle w:val="Compact"/>
      </w:pPr>
      <w:r>
        <w:t xml:space="preserve">aprender topología, sedes y servicios críticos;</w:t>
      </w:r>
    </w:p>
    <w:p>
      <w:pPr>
        <w:numPr>
          <w:ilvl w:val="0"/>
          <w:numId w:val="1036"/>
        </w:numPr>
        <w:pStyle w:val="Compact"/>
      </w:pPr>
      <w:r>
        <w:t xml:space="preserve">aprender severidad de tickets y reglas de escalamiento;</w:t>
      </w:r>
    </w:p>
    <w:p>
      <w:pPr>
        <w:numPr>
          <w:ilvl w:val="0"/>
          <w:numId w:val="1036"/>
        </w:numPr>
        <w:pStyle w:val="Compact"/>
      </w:pPr>
      <w:r>
        <w:t xml:space="preserve">conocer límites de acceso autorizado;</w:t>
      </w:r>
    </w:p>
    <w:p>
      <w:pPr>
        <w:numPr>
          <w:ilvl w:val="0"/>
          <w:numId w:val="1036"/>
        </w:numPr>
        <w:pStyle w:val="Compact"/>
      </w:pPr>
      <w:r>
        <w:t xml:space="preserve">comprender procedimientos de backup/cambio/rollback;</w:t>
      </w:r>
    </w:p>
    <w:p>
      <w:pPr>
        <w:numPr>
          <w:ilvl w:val="0"/>
          <w:numId w:val="1036"/>
        </w:numPr>
        <w:pStyle w:val="Compact"/>
      </w:pPr>
      <w:r>
        <w:t xml:space="preserve">aprender fuentes de monitoreo y logs;</w:t>
      </w:r>
    </w:p>
    <w:p>
      <w:pPr>
        <w:numPr>
          <w:ilvl w:val="0"/>
          <w:numId w:val="1036"/>
        </w:numPr>
        <w:pStyle w:val="Compact"/>
      </w:pPr>
      <w:r>
        <w:t xml:space="preserve">revisar incidentes comunes y errores conocidos;</w:t>
      </w:r>
    </w:p>
    <w:p>
      <w:pPr>
        <w:numPr>
          <w:ilvl w:val="0"/>
          <w:numId w:val="1036"/>
        </w:numPr>
        <w:pStyle w:val="Compact"/>
      </w:pPr>
      <w:r>
        <w:t xml:space="preserve">comprender contactos de carrier/proveedor;</w:t>
      </w:r>
    </w:p>
    <w:p>
      <w:pPr>
        <w:numPr>
          <w:ilvl w:val="0"/>
          <w:numId w:val="1036"/>
        </w:numPr>
        <w:pStyle w:val="Compact"/>
      </w:pPr>
      <w:r>
        <w:t xml:space="preserve">verificar procedimientos de seguridad e incidentes;</w:t>
      </w:r>
    </w:p>
    <w:p>
      <w:pPr>
        <w:numPr>
          <w:ilvl w:val="0"/>
          <w:numId w:val="1036"/>
        </w:numPr>
        <w:pStyle w:val="Compact"/>
      </w:pPr>
      <w:r>
        <w:t xml:space="preserve">mejorar documentación mientras aprende;</w:t>
      </w:r>
    </w:p>
    <w:p>
      <w:pPr>
        <w:numPr>
          <w:ilvl w:val="0"/>
          <w:numId w:val="1036"/>
        </w:numPr>
        <w:pStyle w:val="Compact"/>
      </w:pPr>
      <w:r>
        <w:t xml:space="preserve">no hacer cambios productivos indocumentados para “demostrar” capacidad.</w:t>
      </w:r>
    </w:p>
    <w:bookmarkEnd w:id="62"/>
    <w:bookmarkStart w:id="63" w:name="plan-de-progreso-de-90-días"/>
    <w:p>
      <w:pPr>
        <w:pStyle w:val="Heading2"/>
      </w:pPr>
      <w:r>
        <w:t xml:space="preserve">Plan de progreso de 90 días</w:t>
      </w:r>
    </w:p>
    <w:p>
      <w:pPr>
        <w:pStyle w:val="FirstParagraph"/>
      </w:pPr>
      <w:r>
        <w:t xml:space="preserve">Busque poder:</w:t>
      </w:r>
    </w:p>
    <w:p>
      <w:pPr>
        <w:numPr>
          <w:ilvl w:val="0"/>
          <w:numId w:val="1037"/>
        </w:numPr>
        <w:pStyle w:val="Compact"/>
      </w:pPr>
      <w:r>
        <w:t xml:space="preserve">solucionar sistemáticamente problemas comunes de conectividad;</w:t>
      </w:r>
    </w:p>
    <w:p>
      <w:pPr>
        <w:numPr>
          <w:ilvl w:val="0"/>
          <w:numId w:val="1037"/>
        </w:numPr>
        <w:pStyle w:val="Compact"/>
      </w:pPr>
      <w:r>
        <w:t xml:space="preserve">explicar dependencias principales de la red;</w:t>
      </w:r>
    </w:p>
    <w:p>
      <w:pPr>
        <w:numPr>
          <w:ilvl w:val="0"/>
          <w:numId w:val="1037"/>
        </w:numPr>
        <w:pStyle w:val="Compact"/>
      </w:pPr>
      <w:r>
        <w:t xml:space="preserve">ejecutar cambios asignados con seguridad;</w:t>
      </w:r>
    </w:p>
    <w:p>
      <w:pPr>
        <w:numPr>
          <w:ilvl w:val="0"/>
          <w:numId w:val="1037"/>
        </w:numPr>
        <w:pStyle w:val="Compact"/>
      </w:pPr>
      <w:r>
        <w:t xml:space="preserve">distinguir si una falla es de red, aplicación, endpoint o servicio;</w:t>
      </w:r>
    </w:p>
    <w:p>
      <w:pPr>
        <w:numPr>
          <w:ilvl w:val="0"/>
          <w:numId w:val="1037"/>
        </w:numPr>
        <w:pStyle w:val="Compact"/>
      </w:pPr>
      <w:r>
        <w:t xml:space="preserve">usar evidencia de monitoreo/logs eficazmente;</w:t>
      </w:r>
    </w:p>
    <w:p>
      <w:pPr>
        <w:numPr>
          <w:ilvl w:val="0"/>
          <w:numId w:val="1037"/>
        </w:numPr>
        <w:pStyle w:val="Compact"/>
      </w:pPr>
      <w:r>
        <w:t xml:space="preserve">mantener runbooks útiles;</w:t>
      </w:r>
    </w:p>
    <w:p>
      <w:pPr>
        <w:numPr>
          <w:ilvl w:val="0"/>
          <w:numId w:val="1037"/>
        </w:numPr>
        <w:pStyle w:val="Compact"/>
      </w:pPr>
      <w:r>
        <w:t xml:space="preserve">escalar correctamente problemas de seguridad;</w:t>
      </w:r>
    </w:p>
    <w:p>
      <w:pPr>
        <w:numPr>
          <w:ilvl w:val="0"/>
          <w:numId w:val="1037"/>
        </w:numPr>
        <w:pStyle w:val="Compact"/>
      </w:pPr>
      <w:r>
        <w:t xml:space="preserve">identificar el siguiente camino: administración de redes, nube, sistemas, automatización o seguridad.</w:t>
      </w:r>
    </w:p>
    <w:bookmarkEnd w:id="63"/>
    <w:bookmarkStart w:id="64" w:name="lista-previa-a-postularse"/>
    <w:p>
      <w:pPr>
        <w:pStyle w:val="Heading2"/>
      </w:pPr>
      <w:r>
        <w:t xml:space="preserve">Lista previa a postularse</w:t>
      </w:r>
    </w:p>
    <w:p>
      <w:pPr>
        <w:pStyle w:val="FirstParagraph"/>
      </w:pPr>
      <w:r>
        <w:t xml:space="preserve">Antes de postularse ampliamente, confirme que puede conversar sobre:</w:t>
      </w:r>
    </w:p>
    <w:p>
      <w:pPr>
        <w:numPr>
          <w:ilvl w:val="0"/>
          <w:numId w:val="1038"/>
        </w:numPr>
        <w:pStyle w:val="Compact"/>
      </w:pPr>
      <w:r>
        <w:t xml:space="preserve">IPv4/subred/gateway;</w:t>
      </w:r>
    </w:p>
    <w:p>
      <w:pPr>
        <w:numPr>
          <w:ilvl w:val="0"/>
          <w:numId w:val="1038"/>
        </w:numPr>
        <w:pStyle w:val="Compact"/>
      </w:pPr>
      <w:r>
        <w:t xml:space="preserve">DNS y DHCP;</w:t>
      </w:r>
    </w:p>
    <w:p>
      <w:pPr>
        <w:numPr>
          <w:ilvl w:val="0"/>
          <w:numId w:val="1038"/>
        </w:numPr>
        <w:pStyle w:val="Compact"/>
      </w:pPr>
      <w:r>
        <w:t xml:space="preserve">VLAN/switching;</w:t>
      </w:r>
    </w:p>
    <w:p>
      <w:pPr>
        <w:numPr>
          <w:ilvl w:val="0"/>
          <w:numId w:val="1038"/>
        </w:numPr>
        <w:pStyle w:val="Compact"/>
      </w:pPr>
      <w:r>
        <w:t xml:space="preserve">routing;</w:t>
      </w:r>
    </w:p>
    <w:p>
      <w:pPr>
        <w:numPr>
          <w:ilvl w:val="0"/>
          <w:numId w:val="1038"/>
        </w:numPr>
        <w:pStyle w:val="Compact"/>
      </w:pPr>
      <w:r>
        <w:t xml:space="preserve">troubleshooting cableado e inalámbrico;</w:t>
      </w:r>
    </w:p>
    <w:p>
      <w:pPr>
        <w:numPr>
          <w:ilvl w:val="0"/>
          <w:numId w:val="1038"/>
        </w:numPr>
        <w:pStyle w:val="Compact"/>
      </w:pPr>
      <w:r>
        <w:t xml:space="preserve">VPN/conectividad remota;</w:t>
      </w:r>
    </w:p>
    <w:p>
      <w:pPr>
        <w:numPr>
          <w:ilvl w:val="0"/>
          <w:numId w:val="1038"/>
        </w:numPr>
        <w:pStyle w:val="Compact"/>
      </w:pPr>
      <w:r>
        <w:t xml:space="preserve">monitoreo/logs;</w:t>
      </w:r>
    </w:p>
    <w:p>
      <w:pPr>
        <w:numPr>
          <w:ilvl w:val="0"/>
          <w:numId w:val="1038"/>
        </w:numPr>
        <w:pStyle w:val="Compact"/>
      </w:pPr>
      <w:r>
        <w:t xml:space="preserve">cambio/rollback;</w:t>
      </w:r>
    </w:p>
    <w:p>
      <w:pPr>
        <w:numPr>
          <w:ilvl w:val="0"/>
          <w:numId w:val="1038"/>
        </w:numPr>
        <w:pStyle w:val="Compact"/>
      </w:pPr>
      <w:r>
        <w:t xml:space="preserve">documentación de tickets;</w:t>
      </w:r>
    </w:p>
    <w:p>
      <w:pPr>
        <w:numPr>
          <w:ilvl w:val="0"/>
          <w:numId w:val="1038"/>
        </w:numPr>
        <w:pStyle w:val="Compact"/>
      </w:pPr>
      <w:r>
        <w:t xml:space="preserve">mínimo privilegio y escalamiento de seguridad;</w:t>
      </w:r>
    </w:p>
    <w:p>
      <w:pPr>
        <w:numPr>
          <w:ilvl w:val="0"/>
          <w:numId w:val="1038"/>
        </w:numPr>
        <w:pStyle w:val="Compact"/>
      </w:pPr>
      <w:r>
        <w:t xml:space="preserve">límites de IA responsable.</w:t>
      </w:r>
    </w:p>
    <w:bookmarkEnd w:id="64"/>
    <w:bookmarkStart w:id="65" w:name="preguntas-antes-de-comprar-formación"/>
    <w:p>
      <w:pPr>
        <w:pStyle w:val="Heading2"/>
      </w:pPr>
      <w:r>
        <w:t xml:space="preserve">Preguntas antes de comprar formación</w:t>
      </w:r>
    </w:p>
    <w:p>
      <w:pPr>
        <w:pStyle w:val="FirstParagraph"/>
      </w:pPr>
      <w:r>
        <w:t xml:space="preserve">Pregunte al proveedor:</w:t>
      </w:r>
    </w:p>
    <w:p>
      <w:pPr>
        <w:numPr>
          <w:ilvl w:val="0"/>
          <w:numId w:val="1039"/>
        </w:numPr>
        <w:pStyle w:val="Compact"/>
      </w:pPr>
      <w:r>
        <w:t xml:space="preserve">¿Para qué ocupaciones/títulos está diseñado el programa?</w:t>
      </w:r>
    </w:p>
    <w:p>
      <w:pPr>
        <w:numPr>
          <w:ilvl w:val="0"/>
          <w:numId w:val="1039"/>
        </w:numPr>
        <w:pStyle w:val="Compact"/>
      </w:pPr>
      <w:r>
        <w:t xml:space="preserve">¿Qué laboratorios prácticos de redes incluye?</w:t>
      </w:r>
    </w:p>
    <w:p>
      <w:pPr>
        <w:numPr>
          <w:ilvl w:val="0"/>
          <w:numId w:val="1039"/>
        </w:numPr>
        <w:pStyle w:val="Compact"/>
      </w:pPr>
      <w:r>
        <w:t xml:space="preserve">¿Cubre routing, switching, Wi-Fi y redes de nube actuales?</w:t>
      </w:r>
    </w:p>
    <w:p>
      <w:pPr>
        <w:numPr>
          <w:ilvl w:val="0"/>
          <w:numId w:val="1039"/>
        </w:numPr>
        <w:pStyle w:val="Compact"/>
      </w:pPr>
      <w:r>
        <w:t xml:space="preserve">¿Qué equipos/software están incluidos?</w:t>
      </w:r>
    </w:p>
    <w:p>
      <w:pPr>
        <w:numPr>
          <w:ilvl w:val="0"/>
          <w:numId w:val="1039"/>
        </w:numPr>
        <w:pStyle w:val="Compact"/>
      </w:pPr>
      <w:r>
        <w:t xml:space="preserve">¿El examen de certificación está incluido o cuesta aparte?</w:t>
      </w:r>
    </w:p>
    <w:p>
      <w:pPr>
        <w:numPr>
          <w:ilvl w:val="0"/>
          <w:numId w:val="1039"/>
        </w:numPr>
        <w:pStyle w:val="Compact"/>
      </w:pPr>
      <w:r>
        <w:t xml:space="preserve">¿Cuál es el costo total con tarifas/materiales?</w:t>
      </w:r>
    </w:p>
    <w:p>
      <w:pPr>
        <w:numPr>
          <w:ilvl w:val="0"/>
          <w:numId w:val="1039"/>
        </w:numPr>
        <w:pStyle w:val="Compact"/>
      </w:pPr>
      <w:r>
        <w:t xml:space="preserve">¿Los resultados son verificables de forma independiente?</w:t>
      </w:r>
    </w:p>
    <w:p>
      <w:pPr>
        <w:numPr>
          <w:ilvl w:val="0"/>
          <w:numId w:val="1039"/>
        </w:numPr>
        <w:pStyle w:val="Compact"/>
      </w:pPr>
      <w:r>
        <w:t xml:space="preserve">¿Existe financiación y cuáles son las reglas de elegibilidad?</w:t>
      </w:r>
    </w:p>
    <w:p>
      <w:pPr>
        <w:numPr>
          <w:ilvl w:val="0"/>
          <w:numId w:val="1039"/>
        </w:numPr>
        <w:pStyle w:val="Compact"/>
      </w:pPr>
      <w:r>
        <w:t xml:space="preserve">¿Qué adaptaciones de accesibilidad ofrece?</w:t>
      </w:r>
    </w:p>
    <w:p>
      <w:pPr>
        <w:numPr>
          <w:ilvl w:val="0"/>
          <w:numId w:val="1039"/>
        </w:numPr>
        <w:pStyle w:val="Compact"/>
      </w:pPr>
      <w:r>
        <w:t xml:space="preserve">¿La credencial es reconocida por los empleadores objetivo?</w:t>
      </w:r>
    </w:p>
    <w:p>
      <w:pPr>
        <w:pStyle w:val="FirstParagraph"/>
      </w:pPr>
      <w:r>
        <w:t xml:space="preserve">No dependa de promesas de empleo o ingresos garantizados.</w:t>
      </w:r>
    </w:p>
    <w:bookmarkEnd w:id="65"/>
    <w:bookmarkStart w:id="88" w:name="fuentes-controladas"/>
    <w:p>
      <w:pPr>
        <w:pStyle w:val="Heading2"/>
      </w:pPr>
      <w:r>
        <w:t xml:space="preserve">Fuentes controladas</w:t>
      </w:r>
    </w:p>
    <w:p>
      <w:pPr>
        <w:numPr>
          <w:ilvl w:val="0"/>
          <w:numId w:val="1040"/>
        </w:numPr>
        <w:pStyle w:val="Compact"/>
      </w:pPr>
      <w:hyperlink r:id="rId66">
        <w:hyperlink r:id="rId6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67">
        <w:hyperlink r:id="rId6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68">
        <w:hyperlink r:id="rId6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69">
        <w:hyperlink r:id="rId6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2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40"/>
        </w:numPr>
        <w:pStyle w:val="Compact"/>
      </w:pPr>
      <w:hyperlink r:id="rId83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40"/>
        </w:numPr>
        <w:pStyle w:val="Compact"/>
      </w:pPr>
      <w:hyperlink r:id="rId84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40"/>
        </w:numPr>
        <w:pStyle w:val="Compact"/>
      </w:pP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7">
        <w:r>
          <w:rPr>
            <w:rStyle w:val="Hyperlink"/>
          </w:rPr>
          <w:t xml:space="preserve">https://www.section508.gov/create/</w:t>
        </w:r>
      </w:hyperlink>
    </w:p>
    <w:bookmarkEnd w:id="88"/>
    <w:bookmarkStart w:id="89" w:name="aviso-de-alcance-y-no-garantía"/>
    <w:p>
      <w:pPr>
        <w:pStyle w:val="Heading2"/>
      </w:pPr>
      <w:r>
        <w:t xml:space="preserve">Aviso de alcance y no garantía</w:t>
      </w:r>
    </w:p>
    <w:p>
      <w:pPr>
        <w:pStyle w:val="FirstParagraph"/>
      </w:pPr>
      <w:r>
        <w:t xml:space="preserve">Esta guía ofrece información educativa y de planificación profesional. No garantiza empleo, ingresos, admisión, financiación, certificación, licencia, promoción ni ningún otro resultado. Los requisitos, remuneración y oportunidades cambian según jurisdicción, empleador y tiempo.</w:t>
      </w:r>
    </w:p>
    <w:p>
      <w:pPr>
        <w:pStyle w:val="BodyText"/>
      </w:pPr>
      <w:r>
        <w:t xml:space="preserve">No proporciona asesoría legal, autorización de ciberseguridad, autorización para pruebas de penetración, aprobación de arquitectura ni certificación de accesibilidad. Siga la ley aplicable, las políticas del empleador, los procesos de cambio y la autoridad asignada.</w:t>
      </w:r>
    </w:p>
    <w:p>
      <w:pPr>
        <w:pStyle w:val="BodyText"/>
      </w:pPr>
      <w:r>
        <w:t xml:space="preserve">Creada y dirigida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ChatGPT apoyó la investigación, organización, edición, apoyo de traducción y preparación de documentos bajo la dirección del autor. El autor conserva la responsabilidad por las decisiones editoriales y de publicación.</w:t>
      </w:r>
    </w:p>
    <w:p>
      <w:pPr>
        <w:pStyle w:val="BodyText"/>
      </w:pPr>
      <w:r>
        <w:t xml:space="preserve">Salvo que un archivo indique lo contrario, estos materiales se ofrecen bajo licencia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betowa.sena.edu.co/oferta/gestion-de-redes-de-datos?level=6&amp;modality=V&amp;programId=107412" TargetMode="External" /><Relationship Type="http://schemas.openxmlformats.org/officeDocument/2006/relationships/hyperlink" Id="rId80" Target="https://betowa.sena.edu.co/oferta/instalacion-de-redes-de-computadores?level=2&amp;location=57008001&amp;modality=P&amp;programId=132975" TargetMode="External" /><Relationship Type="http://schemas.openxmlformats.org/officeDocument/2006/relationships/hyperlink" Id="rId79" Target="https://ocupacol.mintrabajo.gov.co/Profile/OccupationalProfile/35130" TargetMode="External" /><Relationship Type="http://schemas.openxmlformats.org/officeDocument/2006/relationships/hyperlink" Id="rId78" Target="https://www.canada.ca/en/services/jobs/training.html" TargetMode="External" /><Relationship Type="http://schemas.openxmlformats.org/officeDocument/2006/relationships/hyperlink" Id="rId73" Target="https://www.careeronestop.org/FindTraining/find-training.aspx" TargetMode="External" /><Relationship Type="http://schemas.openxmlformats.org/officeDocument/2006/relationships/hyperlink" Id="rId72" Target="https://www.careeronestop.org/LocalHelp/EmploymentAndTraining/find-WIOA-training-programs.aspx" TargetMode="External" /><Relationship Type="http://schemas.openxmlformats.org/officeDocument/2006/relationships/hyperlink" Id="rId83" Target="https://www.cisa.gov/secure-our-world" TargetMode="External" /><Relationship Type="http://schemas.openxmlformats.org/officeDocument/2006/relationships/hyperlink" Id="rId74" Target="https://www.indeed.com/career/network-technician/salaries" TargetMode="External" /><Relationship Type="http://schemas.openxmlformats.org/officeDocument/2006/relationships/hyperlink" Id="rId76" Target="https://www.jobbank.gc.ca/marketreport/requirements/24514/ca" TargetMode="External" /><Relationship Type="http://schemas.openxmlformats.org/officeDocument/2006/relationships/hyperlink" Id="rId75" Target="https://www.jobbank.gc.ca/marketreport/summary-occupation/24514/ca" TargetMode="External" /><Relationship Type="http://schemas.openxmlformats.org/officeDocument/2006/relationships/hyperlink" Id="rId77" Target="https://www.jobbank.gc.ca/wagereport/occupation/24514" TargetMode="External" /><Relationship Type="http://schemas.openxmlformats.org/officeDocument/2006/relationships/hyperlink" Id="rId84" Target="https://www.nist.gov/cyberframework" TargetMode="External" /><Relationship Type="http://schemas.openxmlformats.org/officeDocument/2006/relationships/hyperlink" Id="rId85" Target="https://www.nist.gov/itl/ai-risk-management-framework" TargetMode="External" /><Relationship Type="http://schemas.openxmlformats.org/officeDocument/2006/relationships/hyperlink" Id="rId86" Target="https://www.nist.gov/publications/artificial-intelligence-risk-management-framework-generative-artificial-intelligence" TargetMode="External" /><Relationship Type="http://schemas.openxmlformats.org/officeDocument/2006/relationships/hyperlink" Id="rId82" Target="https://www.oitcinterfor.org/statsfp/paises" TargetMode="External" /><Relationship Type="http://schemas.openxmlformats.org/officeDocument/2006/relationships/hyperlink" Id="rId71" Target="https://www.onetonline.org/link/demand/15-1231.00" TargetMode="External" /><Relationship Type="http://schemas.openxmlformats.org/officeDocument/2006/relationships/hyperlink" Id="rId66" Target="https://www.onetonline.org/link/details/15-1231.00" TargetMode="External" /><Relationship Type="http://schemas.openxmlformats.org/officeDocument/2006/relationships/hyperlink" Id="rId70" Target="https://www.onetonline.org/link/hot_tech/15-1231.00" TargetMode="External" /><Relationship Type="http://schemas.openxmlformats.org/officeDocument/2006/relationships/hyperlink" Id="rId69" Target="https://www.onetonline.org/link/localtrends/15-1231.00" TargetMode="External" /><Relationship Type="http://schemas.openxmlformats.org/officeDocument/2006/relationships/hyperlink" Id="rId68" Target="https://www.onetonline.org/link/localwages/15-1231.00" TargetMode="External" /><Relationship Type="http://schemas.openxmlformats.org/officeDocument/2006/relationships/hyperlink" Id="rId67" Target="https://www.onetonline.org/link/summary/15-1231.00" TargetMode="External" /><Relationship Type="http://schemas.openxmlformats.org/officeDocument/2006/relationships/hyperlink" Id="rId87" Target="https://www.section508.gov/crea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betowa.sena.edu.co/oferta/gestion-de-redes-de-datos?level=6&amp;modality=V&amp;programId=107412" TargetMode="External" /><Relationship Type="http://schemas.openxmlformats.org/officeDocument/2006/relationships/hyperlink" Id="rId80" Target="https://betowa.sena.edu.co/oferta/instalacion-de-redes-de-computadores?level=2&amp;location=57008001&amp;modality=P&amp;programId=132975" TargetMode="External" /><Relationship Type="http://schemas.openxmlformats.org/officeDocument/2006/relationships/hyperlink" Id="rId79" Target="https://ocupacol.mintrabajo.gov.co/Profile/OccupationalProfile/35130" TargetMode="External" /><Relationship Type="http://schemas.openxmlformats.org/officeDocument/2006/relationships/hyperlink" Id="rId78" Target="https://www.canada.ca/en/services/jobs/training.html" TargetMode="External" /><Relationship Type="http://schemas.openxmlformats.org/officeDocument/2006/relationships/hyperlink" Id="rId73" Target="https://www.careeronestop.org/FindTraining/find-training.aspx" TargetMode="External" /><Relationship Type="http://schemas.openxmlformats.org/officeDocument/2006/relationships/hyperlink" Id="rId72" Target="https://www.careeronestop.org/LocalHelp/EmploymentAndTraining/find-WIOA-training-programs.aspx" TargetMode="External" /><Relationship Type="http://schemas.openxmlformats.org/officeDocument/2006/relationships/hyperlink" Id="rId83" Target="https://www.cisa.gov/secure-our-world" TargetMode="External" /><Relationship Type="http://schemas.openxmlformats.org/officeDocument/2006/relationships/hyperlink" Id="rId74" Target="https://www.indeed.com/career/network-technician/salaries" TargetMode="External" /><Relationship Type="http://schemas.openxmlformats.org/officeDocument/2006/relationships/hyperlink" Id="rId76" Target="https://www.jobbank.gc.ca/marketreport/requirements/24514/ca" TargetMode="External" /><Relationship Type="http://schemas.openxmlformats.org/officeDocument/2006/relationships/hyperlink" Id="rId75" Target="https://www.jobbank.gc.ca/marketreport/summary-occupation/24514/ca" TargetMode="External" /><Relationship Type="http://schemas.openxmlformats.org/officeDocument/2006/relationships/hyperlink" Id="rId77" Target="https://www.jobbank.gc.ca/wagereport/occupation/24514" TargetMode="External" /><Relationship Type="http://schemas.openxmlformats.org/officeDocument/2006/relationships/hyperlink" Id="rId84" Target="https://www.nist.gov/cyberframework" TargetMode="External" /><Relationship Type="http://schemas.openxmlformats.org/officeDocument/2006/relationships/hyperlink" Id="rId85" Target="https://www.nist.gov/itl/ai-risk-management-framework" TargetMode="External" /><Relationship Type="http://schemas.openxmlformats.org/officeDocument/2006/relationships/hyperlink" Id="rId86" Target="https://www.nist.gov/publications/artificial-intelligence-risk-management-framework-generative-artificial-intelligence" TargetMode="External" /><Relationship Type="http://schemas.openxmlformats.org/officeDocument/2006/relationships/hyperlink" Id="rId82" Target="https://www.oitcinterfor.org/statsfp/paises" TargetMode="External" /><Relationship Type="http://schemas.openxmlformats.org/officeDocument/2006/relationships/hyperlink" Id="rId71" Target="https://www.onetonline.org/link/demand/15-1231.00" TargetMode="External" /><Relationship Type="http://schemas.openxmlformats.org/officeDocument/2006/relationships/hyperlink" Id="rId66" Target="https://www.onetonline.org/link/details/15-1231.00" TargetMode="External" /><Relationship Type="http://schemas.openxmlformats.org/officeDocument/2006/relationships/hyperlink" Id="rId70" Target="https://www.onetonline.org/link/hot_tech/15-1231.00" TargetMode="External" /><Relationship Type="http://schemas.openxmlformats.org/officeDocument/2006/relationships/hyperlink" Id="rId69" Target="https://www.onetonline.org/link/localtrends/15-1231.00" TargetMode="External" /><Relationship Type="http://schemas.openxmlformats.org/officeDocument/2006/relationships/hyperlink" Id="rId68" Target="https://www.onetonline.org/link/localwages/15-1231.00" TargetMode="External" /><Relationship Type="http://schemas.openxmlformats.org/officeDocument/2006/relationships/hyperlink" Id="rId67" Target="https://www.onetonline.org/link/summary/15-1231.00" TargetMode="External" /><Relationship Type="http://schemas.openxmlformats.org/officeDocument/2006/relationships/hyperlink" Id="rId87" Target="https://www.section508.gov/creat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2026-08-22T04:08:04Z</dcterms:created>
  <dcterms:modified xsi:type="dcterms:W3CDTF">2026-08-22T04:08:04Z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