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X97ebb3a00864c8cd58c156b14ba90f2aa3edc39"/>
    <w:p>
      <w:pPr>
        <w:pStyle w:val="Heading1"/>
      </w:pPr>
      <w:r>
        <w:t xml:space="preserve">Guía de Oportunidades para Toda la Vida 86 — Administrador de Bases de Datos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 — maestro de trabajo controlado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latinoamericano neutral (</w:t>
      </w:r>
      <w:r>
        <w:rPr>
          <w:rStyle w:val="VerbatimChar"/>
        </w:rPr>
        <w:t xml:space="preserve">es-419</w:t>
      </w:r>
      <w:r>
        <w:t xml:space="preserve">)</w:t>
      </w:r>
      <w:r>
        <w:br/>
      </w:r>
      <w:r>
        <w:rPr>
          <w:bCs/>
          <w:b/>
        </w:rPr>
        <w:t xml:space="preserve">Referencia principal de EE. UU.:</w:t>
      </w:r>
      <w:r>
        <w:t xml:space="preserve"> </w:t>
      </w:r>
      <w:r>
        <w:t xml:space="preserve">O*NET-SOC 15-1242.00 — Database Administrators</w:t>
      </w:r>
      <w:r>
        <w:br/>
      </w:r>
      <w:r>
        <w:rPr>
          <w:bCs/>
          <w:b/>
        </w:rPr>
        <w:t xml:space="preserve">Comparación de Canadá:</w:t>
      </w:r>
      <w:r>
        <w:t xml:space="preserve"> </w:t>
      </w:r>
      <w:r>
        <w:t xml:space="preserve">NOC 21223 — Database analysts and data administrators</w:t>
      </w:r>
      <w:r>
        <w:br/>
      </w:r>
      <w:r>
        <w:rPr>
          <w:bCs/>
          <w:b/>
        </w:rPr>
        <w:t xml:space="preserve">Comparación de Colombia:</w:t>
      </w:r>
      <w:r>
        <w:t xml:space="preserve"> </w:t>
      </w:r>
      <w:r>
        <w:t xml:space="preserve">CUOC 25210 — Diseñadores y administradores de bases de datos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2026-08-22</w:t>
      </w:r>
      <w:r>
        <w:br/>
      </w:r>
      <w:r>
        <w:rPr>
          <w:bCs/>
          <w:b/>
        </w:rPr>
        <w:t xml:space="preserve">Fuente inglesa congelada:</w:t>
      </w:r>
      <w:r>
        <w:t xml:space="preserve"> </w:t>
      </w:r>
      <w:r>
        <w:t xml:space="preserve">blob</w:t>
      </w:r>
      <w:r>
        <w:t xml:space="preserve"> </w:t>
      </w:r>
      <w:r>
        <w:rPr>
          <w:rStyle w:val="VerbatimChar"/>
        </w:rPr>
        <w:t xml:space="preserve">ce3f8215c91230c15e1efdd702e6f73571c7ae18</w:t>
      </w:r>
    </w:p>
    <w:bookmarkStart w:id="20" w:name="qué-es-esta-carrera"/>
    <w:p>
      <w:pPr>
        <w:pStyle w:val="Heading2"/>
      </w:pPr>
      <w:r>
        <w:t xml:space="preserve">Qué es esta carrera</w:t>
      </w:r>
    </w:p>
    <w:p>
      <w:pPr>
        <w:pStyle w:val="FirstParagraph"/>
      </w:pPr>
      <w:r>
        <w:t xml:space="preserve">Un Administrador de Bases de Datos (DBA) ayuda a mantener las bases de datos de una organización disponibles, correctas, seguras, recuperables y sostenibles. El trabajo puede incluir instalar o configurar sistemas gestores de bases de datos, crear y mantener bases de datos, controlar accesos, probar cambios, monitorear rendimiento y capacidad, aplicar actualizaciones aprobadas, apoyar respaldos y recuperación, resolver incidentes, documentar configuraciones y ayudar a otros equipos a usar los sistemas de datos de manera segura.</w:t>
      </w:r>
    </w:p>
    <w:p>
      <w:pPr>
        <w:pStyle w:val="BodyText"/>
      </w:pPr>
      <w:r>
        <w:t xml:space="preserve">Esta guía usa</w:t>
      </w:r>
      <w:r>
        <w:t xml:space="preserve"> </w:t>
      </w:r>
      <w:r>
        <w:rPr>
          <w:bCs/>
          <w:b/>
        </w:rPr>
        <w:t xml:space="preserve">O*NET-SOC 15-1242.00 — Database Administrators</w:t>
      </w:r>
      <w:r>
        <w:t xml:space="preserve"> </w:t>
      </w:r>
      <w:r>
        <w:t xml:space="preserve">como referencia principal de Estados Unidos. Canadá se compara con</w:t>
      </w:r>
      <w:r>
        <w:t xml:space="preserve"> </w:t>
      </w:r>
      <w:r>
        <w:rPr>
          <w:bCs/>
          <w:b/>
        </w:rPr>
        <w:t xml:space="preserve">NOC 21223 — Database analysts and data administrators</w:t>
      </w:r>
      <w:r>
        <w:t xml:space="preserve">. Colombia tiene una correspondencia directa en</w:t>
      </w:r>
      <w:r>
        <w:t xml:space="preserve"> </w:t>
      </w:r>
      <w:r>
        <w:rPr>
          <w:bCs/>
          <w:b/>
        </w:rPr>
        <w:t xml:space="preserve">CUOC 25210 — Diseñadores y administradores de bases de datos</w:t>
      </w:r>
      <w:r>
        <w:t xml:space="preserve">, que incluye expresamente la denominación</w:t>
      </w:r>
      <w:r>
        <w:t xml:space="preserve"> </w:t>
      </w:r>
      <w:r>
        <w:rPr>
          <w:iCs/>
          <w:i/>
        </w:rPr>
        <w:t xml:space="preserve">Administrador de base de datos</w:t>
      </w:r>
      <w:r>
        <w:t xml:space="preserve">.</w:t>
      </w:r>
    </w:p>
    <w:p>
      <w:pPr>
        <w:pStyle w:val="BodyText"/>
      </w:pPr>
      <w:r>
        <w:t xml:space="preserve">Un DBA puede tener acceso técnico muy poderoso. Eso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significa que tenga autorización irrestricta para leer, copiar, modificar, exportar o borrar cualquier información. Los cambios de producción, el acceso privilegiado, los respaldos, los controles de seguridad y las acciones de recuperación deben permanecer dentro de la autorización del empleador, la gestión de cambios y las obligaciones aplicables de privacidad y seguridad.</w:t>
      </w:r>
    </w:p>
    <w:bookmarkEnd w:id="20"/>
    <w:bookmarkStart w:id="21" w:name="Xb12dfe741340d324d93fb8f3e21198b08fd3697"/>
    <w:p>
      <w:pPr>
        <w:pStyle w:val="Heading2"/>
      </w:pPr>
      <w:r>
        <w:t xml:space="preserve">Por qué esta carrera sigue siendo importante</w:t>
      </w:r>
    </w:p>
    <w:p>
      <w:pPr>
        <w:pStyle w:val="FirstParagraph"/>
      </w:pPr>
      <w:r>
        <w:t xml:space="preserve">Las organizaciones dependen de bases de datos para transacciones, clientes, finanzas, operaciones, logística, salud, servicios públicos, analítica, identidad, aplicaciones y sistemas internos. Las plataformas en la nube y los servicios administrados automatizan algunas tareas de infraestructura, pero no eliminan la necesidad de personas capaces de:</w:t>
      </w:r>
    </w:p>
    <w:p>
      <w:pPr>
        <w:numPr>
          <w:ilvl w:val="0"/>
          <w:numId w:val="1001"/>
        </w:numPr>
        <w:pStyle w:val="Compact"/>
      </w:pPr>
      <w:r>
        <w:t xml:space="preserve">comprender estructuras y dependencias de datos;</w:t>
      </w:r>
    </w:p>
    <w:p>
      <w:pPr>
        <w:numPr>
          <w:ilvl w:val="0"/>
          <w:numId w:val="1001"/>
        </w:numPr>
        <w:pStyle w:val="Compact"/>
      </w:pPr>
      <w:r>
        <w:t xml:space="preserve">controlar accesos;</w:t>
      </w:r>
    </w:p>
    <w:p>
      <w:pPr>
        <w:numPr>
          <w:ilvl w:val="0"/>
          <w:numId w:val="1001"/>
        </w:numPr>
        <w:pStyle w:val="Compact"/>
      </w:pPr>
      <w:r>
        <w:t xml:space="preserve">detectar problemas de rendimiento o capacidad;</w:t>
      </w:r>
    </w:p>
    <w:p>
      <w:pPr>
        <w:numPr>
          <w:ilvl w:val="0"/>
          <w:numId w:val="1001"/>
        </w:numPr>
        <w:pStyle w:val="Compact"/>
      </w:pPr>
      <w:r>
        <w:t xml:space="preserve">proteger integridad y disponibilidad;</w:t>
      </w:r>
    </w:p>
    <w:p>
      <w:pPr>
        <w:numPr>
          <w:ilvl w:val="0"/>
          <w:numId w:val="1001"/>
        </w:numPr>
        <w:pStyle w:val="Compact"/>
      </w:pPr>
      <w:r>
        <w:t xml:space="preserve">comprobar respaldos y capacidad real de recuperación;</w:t>
      </w:r>
    </w:p>
    <w:p>
      <w:pPr>
        <w:numPr>
          <w:ilvl w:val="0"/>
          <w:numId w:val="1001"/>
        </w:numPr>
        <w:pStyle w:val="Compact"/>
      </w:pPr>
      <w:r>
        <w:t xml:space="preserve">planear y validar cambios;</w:t>
      </w:r>
    </w:p>
    <w:p>
      <w:pPr>
        <w:numPr>
          <w:ilvl w:val="0"/>
          <w:numId w:val="1001"/>
        </w:numPr>
        <w:pStyle w:val="Compact"/>
      </w:pPr>
      <w:r>
        <w:t xml:space="preserve">investigar incidentes;</w:t>
      </w:r>
    </w:p>
    <w:p>
      <w:pPr>
        <w:numPr>
          <w:ilvl w:val="0"/>
          <w:numId w:val="1001"/>
        </w:numPr>
        <w:pStyle w:val="Compact"/>
      </w:pPr>
      <w:r>
        <w:t xml:space="preserve">documentar sistemas;</w:t>
      </w:r>
    </w:p>
    <w:p>
      <w:pPr>
        <w:numPr>
          <w:ilvl w:val="0"/>
          <w:numId w:val="1001"/>
        </w:numPr>
        <w:pStyle w:val="Compact"/>
      </w:pPr>
      <w:r>
        <w:t xml:space="preserve">coordinar con equipos de aplicaciones, nube, seguridad y negocio.</w:t>
      </w:r>
    </w:p>
    <w:p>
      <w:pPr>
        <w:pStyle w:val="FirstParagraph"/>
      </w:pPr>
      <w:r>
        <w:t xml:space="preserve">La ocupación está evolucionando, no simplemente desapareciendo. Las proyecciones actuales de EE. UU. muestran una ligera disminución del empleo total de DBA, pero el reemplazo y la rotación siguen generando miles de vacantes al año. Por eso conviene desarrollar habilidades transferibles entre bases tradicionales, servicios administrados en nube, automatización, plataformas de datos y operaciones con enfoque de seguridad.</w:t>
      </w:r>
    </w:p>
    <w:bookmarkEnd w:id="21"/>
    <w:bookmarkStart w:id="22" w:name="Xa43bd8e09389da3fd1f62ba95f0a216290daa60"/>
    <w:p>
      <w:pPr>
        <w:pStyle w:val="Heading2"/>
      </w:pPr>
      <w:r>
        <w:t xml:space="preserve">Qué hace realmente un Administrador de Bases de Datos</w:t>
      </w:r>
    </w:p>
    <w:p>
      <w:pPr>
        <w:pStyle w:val="FirstParagraph"/>
      </w:pPr>
      <w:r>
        <w:t xml:space="preserve">Las tareas actuales de O*NET incluyen:</w:t>
      </w:r>
    </w:p>
    <w:p>
      <w:pPr>
        <w:numPr>
          <w:ilvl w:val="0"/>
          <w:numId w:val="1002"/>
        </w:numPr>
        <w:pStyle w:val="Compact"/>
      </w:pPr>
      <w:r>
        <w:t xml:space="preserve">modificar bases de datos o plataformas DBMS existentes, o dirigir cambios aprobados;</w:t>
      </w:r>
    </w:p>
    <w:p>
      <w:pPr>
        <w:numPr>
          <w:ilvl w:val="0"/>
          <w:numId w:val="1002"/>
        </w:numPr>
        <w:pStyle w:val="Compact"/>
      </w:pPr>
      <w:r>
        <w:t xml:space="preserve">planear e implementar medidas de seguridad para bases de datos;</w:t>
      </w:r>
    </w:p>
    <w:p>
      <w:pPr>
        <w:numPr>
          <w:ilvl w:val="0"/>
          <w:numId w:val="1002"/>
        </w:numPr>
        <w:pStyle w:val="Compact"/>
      </w:pPr>
      <w:r>
        <w:t xml:space="preserve">instalar actualizaciones aprobadas de DBMS;</w:t>
      </w:r>
    </w:p>
    <w:p>
      <w:pPr>
        <w:numPr>
          <w:ilvl w:val="0"/>
          <w:numId w:val="1002"/>
        </w:numPr>
        <w:pStyle w:val="Compact"/>
      </w:pPr>
      <w:r>
        <w:t xml:space="preserve">especificar usuarios y niveles de acceso;</w:t>
      </w:r>
    </w:p>
    <w:p>
      <w:pPr>
        <w:numPr>
          <w:ilvl w:val="0"/>
          <w:numId w:val="1002"/>
        </w:numPr>
        <w:pStyle w:val="Compact"/>
      </w:pPr>
      <w:r>
        <w:t xml:space="preserve">probar cambios de bases de datos y aplicaciones;</w:t>
      </w:r>
    </w:p>
    <w:p>
      <w:pPr>
        <w:numPr>
          <w:ilvl w:val="0"/>
          <w:numId w:val="1002"/>
        </w:numPr>
        <w:pStyle w:val="Compact"/>
      </w:pPr>
      <w:r>
        <w:t xml:space="preserve">corregir errores y realizar modificaciones necesarias;</w:t>
      </w:r>
    </w:p>
    <w:p>
      <w:pPr>
        <w:numPr>
          <w:ilvl w:val="0"/>
          <w:numId w:val="1002"/>
        </w:numPr>
        <w:pStyle w:val="Compact"/>
      </w:pPr>
      <w:r>
        <w:t xml:space="preserve">capacitar usuarios y apoyar personal técnico junior o clientes;</w:t>
      </w:r>
    </w:p>
    <w:p>
      <w:pPr>
        <w:numPr>
          <w:ilvl w:val="0"/>
          <w:numId w:val="1002"/>
        </w:numPr>
        <w:pStyle w:val="Compact"/>
      </w:pPr>
      <w:r>
        <w:t xml:space="preserve">planear y supervisar instalación y pruebas de nuevos sistemas de bases de datos cuando corresponda;</w:t>
      </w:r>
    </w:p>
    <w:p>
      <w:pPr>
        <w:numPr>
          <w:ilvl w:val="0"/>
          <w:numId w:val="1002"/>
        </w:numPr>
        <w:pStyle w:val="Compact"/>
      </w:pPr>
      <w:r>
        <w:t xml:space="preserve">evaluar rendimiento;</w:t>
      </w:r>
    </w:p>
    <w:p>
      <w:pPr>
        <w:numPr>
          <w:ilvl w:val="0"/>
          <w:numId w:val="1002"/>
        </w:numPr>
        <w:pStyle w:val="Compact"/>
      </w:pPr>
      <w:r>
        <w:t xml:space="preserve">desarrollar parámetros, especificaciones y modelos de datos.</w:t>
      </w:r>
    </w:p>
    <w:p>
      <w:pPr>
        <w:pStyle w:val="FirstParagraph"/>
      </w:pPr>
      <w:r>
        <w:t xml:space="preserve">Un puesto puede enfatizar solo una parte de estas funciones. Algunos DBA se concentran en Oracle o SQL Server; otros trabajan con PostgreSQL, MySQL, bases administradas en nube, warehouses, NoSQL, alta disponibilidad, automatización o soporte de aplicaciones.</w:t>
      </w:r>
    </w:p>
    <w:bookmarkEnd w:id="22"/>
    <w:bookmarkStart w:id="28" w:name="Xe685037843b4b62e4a3681728cbd80f173276b2"/>
    <w:p>
      <w:pPr>
        <w:pStyle w:val="Heading2"/>
      </w:pPr>
      <w:r>
        <w:t xml:space="preserve">Un DBA no es lo mismo que todos los roles de datos cercanos</w:t>
      </w:r>
    </w:p>
    <w:bookmarkStart w:id="23" w:name="administrador-de-bases-de-datos"/>
    <w:p>
      <w:pPr>
        <w:pStyle w:val="Heading3"/>
      </w:pPr>
      <w:r>
        <w:t xml:space="preserve">Administrador de Bases de Datos</w:t>
      </w:r>
    </w:p>
    <w:p>
      <w:pPr>
        <w:pStyle w:val="FirstParagraph"/>
      </w:pPr>
      <w:r>
        <w:t xml:space="preserve">Suele enfatizar:</w:t>
      </w:r>
    </w:p>
    <w:p>
      <w:pPr>
        <w:numPr>
          <w:ilvl w:val="0"/>
          <w:numId w:val="1003"/>
        </w:numPr>
        <w:pStyle w:val="Compact"/>
      </w:pPr>
      <w:r>
        <w:t xml:space="preserve">bases operativas;</w:t>
      </w:r>
    </w:p>
    <w:p>
      <w:pPr>
        <w:numPr>
          <w:ilvl w:val="0"/>
          <w:numId w:val="1003"/>
        </w:numPr>
        <w:pStyle w:val="Compact"/>
      </w:pPr>
      <w:r>
        <w:t xml:space="preserve">seguridad y acceso;</w:t>
      </w:r>
    </w:p>
    <w:p>
      <w:pPr>
        <w:numPr>
          <w:ilvl w:val="0"/>
          <w:numId w:val="1003"/>
        </w:numPr>
        <w:pStyle w:val="Compact"/>
      </w:pPr>
      <w:r>
        <w:t xml:space="preserve">respaldo y recuperación;</w:t>
      </w:r>
    </w:p>
    <w:p>
      <w:pPr>
        <w:numPr>
          <w:ilvl w:val="0"/>
          <w:numId w:val="1003"/>
        </w:numPr>
        <w:pStyle w:val="Compact"/>
      </w:pPr>
      <w:r>
        <w:t xml:space="preserve">parches y actualizaciones;</w:t>
      </w:r>
    </w:p>
    <w:p>
      <w:pPr>
        <w:numPr>
          <w:ilvl w:val="0"/>
          <w:numId w:val="1003"/>
        </w:numPr>
        <w:pStyle w:val="Compact"/>
      </w:pPr>
      <w:r>
        <w:t xml:space="preserve">rendimiento;</w:t>
      </w:r>
    </w:p>
    <w:p>
      <w:pPr>
        <w:numPr>
          <w:ilvl w:val="0"/>
          <w:numId w:val="1003"/>
        </w:numPr>
        <w:pStyle w:val="Compact"/>
      </w:pPr>
      <w:r>
        <w:t xml:space="preserve">capacidad;</w:t>
      </w:r>
    </w:p>
    <w:p>
      <w:pPr>
        <w:numPr>
          <w:ilvl w:val="0"/>
          <w:numId w:val="1003"/>
        </w:numPr>
        <w:pStyle w:val="Compact"/>
      </w:pPr>
      <w:r>
        <w:t xml:space="preserve">disponibilidad;</w:t>
      </w:r>
    </w:p>
    <w:p>
      <w:pPr>
        <w:numPr>
          <w:ilvl w:val="0"/>
          <w:numId w:val="1003"/>
        </w:numPr>
        <w:pStyle w:val="Compact"/>
      </w:pPr>
      <w:r>
        <w:t xml:space="preserve">incidentes;</w:t>
      </w:r>
    </w:p>
    <w:p>
      <w:pPr>
        <w:numPr>
          <w:ilvl w:val="0"/>
          <w:numId w:val="1003"/>
        </w:numPr>
        <w:pStyle w:val="Compact"/>
      </w:pPr>
      <w:r>
        <w:t xml:space="preserve">cambios controlados.</w:t>
      </w:r>
    </w:p>
    <w:bookmarkEnd w:id="23"/>
    <w:bookmarkStart w:id="24" w:name="desarrollador-de-bases-de-datos"/>
    <w:p>
      <w:pPr>
        <w:pStyle w:val="Heading3"/>
      </w:pPr>
      <w:r>
        <w:t xml:space="preserve">Desarrollador de bases de datos</w:t>
      </w:r>
    </w:p>
    <w:p>
      <w:pPr>
        <w:pStyle w:val="FirstParagraph"/>
      </w:pPr>
      <w:r>
        <w:t xml:space="preserve">Puede enfocarse más en:</w:t>
      </w:r>
    </w:p>
    <w:p>
      <w:pPr>
        <w:numPr>
          <w:ilvl w:val="0"/>
          <w:numId w:val="1004"/>
        </w:numPr>
        <w:pStyle w:val="Compact"/>
      </w:pPr>
      <w:r>
        <w:t xml:space="preserve">objetos del esquema;</w:t>
      </w:r>
    </w:p>
    <w:p>
      <w:pPr>
        <w:numPr>
          <w:ilvl w:val="0"/>
          <w:numId w:val="1004"/>
        </w:numPr>
        <w:pStyle w:val="Compact"/>
      </w:pPr>
      <w:r>
        <w:t xml:space="preserve">procedimientos almacenados;</w:t>
      </w:r>
    </w:p>
    <w:p>
      <w:pPr>
        <w:numPr>
          <w:ilvl w:val="0"/>
          <w:numId w:val="1004"/>
        </w:numPr>
        <w:pStyle w:val="Compact"/>
      </w:pPr>
      <w:r>
        <w:t xml:space="preserve">funciones;</w:t>
      </w:r>
    </w:p>
    <w:p>
      <w:pPr>
        <w:numPr>
          <w:ilvl w:val="0"/>
          <w:numId w:val="1004"/>
        </w:numPr>
        <w:pStyle w:val="Compact"/>
      </w:pPr>
      <w:r>
        <w:t xml:space="preserve">desarrollo de consultas;</w:t>
      </w:r>
    </w:p>
    <w:p>
      <w:pPr>
        <w:numPr>
          <w:ilvl w:val="0"/>
          <w:numId w:val="1004"/>
        </w:numPr>
        <w:pStyle w:val="Compact"/>
      </w:pPr>
      <w:r>
        <w:t xml:space="preserve">lógica de base de datos para aplicaciones.</w:t>
      </w:r>
    </w:p>
    <w:bookmarkEnd w:id="24"/>
    <w:bookmarkStart w:id="25" w:name="arquitecto-de-bases-de-datos"/>
    <w:p>
      <w:pPr>
        <w:pStyle w:val="Heading3"/>
      </w:pPr>
      <w:r>
        <w:t xml:space="preserve">Arquitecto de bases de datos</w:t>
      </w:r>
    </w:p>
    <w:p>
      <w:pPr>
        <w:pStyle w:val="FirstParagraph"/>
      </w:pPr>
      <w:r>
        <w:t xml:space="preserve">Suele trabajar en un nivel de diseño más amplio:</w:t>
      </w:r>
    </w:p>
    <w:p>
      <w:pPr>
        <w:numPr>
          <w:ilvl w:val="0"/>
          <w:numId w:val="1005"/>
        </w:numPr>
        <w:pStyle w:val="Compact"/>
      </w:pPr>
      <w:r>
        <w:t xml:space="preserve">selección de plataformas;</w:t>
      </w:r>
    </w:p>
    <w:p>
      <w:pPr>
        <w:numPr>
          <w:ilvl w:val="0"/>
          <w:numId w:val="1005"/>
        </w:numPr>
        <w:pStyle w:val="Compact"/>
      </w:pPr>
      <w:r>
        <w:t xml:space="preserve">arquitectura de datos;</w:t>
      </w:r>
    </w:p>
    <w:p>
      <w:pPr>
        <w:numPr>
          <w:ilvl w:val="0"/>
          <w:numId w:val="1005"/>
        </w:numPr>
        <w:pStyle w:val="Compact"/>
      </w:pPr>
      <w:r>
        <w:t xml:space="preserve">patrones de integración;</w:t>
      </w:r>
    </w:p>
    <w:p>
      <w:pPr>
        <w:numPr>
          <w:ilvl w:val="0"/>
          <w:numId w:val="1005"/>
        </w:numPr>
        <w:pStyle w:val="Compact"/>
      </w:pPr>
      <w:r>
        <w:t xml:space="preserve">resiliencia;</w:t>
      </w:r>
    </w:p>
    <w:p>
      <w:pPr>
        <w:numPr>
          <w:ilvl w:val="0"/>
          <w:numId w:val="1005"/>
        </w:numPr>
        <w:pStyle w:val="Compact"/>
      </w:pPr>
      <w:r>
        <w:t xml:space="preserve">estándares;</w:t>
      </w:r>
    </w:p>
    <w:p>
      <w:pPr>
        <w:numPr>
          <w:ilvl w:val="0"/>
          <w:numId w:val="1005"/>
        </w:numPr>
        <w:pStyle w:val="Compact"/>
      </w:pPr>
      <w:r>
        <w:t xml:space="preserve">diseño de largo plazo.</w:t>
      </w:r>
    </w:p>
    <w:bookmarkEnd w:id="25"/>
    <w:bookmarkStart w:id="26" w:name="ingeniero-de-datos"/>
    <w:p>
      <w:pPr>
        <w:pStyle w:val="Heading3"/>
      </w:pPr>
      <w:r>
        <w:t xml:space="preserve">Ingeniero de datos</w:t>
      </w:r>
    </w:p>
    <w:p>
      <w:pPr>
        <w:pStyle w:val="FirstParagraph"/>
      </w:pPr>
      <w:r>
        <w:t xml:space="preserve">A menudo se enfoca más en:</w:t>
      </w:r>
    </w:p>
    <w:p>
      <w:pPr>
        <w:numPr>
          <w:ilvl w:val="0"/>
          <w:numId w:val="1006"/>
        </w:numPr>
        <w:pStyle w:val="Compact"/>
      </w:pPr>
      <w:r>
        <w:t xml:space="preserve">pipelines;</w:t>
      </w:r>
    </w:p>
    <w:p>
      <w:pPr>
        <w:numPr>
          <w:ilvl w:val="0"/>
          <w:numId w:val="1006"/>
        </w:numPr>
        <w:pStyle w:val="Compact"/>
      </w:pPr>
      <w:r>
        <w:t xml:space="preserve">movimiento y transformación de datos;</w:t>
      </w:r>
    </w:p>
    <w:p>
      <w:pPr>
        <w:numPr>
          <w:ilvl w:val="0"/>
          <w:numId w:val="1006"/>
        </w:numPr>
        <w:pStyle w:val="Compact"/>
      </w:pPr>
      <w:r>
        <w:t xml:space="preserve">warehouses/lakes;</w:t>
      </w:r>
    </w:p>
    <w:p>
      <w:pPr>
        <w:numPr>
          <w:ilvl w:val="0"/>
          <w:numId w:val="1006"/>
        </w:numPr>
        <w:pStyle w:val="Compact"/>
      </w:pPr>
      <w:r>
        <w:t xml:space="preserve">orquestación;</w:t>
      </w:r>
    </w:p>
    <w:p>
      <w:pPr>
        <w:numPr>
          <w:ilvl w:val="0"/>
          <w:numId w:val="1006"/>
        </w:numPr>
        <w:pStyle w:val="Compact"/>
      </w:pPr>
      <w:r>
        <w:t xml:space="preserve">plataformas de analítica.</w:t>
      </w:r>
    </w:p>
    <w:bookmarkEnd w:id="26"/>
    <w:bookmarkStart w:id="27" w:name="analista-de-datos--analista-de-bi"/>
    <w:p>
      <w:pPr>
        <w:pStyle w:val="Heading3"/>
      </w:pPr>
      <w:r>
        <w:t xml:space="preserve">Analista de Datos / Analista de BI</w:t>
      </w:r>
    </w:p>
    <w:p>
      <w:pPr>
        <w:pStyle w:val="FirstParagraph"/>
      </w:pPr>
      <w:r>
        <w:t xml:space="preserve">Normalmente se concentra más en consultas, análisis, métricas, visualización e interpretación de negocio que en administración operacional de bases de datos.</w:t>
      </w:r>
    </w:p>
    <w:p>
      <w:pPr>
        <w:pStyle w:val="BodyText"/>
      </w:pPr>
      <w:r>
        <w:t xml:space="preserve">Los empleadores pueden combinar responsabilidades. Lea la descripción real del puesto, no solo el título.</w:t>
      </w:r>
    </w:p>
    <w:bookmarkEnd w:id="27"/>
    <w:bookmarkEnd w:id="28"/>
    <w:bookmarkStart w:id="29" w:name="Xef1296efdfc55eb1bc45068c0f282882e986988"/>
    <w:p>
      <w:pPr>
        <w:pStyle w:val="Heading2"/>
      </w:pPr>
      <w:r>
        <w:t xml:space="preserve">Primera regla operativa: conozca su autoridad antes de actuar</w:t>
      </w:r>
    </w:p>
    <w:p>
      <w:pPr>
        <w:pStyle w:val="FirstParagraph"/>
      </w:pPr>
      <w:r>
        <w:t xml:space="preserve">Antes de un cambio de producción, confirme:</w:t>
      </w:r>
    </w:p>
    <w:p>
      <w:pPr>
        <w:numPr>
          <w:ilvl w:val="0"/>
          <w:numId w:val="1007"/>
        </w:numPr>
        <w:pStyle w:val="Compact"/>
      </w:pPr>
      <w:r>
        <w:t xml:space="preserve">¿Qué sistema y ambiente están en alcance?</w:t>
      </w:r>
    </w:p>
    <w:p>
      <w:pPr>
        <w:numPr>
          <w:ilvl w:val="0"/>
          <w:numId w:val="1007"/>
        </w:numPr>
        <w:pStyle w:val="Compact"/>
      </w:pPr>
      <w:r>
        <w:t xml:space="preserve">¿La acción está autorizada?</w:t>
      </w:r>
    </w:p>
    <w:p>
      <w:pPr>
        <w:numPr>
          <w:ilvl w:val="0"/>
          <w:numId w:val="1007"/>
        </w:numPr>
        <w:pStyle w:val="Compact"/>
      </w:pPr>
      <w:r>
        <w:t xml:space="preserve">¿Se requiere ticket, aprobación o ventana de mantenimiento?</w:t>
      </w:r>
    </w:p>
    <w:p>
      <w:pPr>
        <w:numPr>
          <w:ilvl w:val="0"/>
          <w:numId w:val="1007"/>
        </w:numPr>
        <w:pStyle w:val="Compact"/>
      </w:pPr>
      <w:r>
        <w:t xml:space="preserve">¿Cuál es el impacto de negocio si falla?</w:t>
      </w:r>
    </w:p>
    <w:p>
      <w:pPr>
        <w:numPr>
          <w:ilvl w:val="0"/>
          <w:numId w:val="1007"/>
        </w:numPr>
        <w:pStyle w:val="Compact"/>
      </w:pPr>
      <w:r>
        <w:t xml:space="preserve">¿Se requiere respaldo, snapshot, punto de restauración o ruta de reversión?</w:t>
      </w:r>
    </w:p>
    <w:p>
      <w:pPr>
        <w:numPr>
          <w:ilvl w:val="0"/>
          <w:numId w:val="1007"/>
        </w:numPr>
        <w:pStyle w:val="Compact"/>
      </w:pPr>
      <w:r>
        <w:t xml:space="preserve">¿El script o cambio fue probado en un ambiente no productivo apropiado?</w:t>
      </w:r>
    </w:p>
    <w:p>
      <w:pPr>
        <w:numPr>
          <w:ilvl w:val="0"/>
          <w:numId w:val="1007"/>
        </w:numPr>
        <w:pStyle w:val="Compact"/>
      </w:pPr>
      <w:r>
        <w:t xml:space="preserve">¿Quién debe ser notificado?</w:t>
      </w:r>
    </w:p>
    <w:p>
      <w:pPr>
        <w:numPr>
          <w:ilvl w:val="0"/>
          <w:numId w:val="1007"/>
        </w:numPr>
        <w:pStyle w:val="Compact"/>
      </w:pPr>
      <w:r>
        <w:t xml:space="preserve">¿Qué validación demuestra éxito?</w:t>
      </w:r>
    </w:p>
    <w:p>
      <w:pPr>
        <w:numPr>
          <w:ilvl w:val="0"/>
          <w:numId w:val="1007"/>
        </w:numPr>
        <w:pStyle w:val="Compact"/>
      </w:pPr>
      <w:r>
        <w:t xml:space="preserve">¿Qué condición obliga a detenerse y escalar?</w:t>
      </w:r>
    </w:p>
    <w:p>
      <w:pPr>
        <w:numPr>
          <w:ilvl w:val="0"/>
          <w:numId w:val="1007"/>
        </w:numPr>
        <w:pStyle w:val="Compact"/>
      </w:pPr>
      <w:r>
        <w:t xml:space="preserve">¿Qué evidencia debe conservarse para auditoría o revisión de incidentes?</w:t>
      </w:r>
    </w:p>
    <w:p>
      <w:pPr>
        <w:pStyle w:val="FirstParagraph"/>
      </w:pPr>
      <w:r>
        <w:t xml:space="preserve">La capacidad técnica no equivale a autoridad organizacional.</w:t>
      </w:r>
    </w:p>
    <w:bookmarkEnd w:id="29"/>
    <w:bookmarkStart w:id="30" w:name="fundamentos-de-bases-de-datos"/>
    <w:p>
      <w:pPr>
        <w:pStyle w:val="Heading2"/>
      </w:pPr>
      <w:r>
        <w:t xml:space="preserve">Fundamentos de bases de datos</w:t>
      </w:r>
    </w:p>
    <w:p>
      <w:pPr>
        <w:pStyle w:val="FirstParagraph"/>
      </w:pPr>
      <w:r>
        <w:t xml:space="preserve">Un DBA sólido debe comprender:</w:t>
      </w:r>
    </w:p>
    <w:p>
      <w:pPr>
        <w:numPr>
          <w:ilvl w:val="0"/>
          <w:numId w:val="1008"/>
        </w:numPr>
        <w:pStyle w:val="Compact"/>
      </w:pPr>
      <w:r>
        <w:t xml:space="preserve">bases relacionales;</w:t>
      </w:r>
    </w:p>
    <w:p>
      <w:pPr>
        <w:numPr>
          <w:ilvl w:val="0"/>
          <w:numId w:val="1008"/>
        </w:numPr>
        <w:pStyle w:val="Compact"/>
      </w:pPr>
      <w:r>
        <w:t xml:space="preserve">tablas, filas y columnas;</w:t>
      </w:r>
    </w:p>
    <w:p>
      <w:pPr>
        <w:numPr>
          <w:ilvl w:val="0"/>
          <w:numId w:val="1008"/>
        </w:numPr>
        <w:pStyle w:val="Compact"/>
      </w:pPr>
      <w:r>
        <w:t xml:space="preserve">claves primarias y foráneas;</w:t>
      </w:r>
    </w:p>
    <w:p>
      <w:pPr>
        <w:numPr>
          <w:ilvl w:val="0"/>
          <w:numId w:val="1008"/>
        </w:numPr>
        <w:pStyle w:val="Compact"/>
      </w:pPr>
      <w:r>
        <w:t xml:space="preserve">restricciones;</w:t>
      </w:r>
    </w:p>
    <w:p>
      <w:pPr>
        <w:numPr>
          <w:ilvl w:val="0"/>
          <w:numId w:val="1008"/>
        </w:numPr>
        <w:pStyle w:val="Compact"/>
      </w:pPr>
      <w:r>
        <w:t xml:space="preserve">índices;</w:t>
      </w:r>
    </w:p>
    <w:p>
      <w:pPr>
        <w:numPr>
          <w:ilvl w:val="0"/>
          <w:numId w:val="1008"/>
        </w:numPr>
        <w:pStyle w:val="Compact"/>
      </w:pPr>
      <w:r>
        <w:t xml:space="preserve">vistas;</w:t>
      </w:r>
    </w:p>
    <w:p>
      <w:pPr>
        <w:numPr>
          <w:ilvl w:val="0"/>
          <w:numId w:val="1008"/>
        </w:numPr>
        <w:pStyle w:val="Compact"/>
      </w:pPr>
      <w:r>
        <w:t xml:space="preserve">esquemas;</w:t>
      </w:r>
    </w:p>
    <w:p>
      <w:pPr>
        <w:numPr>
          <w:ilvl w:val="0"/>
          <w:numId w:val="1008"/>
        </w:numPr>
        <w:pStyle w:val="Compact"/>
      </w:pPr>
      <w:r>
        <w:t xml:space="preserve">transacciones;</w:t>
      </w:r>
    </w:p>
    <w:p>
      <w:pPr>
        <w:numPr>
          <w:ilvl w:val="0"/>
          <w:numId w:val="1008"/>
        </w:numPr>
        <w:pStyle w:val="Compact"/>
      </w:pPr>
      <w:r>
        <w:t xml:space="preserve">aislamiento y concurrencia;</w:t>
      </w:r>
    </w:p>
    <w:p>
      <w:pPr>
        <w:numPr>
          <w:ilvl w:val="0"/>
          <w:numId w:val="1008"/>
        </w:numPr>
        <w:pStyle w:val="Compact"/>
      </w:pPr>
      <w:r>
        <w:t xml:space="preserve">normalización y desnormalización;</w:t>
      </w:r>
    </w:p>
    <w:p>
      <w:pPr>
        <w:numPr>
          <w:ilvl w:val="0"/>
          <w:numId w:val="1008"/>
        </w:numPr>
        <w:pStyle w:val="Compact"/>
      </w:pPr>
      <w:r>
        <w:t xml:space="preserve">tipos de datos;</w:t>
      </w:r>
    </w:p>
    <w:p>
      <w:pPr>
        <w:numPr>
          <w:ilvl w:val="0"/>
          <w:numId w:val="1008"/>
        </w:numPr>
        <w:pStyle w:val="Compact"/>
      </w:pPr>
      <w:r>
        <w:t xml:space="preserve">procedimientos/funciones cuando se utilicen;</w:t>
      </w:r>
    </w:p>
    <w:p>
      <w:pPr>
        <w:numPr>
          <w:ilvl w:val="0"/>
          <w:numId w:val="1008"/>
        </w:numPr>
        <w:pStyle w:val="Compact"/>
      </w:pPr>
      <w:r>
        <w:t xml:space="preserve">archivos y estructuras de almacenamiento;</w:t>
      </w:r>
    </w:p>
    <w:p>
      <w:pPr>
        <w:numPr>
          <w:ilvl w:val="0"/>
          <w:numId w:val="1008"/>
        </w:numPr>
        <w:pStyle w:val="Compact"/>
      </w:pPr>
      <w:r>
        <w:t xml:space="preserve">logs o journals;</w:t>
      </w:r>
    </w:p>
    <w:p>
      <w:pPr>
        <w:numPr>
          <w:ilvl w:val="0"/>
          <w:numId w:val="1008"/>
        </w:numPr>
        <w:pStyle w:val="Compact"/>
      </w:pPr>
      <w:r>
        <w:t xml:space="preserve">replicación;</w:t>
      </w:r>
    </w:p>
    <w:p>
      <w:pPr>
        <w:numPr>
          <w:ilvl w:val="0"/>
          <w:numId w:val="1008"/>
        </w:numPr>
        <w:pStyle w:val="Compact"/>
      </w:pPr>
      <w:r>
        <w:t xml:space="preserve">tipos de respaldo;</w:t>
      </w:r>
    </w:p>
    <w:p>
      <w:pPr>
        <w:numPr>
          <w:ilvl w:val="0"/>
          <w:numId w:val="1008"/>
        </w:numPr>
        <w:pStyle w:val="Compact"/>
      </w:pPr>
      <w:r>
        <w:t xml:space="preserve">recuperación;</w:t>
      </w:r>
    </w:p>
    <w:p>
      <w:pPr>
        <w:numPr>
          <w:ilvl w:val="0"/>
          <w:numId w:val="1008"/>
        </w:numPr>
        <w:pStyle w:val="Compact"/>
      </w:pPr>
      <w:r>
        <w:t xml:space="preserve">patrones de alta disponibilidad.</w:t>
      </w:r>
    </w:p>
    <w:p>
      <w:pPr>
        <w:pStyle w:val="FirstParagraph"/>
      </w:pPr>
      <w:r>
        <w:t xml:space="preserve">La implementación cambia por plataforma, pero los principios se transfieren.</w:t>
      </w:r>
    </w:p>
    <w:bookmarkEnd w:id="30"/>
    <w:bookmarkStart w:id="31" w:name="sql"/>
    <w:p>
      <w:pPr>
        <w:pStyle w:val="Heading2"/>
      </w:pPr>
      <w:r>
        <w:t xml:space="preserve">SQL</w:t>
      </w:r>
    </w:p>
    <w:p>
      <w:pPr>
        <w:pStyle w:val="FirstParagraph"/>
      </w:pPr>
      <w:r>
        <w:t xml:space="preserve">SQL es la señal tecnológica más frecuente en las ofertas actuales relacionadas con esta ocupación.</w:t>
      </w:r>
    </w:p>
    <w:p>
      <w:pPr>
        <w:pStyle w:val="BodyText"/>
      </w:pPr>
      <w:r>
        <w:t xml:space="preserve">Un DBA normalmente debe entender: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SELECT</w:t>
      </w:r>
      <w:r>
        <w:t xml:space="preserve"> </w:t>
      </w:r>
      <w:r>
        <w:t xml:space="preserve">y filtros;</w:t>
      </w:r>
    </w:p>
    <w:p>
      <w:pPr>
        <w:numPr>
          <w:ilvl w:val="0"/>
          <w:numId w:val="1009"/>
        </w:numPr>
        <w:pStyle w:val="Compact"/>
      </w:pPr>
      <w:r>
        <w:t xml:space="preserve">joins;</w:t>
      </w:r>
    </w:p>
    <w:p>
      <w:pPr>
        <w:numPr>
          <w:ilvl w:val="0"/>
          <w:numId w:val="1009"/>
        </w:numPr>
        <w:pStyle w:val="Compact"/>
      </w:pPr>
      <w:r>
        <w:t xml:space="preserve">agregación;</w:t>
      </w:r>
    </w:p>
    <w:p>
      <w:pPr>
        <w:numPr>
          <w:ilvl w:val="0"/>
          <w:numId w:val="1009"/>
        </w:numPr>
        <w:pStyle w:val="Compact"/>
      </w:pPr>
      <w:r>
        <w:t xml:space="preserve">lenguaje de definición de datos (DDL);</w:t>
      </w:r>
    </w:p>
    <w:p>
      <w:pPr>
        <w:numPr>
          <w:ilvl w:val="0"/>
          <w:numId w:val="1009"/>
        </w:numPr>
        <w:pStyle w:val="Compact"/>
      </w:pPr>
      <w:r>
        <w:t xml:space="preserve">lenguaje de manipulación de datos (DML);</w:t>
      </w:r>
    </w:p>
    <w:p>
      <w:pPr>
        <w:numPr>
          <w:ilvl w:val="0"/>
          <w:numId w:val="1009"/>
        </w:numPr>
        <w:pStyle w:val="Compact"/>
      </w:pPr>
      <w:r>
        <w:t xml:space="preserve">transacciones;</w:t>
      </w:r>
    </w:p>
    <w:p>
      <w:pPr>
        <w:numPr>
          <w:ilvl w:val="0"/>
          <w:numId w:val="1009"/>
        </w:numPr>
        <w:pStyle w:val="Compact"/>
      </w:pPr>
      <w:r>
        <w:t xml:space="preserve">permisos;</w:t>
      </w:r>
    </w:p>
    <w:p>
      <w:pPr>
        <w:numPr>
          <w:ilvl w:val="0"/>
          <w:numId w:val="1009"/>
        </w:numPr>
        <w:pStyle w:val="Compact"/>
      </w:pPr>
      <w:r>
        <w:t xml:space="preserve">índices;</w:t>
      </w:r>
    </w:p>
    <w:p>
      <w:pPr>
        <w:numPr>
          <w:ilvl w:val="0"/>
          <w:numId w:val="1009"/>
        </w:numPr>
        <w:pStyle w:val="Compact"/>
      </w:pPr>
      <w:r>
        <w:t xml:space="preserve">planes de ejecución;</w:t>
      </w:r>
    </w:p>
    <w:p>
      <w:pPr>
        <w:numPr>
          <w:ilvl w:val="0"/>
          <w:numId w:val="1009"/>
        </w:numPr>
        <w:pStyle w:val="Compact"/>
      </w:pPr>
      <w:r>
        <w:t xml:space="preserve">bloqueos y contención;</w:t>
      </w:r>
    </w:p>
    <w:p>
      <w:pPr>
        <w:numPr>
          <w:ilvl w:val="0"/>
          <w:numId w:val="1009"/>
        </w:numPr>
        <w:pStyle w:val="Compact"/>
      </w:pPr>
      <w:r>
        <w:t xml:space="preserve">procedimientos/funciones donde correspondan;</w:t>
      </w:r>
    </w:p>
    <w:p>
      <w:pPr>
        <w:numPr>
          <w:ilvl w:val="0"/>
          <w:numId w:val="1009"/>
        </w:numPr>
        <w:pStyle w:val="Compact"/>
      </w:pPr>
      <w:r>
        <w:t xml:space="preserve">vistas del catálogo/sistema;</w:t>
      </w:r>
    </w:p>
    <w:p>
      <w:pPr>
        <w:numPr>
          <w:ilvl w:val="0"/>
          <w:numId w:val="1009"/>
        </w:numPr>
        <w:pStyle w:val="Compact"/>
      </w:pPr>
      <w:r>
        <w:t xml:space="preserve">scripting seguro y validación de cambios.</w:t>
      </w:r>
    </w:p>
    <w:p>
      <w:pPr>
        <w:pStyle w:val="FirstParagraph"/>
      </w:pPr>
      <w:r>
        <w:t xml:space="preserve">Una consulta o script no es seguro solo porque se ejecuta sin error.</w:t>
      </w:r>
    </w:p>
    <w:p>
      <w:pPr>
        <w:pStyle w:val="BodyText"/>
      </w:pPr>
      <w:r>
        <w:t xml:space="preserve">Antes de una acción SQL de impacto, verifique:</w:t>
      </w:r>
    </w:p>
    <w:p>
      <w:pPr>
        <w:numPr>
          <w:ilvl w:val="0"/>
          <w:numId w:val="1010"/>
        </w:numPr>
        <w:pStyle w:val="Compact"/>
      </w:pPr>
      <w:r>
        <w:t xml:space="preserve">ambiente destino;</w:t>
      </w:r>
    </w:p>
    <w:p>
      <w:pPr>
        <w:numPr>
          <w:ilvl w:val="0"/>
          <w:numId w:val="1010"/>
        </w:numPr>
        <w:pStyle w:val="Compact"/>
      </w:pPr>
      <w:r>
        <w:t xml:space="preserve">nombres de objetos;</w:t>
      </w:r>
    </w:p>
    <w:p>
      <w:pPr>
        <w:numPr>
          <w:ilvl w:val="0"/>
          <w:numId w:val="1010"/>
        </w:numPr>
        <w:pStyle w:val="Compact"/>
      </w:pPr>
      <w:r>
        <w:t xml:space="preserve">alcance de filas;</w:t>
      </w:r>
    </w:p>
    <w:p>
      <w:pPr>
        <w:numPr>
          <w:ilvl w:val="0"/>
          <w:numId w:val="1010"/>
        </w:numPr>
        <w:pStyle w:val="Compact"/>
      </w:pPr>
      <w:r>
        <w:t xml:space="preserve">comportamiento de transacción;</w:t>
      </w:r>
    </w:p>
    <w:p>
      <w:pPr>
        <w:numPr>
          <w:ilvl w:val="0"/>
          <w:numId w:val="1010"/>
        </w:numPr>
        <w:pStyle w:val="Compact"/>
      </w:pPr>
      <w:r>
        <w:t xml:space="preserve">permisos;</w:t>
      </w:r>
    </w:p>
    <w:p>
      <w:pPr>
        <w:numPr>
          <w:ilvl w:val="0"/>
          <w:numId w:val="1010"/>
        </w:numPr>
        <w:pStyle w:val="Compact"/>
      </w:pPr>
      <w:r>
        <w:t xml:space="preserve">conteos esperados;</w:t>
      </w:r>
    </w:p>
    <w:p>
      <w:pPr>
        <w:numPr>
          <w:ilvl w:val="0"/>
          <w:numId w:val="1010"/>
        </w:numPr>
        <w:pStyle w:val="Compact"/>
      </w:pPr>
      <w:r>
        <w:t xml:space="preserve">preparación de respaldo/reversión;</w:t>
      </w:r>
    </w:p>
    <w:p>
      <w:pPr>
        <w:numPr>
          <w:ilvl w:val="0"/>
          <w:numId w:val="1010"/>
        </w:numPr>
        <w:pStyle w:val="Compact"/>
      </w:pPr>
      <w:r>
        <w:t xml:space="preserve">impacto de rendimiento;</w:t>
      </w:r>
    </w:p>
    <w:p>
      <w:pPr>
        <w:numPr>
          <w:ilvl w:val="0"/>
          <w:numId w:val="1010"/>
        </w:numPr>
        <w:pStyle w:val="Compact"/>
      </w:pPr>
      <w:r>
        <w:t xml:space="preserve">validación posterior.</w:t>
      </w:r>
    </w:p>
    <w:bookmarkEnd w:id="31"/>
    <w:bookmarkStart w:id="32" w:name="señales-tecnológicas-actuales"/>
    <w:p>
      <w:pPr>
        <w:pStyle w:val="Heading2"/>
      </w:pPr>
      <w:r>
        <w:t xml:space="preserve">Señales tecnológicas actuales</w:t>
      </w:r>
    </w:p>
    <w:p>
      <w:pPr>
        <w:pStyle w:val="FirstParagraph"/>
      </w:pPr>
      <w:r>
        <w:t xml:space="preserve">Los datos de ofertas de empleo de O*NET para 2025 muestran señales de demanda como:</w:t>
      </w:r>
    </w:p>
    <w:p>
      <w:pPr>
        <w:numPr>
          <w:ilvl w:val="0"/>
          <w:numId w:val="1011"/>
        </w:numPr>
        <w:pStyle w:val="Compact"/>
      </w:pPr>
      <w:r>
        <w:t xml:space="preserve">SQL —</w:t>
      </w:r>
      <w:r>
        <w:t xml:space="preserve"> </w:t>
      </w:r>
      <w:r>
        <w:rPr>
          <w:bCs/>
          <w:b/>
        </w:rPr>
        <w:t xml:space="preserve">62%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Python —</w:t>
      </w:r>
      <w:r>
        <w:t xml:space="preserve"> </w:t>
      </w:r>
      <w:r>
        <w:rPr>
          <w:bCs/>
          <w:b/>
        </w:rPr>
        <w:t xml:space="preserve">42%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AWS —</w:t>
      </w:r>
      <w:r>
        <w:t xml:space="preserve"> </w:t>
      </w:r>
      <w:r>
        <w:rPr>
          <w:bCs/>
          <w:b/>
        </w:rPr>
        <w:t xml:space="preserve">29%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Microsoft Azure —</w:t>
      </w:r>
      <w:r>
        <w:t xml:space="preserve"> </w:t>
      </w:r>
      <w:r>
        <w:rPr>
          <w:bCs/>
          <w:b/>
        </w:rPr>
        <w:t xml:space="preserve">25%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Snowflake —</w:t>
      </w:r>
      <w:r>
        <w:t xml:space="preserve"> </w:t>
      </w:r>
      <w:r>
        <w:rPr>
          <w:bCs/>
          <w:b/>
        </w:rPr>
        <w:t xml:space="preserve">16%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Apache Spark —</w:t>
      </w:r>
      <w:r>
        <w:t xml:space="preserve"> </w:t>
      </w:r>
      <w:r>
        <w:rPr>
          <w:bCs/>
          <w:b/>
        </w:rPr>
        <w:t xml:space="preserve">13%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Microsoft Power BI —</w:t>
      </w:r>
      <w:r>
        <w:t xml:space="preserve"> </w:t>
      </w:r>
      <w:r>
        <w:rPr>
          <w:bCs/>
          <w:b/>
        </w:rPr>
        <w:t xml:space="preserve">12%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Java —</w:t>
      </w:r>
      <w:r>
        <w:t xml:space="preserve"> </w:t>
      </w:r>
      <w:r>
        <w:rPr>
          <w:bCs/>
          <w:b/>
        </w:rPr>
        <w:t xml:space="preserve">12%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PostgreSQL —</w:t>
      </w:r>
      <w:r>
        <w:t xml:space="preserve"> </w:t>
      </w:r>
      <w:r>
        <w:rPr>
          <w:bCs/>
          <w:b/>
        </w:rPr>
        <w:t xml:space="preserve">11%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Apache Kafka —</w:t>
      </w:r>
      <w:r>
        <w:t xml:space="preserve"> </w:t>
      </w:r>
      <w:r>
        <w:rPr>
          <w:bCs/>
          <w:b/>
        </w:rPr>
        <w:t xml:space="preserve">10%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Apache Airflow —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Microsoft SQL Server —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Tableau —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NoSQL —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Amazon Redshift —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Git —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Linux —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MySQL —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Oracle PL/SQL —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Oracle Database —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UNIX —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Terraform —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PowerShell —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MongoDB —</w:t>
      </w:r>
      <w:r>
        <w:t xml:space="preserve"> </w:t>
      </w:r>
      <w:r>
        <w:rPr>
          <w:bCs/>
          <w:b/>
        </w:rPr>
        <w:t xml:space="preserve">5%</w:t>
      </w:r>
      <w:r>
        <w:t xml:space="preserve">.</w:t>
      </w:r>
    </w:p>
    <w:p>
      <w:pPr>
        <w:pStyle w:val="FirstParagraph"/>
      </w:pPr>
      <w:r>
        <w:t xml:space="preserve">Son señales de ofertas, no una lista obligatoria para todos los puestos DBA. Profundice según la plataforma y el empleador objetivo.</w:t>
      </w:r>
    </w:p>
    <w:bookmarkEnd w:id="32"/>
    <w:bookmarkStart w:id="33" w:name="X7ac25b394cead80ebf69350d3b48d338e04a1dc"/>
    <w:p>
      <w:pPr>
        <w:pStyle w:val="Heading2"/>
      </w:pPr>
      <w:r>
        <w:t xml:space="preserve">Identidad, acceso y administración privilegiada</w:t>
      </w:r>
    </w:p>
    <w:p>
      <w:pPr>
        <w:pStyle w:val="FirstParagraph"/>
      </w:pPr>
      <w:r>
        <w:t xml:space="preserve">El acceso a bases de datos debe seguir controles aprobados.</w:t>
      </w:r>
    </w:p>
    <w:p>
      <w:pPr>
        <w:pStyle w:val="BodyText"/>
      </w:pPr>
      <w:r>
        <w:t xml:space="preserve">Buenas prácticas incluyen:</w:t>
      </w:r>
    </w:p>
    <w:p>
      <w:pPr>
        <w:numPr>
          <w:ilvl w:val="0"/>
          <w:numId w:val="1012"/>
        </w:numPr>
        <w:pStyle w:val="Compact"/>
      </w:pPr>
      <w:r>
        <w:t xml:space="preserve">mínimo privilegio;</w:t>
      </w:r>
    </w:p>
    <w:p>
      <w:pPr>
        <w:numPr>
          <w:ilvl w:val="0"/>
          <w:numId w:val="1012"/>
        </w:numPr>
        <w:pStyle w:val="Compact"/>
      </w:pPr>
      <w:r>
        <w:t xml:space="preserve">acceso basado en roles cuando sea compatible;</w:t>
      </w:r>
    </w:p>
    <w:p>
      <w:pPr>
        <w:numPr>
          <w:ilvl w:val="0"/>
          <w:numId w:val="1012"/>
        </w:numPr>
        <w:pStyle w:val="Compact"/>
      </w:pPr>
      <w:r>
        <w:t xml:space="preserve">cuentas normales y privilegiadas separadas cuando la política lo requiera;</w:t>
      </w:r>
    </w:p>
    <w:p>
      <w:pPr>
        <w:numPr>
          <w:ilvl w:val="0"/>
          <w:numId w:val="1012"/>
        </w:numPr>
        <w:pStyle w:val="Compact"/>
      </w:pPr>
      <w:r>
        <w:t xml:space="preserve">MFA en acceso administrativo compatible;</w:t>
      </w:r>
    </w:p>
    <w:p>
      <w:pPr>
        <w:numPr>
          <w:ilvl w:val="0"/>
          <w:numId w:val="1012"/>
        </w:numPr>
        <w:pStyle w:val="Compact"/>
      </w:pPr>
      <w:r>
        <w:t xml:space="preserve">almacenamiento aprobado de credenciales y secretos;</w:t>
      </w:r>
    </w:p>
    <w:p>
      <w:pPr>
        <w:numPr>
          <w:ilvl w:val="0"/>
          <w:numId w:val="1012"/>
        </w:numPr>
        <w:pStyle w:val="Compact"/>
      </w:pPr>
      <w:r>
        <w:t xml:space="preserve">no colocar contraseñas o connection strings en chats, tickets, repositorios públicos o notas personales;</w:t>
      </w:r>
    </w:p>
    <w:p>
      <w:pPr>
        <w:numPr>
          <w:ilvl w:val="0"/>
          <w:numId w:val="1012"/>
        </w:numPr>
        <w:pStyle w:val="Compact"/>
      </w:pPr>
      <w:r>
        <w:t xml:space="preserve">evitar cuentas administradoras compartidas salvo proceso heredado/emergencia expresamente aprobado;</w:t>
      </w:r>
    </w:p>
    <w:p>
      <w:pPr>
        <w:numPr>
          <w:ilvl w:val="0"/>
          <w:numId w:val="1012"/>
        </w:numPr>
        <w:pStyle w:val="Compact"/>
      </w:pPr>
      <w:r>
        <w:t xml:space="preserve">revisión periódica de accesos;</w:t>
      </w:r>
    </w:p>
    <w:p>
      <w:pPr>
        <w:numPr>
          <w:ilvl w:val="0"/>
          <w:numId w:val="1012"/>
        </w:numPr>
        <w:pStyle w:val="Compact"/>
      </w:pPr>
      <w:r>
        <w:t xml:space="preserve">retiro oportuno de privilegios innecesarios;</w:t>
      </w:r>
    </w:p>
    <w:p>
      <w:pPr>
        <w:numPr>
          <w:ilvl w:val="0"/>
          <w:numId w:val="1012"/>
        </w:numPr>
        <w:pStyle w:val="Compact"/>
      </w:pPr>
      <w:r>
        <w:t xml:space="preserve">registro/auditoría de acciones privilegiadas cuando sea posible;</w:t>
      </w:r>
    </w:p>
    <w:p>
      <w:pPr>
        <w:numPr>
          <w:ilvl w:val="0"/>
          <w:numId w:val="1012"/>
        </w:numPr>
        <w:pStyle w:val="Compact"/>
      </w:pPr>
      <w:r>
        <w:t xml:space="preserve">segregación de funciones para operaciones sensibles cuando corresponda.</w:t>
      </w:r>
    </w:p>
    <w:p>
      <w:pPr>
        <w:pStyle w:val="FirstParagraph"/>
      </w:pPr>
      <w:r>
        <w:t xml:space="preserve">Nunca use acceso de base de datos para curiosear información.</w:t>
      </w:r>
    </w:p>
    <w:bookmarkEnd w:id="33"/>
    <w:bookmarkStart w:id="34" w:name="seguridad-e-integridad-de-bases-de-datos"/>
    <w:p>
      <w:pPr>
        <w:pStyle w:val="Heading2"/>
      </w:pPr>
      <w:r>
        <w:t xml:space="preserve">Seguridad e integridad de bases de datos</w:t>
      </w:r>
    </w:p>
    <w:p>
      <w:pPr>
        <w:pStyle w:val="FirstParagraph"/>
      </w:pPr>
      <w:r>
        <w:t xml:space="preserve">O*NET incluye expresamente la seguridad de bases de datos como responsabilidad central.</w:t>
      </w:r>
    </w:p>
    <w:p>
      <w:pPr>
        <w:pStyle w:val="BodyText"/>
      </w:pPr>
      <w:r>
        <w:t xml:space="preserve">Un DBA puede participar en:</w:t>
      </w:r>
    </w:p>
    <w:p>
      <w:pPr>
        <w:numPr>
          <w:ilvl w:val="0"/>
          <w:numId w:val="1013"/>
        </w:numPr>
        <w:pStyle w:val="Compact"/>
      </w:pPr>
      <w:r>
        <w:t xml:space="preserve">control de acceso;</w:t>
      </w:r>
    </w:p>
    <w:p>
      <w:pPr>
        <w:numPr>
          <w:ilvl w:val="0"/>
          <w:numId w:val="1013"/>
        </w:numPr>
        <w:pStyle w:val="Compact"/>
      </w:pPr>
      <w:r>
        <w:t xml:space="preserve">endurecimiento de configuración;</w:t>
      </w:r>
    </w:p>
    <w:p>
      <w:pPr>
        <w:numPr>
          <w:ilvl w:val="0"/>
          <w:numId w:val="1013"/>
        </w:numPr>
        <w:pStyle w:val="Compact"/>
      </w:pPr>
      <w:r>
        <w:t xml:space="preserve">cifrado cuando sea parte de su responsabilidad;</w:t>
      </w:r>
    </w:p>
    <w:p>
      <w:pPr>
        <w:numPr>
          <w:ilvl w:val="0"/>
          <w:numId w:val="1013"/>
        </w:numPr>
        <w:pStyle w:val="Compact"/>
      </w:pPr>
      <w:r>
        <w:t xml:space="preserve">parches y actualizaciones;</w:t>
      </w:r>
    </w:p>
    <w:p>
      <w:pPr>
        <w:numPr>
          <w:ilvl w:val="0"/>
          <w:numId w:val="1013"/>
        </w:numPr>
        <w:pStyle w:val="Compact"/>
      </w:pPr>
      <w:r>
        <w:t xml:space="preserve">remediación de vulnerabilidades;</w:t>
      </w:r>
    </w:p>
    <w:p>
      <w:pPr>
        <w:numPr>
          <w:ilvl w:val="0"/>
          <w:numId w:val="1013"/>
        </w:numPr>
        <w:pStyle w:val="Compact"/>
      </w:pPr>
      <w:r>
        <w:t xml:space="preserve">auditoría y logs;</w:t>
      </w:r>
    </w:p>
    <w:p>
      <w:pPr>
        <w:numPr>
          <w:ilvl w:val="0"/>
          <w:numId w:val="1013"/>
        </w:numPr>
        <w:pStyle w:val="Compact"/>
      </w:pPr>
      <w:r>
        <w:t xml:space="preserve">exposición segura de red;</w:t>
      </w:r>
    </w:p>
    <w:p>
      <w:pPr>
        <w:numPr>
          <w:ilvl w:val="0"/>
          <w:numId w:val="1013"/>
        </w:numPr>
        <w:pStyle w:val="Compact"/>
      </w:pPr>
      <w:r>
        <w:t xml:space="preserve">protección de respaldos;</w:t>
      </w:r>
    </w:p>
    <w:p>
      <w:pPr>
        <w:numPr>
          <w:ilvl w:val="0"/>
          <w:numId w:val="1013"/>
        </w:numPr>
        <w:pStyle w:val="Compact"/>
      </w:pPr>
      <w:r>
        <w:t xml:space="preserve">gestión de secretos;</w:t>
      </w:r>
    </w:p>
    <w:p>
      <w:pPr>
        <w:numPr>
          <w:ilvl w:val="0"/>
          <w:numId w:val="1013"/>
        </w:numPr>
        <w:pStyle w:val="Compact"/>
      </w:pPr>
      <w:r>
        <w:t xml:space="preserve">monitoreo de accesos sospechosos o fallidos;</w:t>
      </w:r>
    </w:p>
    <w:p>
      <w:pPr>
        <w:numPr>
          <w:ilvl w:val="0"/>
          <w:numId w:val="1013"/>
        </w:numPr>
        <w:pStyle w:val="Compact"/>
      </w:pPr>
      <w:r>
        <w:t xml:space="preserve">preservación de evidencia en incidentes;</w:t>
      </w:r>
    </w:p>
    <w:p>
      <w:pPr>
        <w:numPr>
          <w:ilvl w:val="0"/>
          <w:numId w:val="1013"/>
        </w:numPr>
        <w:pStyle w:val="Compact"/>
      </w:pPr>
      <w:r>
        <w:t xml:space="preserve">recuperación después de incidentes de integridad o disponibilidad.</w:t>
      </w:r>
    </w:p>
    <w:p>
      <w:pPr>
        <w:pStyle w:val="FirstParagraph"/>
      </w:pPr>
      <w:r>
        <w:t xml:space="preserve">La arquitectura de seguridad y la interpretación legal pueden corresponder a otros equipos. Sepa cuándo escalar.</w:t>
      </w:r>
    </w:p>
    <w:bookmarkEnd w:id="34"/>
    <w:bookmarkStart w:id="35" w:name="X4dda72e51c7113c89301b2cd82ebe95769df38a"/>
    <w:p>
      <w:pPr>
        <w:pStyle w:val="Heading2"/>
      </w:pPr>
      <w:r>
        <w:t xml:space="preserve">Un respaldo no es lo mismo que la recuperabilidad</w:t>
      </w:r>
    </w:p>
    <w:p>
      <w:pPr>
        <w:pStyle w:val="FirstParagraph"/>
      </w:pPr>
      <w:r>
        <w:t xml:space="preserve">Un log que diga “backup completed” sirve como evidencia operativa, pero no demuestra por sí solo que la organización pueda recuperar lo necesario.</w:t>
      </w:r>
    </w:p>
    <w:p>
      <w:pPr>
        <w:pStyle w:val="BodyText"/>
      </w:pPr>
      <w:r>
        <w:t xml:space="preserve">Un proceso maduro puede incluir:</w:t>
      </w:r>
    </w:p>
    <w:p>
      <w:pPr>
        <w:numPr>
          <w:ilvl w:val="0"/>
          <w:numId w:val="1014"/>
        </w:numPr>
        <w:pStyle w:val="Compact"/>
      </w:pPr>
      <w:r>
        <w:t xml:space="preserve">calendarios aprobados de respaldo;</w:t>
      </w:r>
    </w:p>
    <w:p>
      <w:pPr>
        <w:numPr>
          <w:ilvl w:val="0"/>
          <w:numId w:val="1014"/>
        </w:numPr>
        <w:pStyle w:val="Compact"/>
      </w:pPr>
      <w:r>
        <w:t xml:space="preserve">reglas de retención;</w:t>
      </w:r>
    </w:p>
    <w:p>
      <w:pPr>
        <w:numPr>
          <w:ilvl w:val="0"/>
          <w:numId w:val="1014"/>
        </w:numPr>
        <w:pStyle w:val="Compact"/>
      </w:pPr>
      <w:r>
        <w:t xml:space="preserve">cifrado/protección de medios o repositorios;</w:t>
      </w:r>
    </w:p>
    <w:p>
      <w:pPr>
        <w:numPr>
          <w:ilvl w:val="0"/>
          <w:numId w:val="1014"/>
        </w:numPr>
        <w:pStyle w:val="Compact"/>
      </w:pPr>
      <w:r>
        <w:t xml:space="preserve">copias fuera del mismo dominio de falla cuando se requieran;</w:t>
      </w:r>
    </w:p>
    <w:p>
      <w:pPr>
        <w:numPr>
          <w:ilvl w:val="0"/>
          <w:numId w:val="1014"/>
        </w:numPr>
        <w:pStyle w:val="Compact"/>
      </w:pPr>
      <w:r>
        <w:t xml:space="preserve">pruebas de restauración;</w:t>
      </w:r>
    </w:p>
    <w:p>
      <w:pPr>
        <w:numPr>
          <w:ilvl w:val="0"/>
          <w:numId w:val="1014"/>
        </w:numPr>
        <w:pStyle w:val="Compact"/>
      </w:pPr>
      <w:r>
        <w:t xml:space="preserve">recuperación a un punto en el tiempo cuando la plataforma lo permita;</w:t>
      </w:r>
    </w:p>
    <w:p>
      <w:pPr>
        <w:numPr>
          <w:ilvl w:val="0"/>
          <w:numId w:val="1014"/>
        </w:numPr>
        <w:pStyle w:val="Compact"/>
      </w:pPr>
      <w:r>
        <w:t xml:space="preserve">runbooks documentados;</w:t>
      </w:r>
    </w:p>
    <w:p>
      <w:pPr>
        <w:numPr>
          <w:ilvl w:val="0"/>
          <w:numId w:val="1014"/>
        </w:numPr>
        <w:pStyle w:val="Compact"/>
      </w:pPr>
      <w:r>
        <w:t xml:space="preserve">monitoreo de respaldos fallidos o tardíos;</w:t>
      </w:r>
    </w:p>
    <w:p>
      <w:pPr>
        <w:numPr>
          <w:ilvl w:val="0"/>
          <w:numId w:val="1014"/>
        </w:numPr>
        <w:pStyle w:val="Compact"/>
      </w:pPr>
      <w:r>
        <w:t xml:space="preserve">verificación del alcance del respaldo;</w:t>
      </w:r>
    </w:p>
    <w:p>
      <w:pPr>
        <w:numPr>
          <w:ilvl w:val="0"/>
          <w:numId w:val="1014"/>
        </w:numPr>
        <w:pStyle w:val="Compact"/>
      </w:pPr>
      <w:r>
        <w:t xml:space="preserve">ejercicios de recuperación ante desastres;</w:t>
      </w:r>
    </w:p>
    <w:p>
      <w:pPr>
        <w:numPr>
          <w:ilvl w:val="0"/>
          <w:numId w:val="1014"/>
        </w:numPr>
        <w:pStyle w:val="Compact"/>
      </w:pPr>
      <w:r>
        <w:t xml:space="preserve">pruebas de dependencias entre aplicación y base de datos.</w:t>
      </w:r>
    </w:p>
    <w:p>
      <w:pPr>
        <w:pStyle w:val="FirstParagraph"/>
      </w:pPr>
      <w:r>
        <w:t xml:space="preserve">Las organizaciones pueden definir</w:t>
      </w:r>
      <w:r>
        <w:t xml:space="preserve"> </w:t>
      </w:r>
      <w:r>
        <w:rPr>
          <w:bCs/>
          <w:b/>
        </w:rPr>
        <w:t xml:space="preserve">RPO</w:t>
      </w:r>
      <w:r>
        <w:t xml:space="preserve"> </w:t>
      </w:r>
      <w:r>
        <w:t xml:space="preserve">(Recovery Point Objective) y</w:t>
      </w:r>
      <w:r>
        <w:t xml:space="preserve"> </w:t>
      </w:r>
      <w:r>
        <w:rPr>
          <w:bCs/>
          <w:b/>
        </w:rPr>
        <w:t xml:space="preserve">RTO</w:t>
      </w:r>
      <w:r>
        <w:t xml:space="preserve"> </w:t>
      </w:r>
      <w:r>
        <w:t xml:space="preserve">(Recovery Time Objective). El DBA debe entender los objetivos establecidos por la organización y no inventarlos independientemente.</w:t>
      </w:r>
    </w:p>
    <w:bookmarkEnd w:id="35"/>
    <w:bookmarkStart w:id="36" w:name="pruebas-de-restauración"/>
    <w:p>
      <w:pPr>
        <w:pStyle w:val="Heading2"/>
      </w:pPr>
      <w:r>
        <w:t xml:space="preserve">Pruebas de restauración</w:t>
      </w:r>
    </w:p>
    <w:p>
      <w:pPr>
        <w:pStyle w:val="FirstParagraph"/>
      </w:pPr>
      <w:r>
        <w:t xml:space="preserve">Una prueba de restauración debe responder, entre otras cosas:</w:t>
      </w:r>
    </w:p>
    <w:p>
      <w:pPr>
        <w:numPr>
          <w:ilvl w:val="0"/>
          <w:numId w:val="1015"/>
        </w:numPr>
        <w:pStyle w:val="Compact"/>
      </w:pPr>
      <w:r>
        <w:t xml:space="preserve">¿El respaldo se puede leer?</w:t>
      </w:r>
    </w:p>
    <w:p>
      <w:pPr>
        <w:numPr>
          <w:ilvl w:val="0"/>
          <w:numId w:val="1015"/>
        </w:numPr>
        <w:pStyle w:val="Compact"/>
      </w:pPr>
      <w:r>
        <w:t xml:space="preserve">¿Contiene la base y versión esperadas?</w:t>
      </w:r>
    </w:p>
    <w:p>
      <w:pPr>
        <w:numPr>
          <w:ilvl w:val="0"/>
          <w:numId w:val="1015"/>
        </w:numPr>
        <w:pStyle w:val="Compact"/>
      </w:pPr>
      <w:r>
        <w:t xml:space="preserve">¿Puede restaurarse en el ambiente requerido?</w:t>
      </w:r>
    </w:p>
    <w:p>
      <w:pPr>
        <w:numPr>
          <w:ilvl w:val="0"/>
          <w:numId w:val="1015"/>
        </w:numPr>
        <w:pStyle w:val="Compact"/>
      </w:pPr>
      <w:r>
        <w:t xml:space="preserve">¿Las claves o secretos necesarios están disponibles mediante procesos aprobados?</w:t>
      </w:r>
    </w:p>
    <w:p>
      <w:pPr>
        <w:numPr>
          <w:ilvl w:val="0"/>
          <w:numId w:val="1015"/>
        </w:numPr>
        <w:pStyle w:val="Compact"/>
      </w:pPr>
      <w:r>
        <w:t xml:space="preserve">¿La base restaurada pasa controles de integridad?</w:t>
      </w:r>
    </w:p>
    <w:p>
      <w:pPr>
        <w:numPr>
          <w:ilvl w:val="0"/>
          <w:numId w:val="1015"/>
        </w:numPr>
        <w:pStyle w:val="Compact"/>
      </w:pPr>
      <w:r>
        <w:t xml:space="preserve">¿Las aplicaciones se reconectan correctamente?</w:t>
      </w:r>
    </w:p>
    <w:p>
      <w:pPr>
        <w:numPr>
          <w:ilvl w:val="0"/>
          <w:numId w:val="1015"/>
        </w:numPr>
        <w:pStyle w:val="Compact"/>
      </w:pPr>
      <w:r>
        <w:t xml:space="preserve">¿Los pasos de recuperación están documentados y actualizados?</w:t>
      </w:r>
    </w:p>
    <w:p>
      <w:pPr>
        <w:numPr>
          <w:ilvl w:val="0"/>
          <w:numId w:val="1015"/>
        </w:numPr>
        <w:pStyle w:val="Compact"/>
      </w:pPr>
      <w:r>
        <w:t xml:space="preserve">¿La prueba cumplió los objetivos de recuperación establecidos?</w:t>
      </w:r>
    </w:p>
    <w:p>
      <w:pPr>
        <w:pStyle w:val="FirstParagraph"/>
      </w:pPr>
      <w:r>
        <w:t xml:space="preserve">Nunca realice una restauración destructiva sobre producción sin autorización explícita y plan controlado.</w:t>
      </w:r>
    </w:p>
    <w:bookmarkEnd w:id="36"/>
    <w:bookmarkStart w:id="37" w:name="X326c8460513cacd94778f95905b347b8d06f60c"/>
    <w:p>
      <w:pPr>
        <w:pStyle w:val="Heading2"/>
      </w:pPr>
      <w:r>
        <w:t xml:space="preserve">Alta disponibilidad, replicación y failover</w:t>
      </w:r>
    </w:p>
    <w:p>
      <w:pPr>
        <w:pStyle w:val="FirstParagraph"/>
      </w:pPr>
      <w:r>
        <w:t xml:space="preserve">Según la plataforma, un DBA puede apoyar:</w:t>
      </w:r>
    </w:p>
    <w:p>
      <w:pPr>
        <w:numPr>
          <w:ilvl w:val="0"/>
          <w:numId w:val="1016"/>
        </w:numPr>
        <w:pStyle w:val="Compact"/>
      </w:pPr>
      <w:r>
        <w:t xml:space="preserve">réplicas;</w:t>
      </w:r>
    </w:p>
    <w:p>
      <w:pPr>
        <w:numPr>
          <w:ilvl w:val="0"/>
          <w:numId w:val="1016"/>
        </w:numPr>
        <w:pStyle w:val="Compact"/>
      </w:pPr>
      <w:r>
        <w:t xml:space="preserve">clústeres;</w:t>
      </w:r>
    </w:p>
    <w:p>
      <w:pPr>
        <w:numPr>
          <w:ilvl w:val="0"/>
          <w:numId w:val="1016"/>
        </w:numPr>
        <w:pStyle w:val="Compact"/>
      </w:pPr>
      <w:r>
        <w:t xml:space="preserve">availability groups;</w:t>
      </w:r>
    </w:p>
    <w:p>
      <w:pPr>
        <w:numPr>
          <w:ilvl w:val="0"/>
          <w:numId w:val="1016"/>
        </w:numPr>
        <w:pStyle w:val="Compact"/>
      </w:pPr>
      <w:r>
        <w:t xml:space="preserve">bases standby;</w:t>
      </w:r>
    </w:p>
    <w:p>
      <w:pPr>
        <w:numPr>
          <w:ilvl w:val="0"/>
          <w:numId w:val="1016"/>
        </w:numPr>
        <w:pStyle w:val="Compact"/>
      </w:pPr>
      <w:r>
        <w:t xml:space="preserve">réplicas administradas en nube;</w:t>
      </w:r>
    </w:p>
    <w:p>
      <w:pPr>
        <w:numPr>
          <w:ilvl w:val="0"/>
          <w:numId w:val="1016"/>
        </w:numPr>
        <w:pStyle w:val="Compact"/>
      </w:pPr>
      <w:r>
        <w:t xml:space="preserve">configuraciones multizona o multirregión;</w:t>
      </w:r>
    </w:p>
    <w:p>
      <w:pPr>
        <w:numPr>
          <w:ilvl w:val="0"/>
          <w:numId w:val="1016"/>
        </w:numPr>
        <w:pStyle w:val="Compact"/>
      </w:pPr>
      <w:r>
        <w:t xml:space="preserve">procedimientos de failover;</w:t>
      </w:r>
    </w:p>
    <w:p>
      <w:pPr>
        <w:numPr>
          <w:ilvl w:val="0"/>
          <w:numId w:val="1016"/>
        </w:numPr>
        <w:pStyle w:val="Compact"/>
      </w:pPr>
      <w:r>
        <w:t xml:space="preserve">monitoreo de retraso de replicación.</w:t>
      </w:r>
    </w:p>
    <w:p>
      <w:pPr>
        <w:pStyle w:val="FirstParagraph"/>
      </w:pPr>
      <w:r>
        <w:t xml:space="preserve">Alta disponibilidad no reemplaza el respaldo. La replicación puede copiar corrupción, borrados o cambios maliciosos.</w:t>
      </w:r>
    </w:p>
    <w:p>
      <w:pPr>
        <w:pStyle w:val="BodyText"/>
      </w:pPr>
      <w:r>
        <w:t xml:space="preserve">El failover debe probarse bajo procedimientos aprobados, no asumirse correcto solo porque los componentes parecen saludables.</w:t>
      </w:r>
    </w:p>
    <w:bookmarkEnd w:id="37"/>
    <w:bookmarkStart w:id="38" w:name="rendimiento-y-capacidad"/>
    <w:p>
      <w:pPr>
        <w:pStyle w:val="Heading2"/>
      </w:pPr>
      <w:r>
        <w:t xml:space="preserve">Rendimiento y capacidad</w:t>
      </w:r>
    </w:p>
    <w:p>
      <w:pPr>
        <w:pStyle w:val="FirstParagraph"/>
      </w:pPr>
      <w:r>
        <w:t xml:space="preserve">Un DBA puede investigar:</w:t>
      </w:r>
    </w:p>
    <w:p>
      <w:pPr>
        <w:numPr>
          <w:ilvl w:val="0"/>
          <w:numId w:val="1017"/>
        </w:numPr>
        <w:pStyle w:val="Compact"/>
      </w:pPr>
      <w:r>
        <w:t xml:space="preserve">consultas lentas;</w:t>
      </w:r>
    </w:p>
    <w:p>
      <w:pPr>
        <w:numPr>
          <w:ilvl w:val="0"/>
          <w:numId w:val="1017"/>
        </w:numPr>
        <w:pStyle w:val="Compact"/>
      </w:pPr>
      <w:r>
        <w:t xml:space="preserve">planes de ejecución ineficientes;</w:t>
      </w:r>
    </w:p>
    <w:p>
      <w:pPr>
        <w:numPr>
          <w:ilvl w:val="0"/>
          <w:numId w:val="1017"/>
        </w:numPr>
        <w:pStyle w:val="Compact"/>
      </w:pPr>
      <w:r>
        <w:t xml:space="preserve">índices faltantes o excesivos;</w:t>
      </w:r>
    </w:p>
    <w:p>
      <w:pPr>
        <w:numPr>
          <w:ilvl w:val="0"/>
          <w:numId w:val="1017"/>
        </w:numPr>
        <w:pStyle w:val="Compact"/>
      </w:pPr>
      <w:r>
        <w:t xml:space="preserve">locks, blocking y deadlocks;</w:t>
      </w:r>
    </w:p>
    <w:p>
      <w:pPr>
        <w:numPr>
          <w:ilvl w:val="0"/>
          <w:numId w:val="1017"/>
        </w:numPr>
        <w:pStyle w:val="Compact"/>
      </w:pPr>
      <w:r>
        <w:t xml:space="preserve">presión de CPU/memoria;</w:t>
      </w:r>
    </w:p>
    <w:p>
      <w:pPr>
        <w:numPr>
          <w:ilvl w:val="0"/>
          <w:numId w:val="1017"/>
        </w:numPr>
        <w:pStyle w:val="Compact"/>
      </w:pPr>
      <w:r>
        <w:t xml:space="preserve">presión de almacenamiento;</w:t>
      </w:r>
    </w:p>
    <w:p>
      <w:pPr>
        <w:numPr>
          <w:ilvl w:val="0"/>
          <w:numId w:val="1017"/>
        </w:numPr>
        <w:pStyle w:val="Compact"/>
      </w:pPr>
      <w:r>
        <w:t xml:space="preserve">latencia de I/O;</w:t>
      </w:r>
    </w:p>
    <w:p>
      <w:pPr>
        <w:numPr>
          <w:ilvl w:val="0"/>
          <w:numId w:val="1017"/>
        </w:numPr>
        <w:pStyle w:val="Compact"/>
      </w:pPr>
      <w:r>
        <w:t xml:space="preserve">agotamiento de conexiones;</w:t>
      </w:r>
    </w:p>
    <w:p>
      <w:pPr>
        <w:numPr>
          <w:ilvl w:val="0"/>
          <w:numId w:val="1017"/>
        </w:numPr>
        <w:pStyle w:val="Compact"/>
      </w:pPr>
      <w:r>
        <w:t xml:space="preserve">crecimiento del transaction log;</w:t>
      </w:r>
    </w:p>
    <w:p>
      <w:pPr>
        <w:numPr>
          <w:ilvl w:val="0"/>
          <w:numId w:val="1017"/>
        </w:numPr>
        <w:pStyle w:val="Compact"/>
      </w:pPr>
      <w:r>
        <w:t xml:space="preserve">retraso de replicación;</w:t>
      </w:r>
    </w:p>
    <w:p>
      <w:pPr>
        <w:numPr>
          <w:ilvl w:val="0"/>
          <w:numId w:val="1017"/>
        </w:numPr>
        <w:pStyle w:val="Compact"/>
      </w:pPr>
      <w:r>
        <w:t xml:space="preserve">crecimiento de tablas e índices;</w:t>
      </w:r>
    </w:p>
    <w:p>
      <w:pPr>
        <w:numPr>
          <w:ilvl w:val="0"/>
          <w:numId w:val="1017"/>
        </w:numPr>
        <w:pStyle w:val="Compact"/>
      </w:pPr>
      <w:r>
        <w:t xml:space="preserve">sobrecarga de mantenimiento;</w:t>
      </w:r>
    </w:p>
    <w:p>
      <w:pPr>
        <w:numPr>
          <w:ilvl w:val="0"/>
          <w:numId w:val="1017"/>
        </w:numPr>
        <w:pStyle w:val="Compact"/>
      </w:pPr>
      <w:r>
        <w:t xml:space="preserve">cambios de carga de trabajo.</w:t>
      </w:r>
    </w:p>
    <w:p>
      <w:pPr>
        <w:pStyle w:val="FirstParagraph"/>
      </w:pPr>
      <w:r>
        <w:t xml:space="preserve">Ajuste con evidencia. Un cambio que mejora una consulta puede perjudicar otra carga.</w:t>
      </w:r>
    </w:p>
    <w:p>
      <w:pPr>
        <w:pStyle w:val="BodyText"/>
      </w:pPr>
      <w:r>
        <w:t xml:space="preserve">Documente:</w:t>
      </w:r>
    </w:p>
    <w:p>
      <w:pPr>
        <w:numPr>
          <w:ilvl w:val="0"/>
          <w:numId w:val="1018"/>
        </w:numPr>
        <w:pStyle w:val="Compact"/>
      </w:pPr>
      <w:r>
        <w:t xml:space="preserve">línea base;</w:t>
      </w:r>
    </w:p>
    <w:p>
      <w:pPr>
        <w:numPr>
          <w:ilvl w:val="0"/>
          <w:numId w:val="1018"/>
        </w:numPr>
        <w:pStyle w:val="Compact"/>
      </w:pPr>
      <w:r>
        <w:t xml:space="preserve">métrica observada;</w:t>
      </w:r>
    </w:p>
    <w:p>
      <w:pPr>
        <w:numPr>
          <w:ilvl w:val="0"/>
          <w:numId w:val="1018"/>
        </w:numPr>
        <w:pStyle w:val="Compact"/>
      </w:pPr>
      <w:r>
        <w:t xml:space="preserve">hipótesis;</w:t>
      </w:r>
    </w:p>
    <w:p>
      <w:pPr>
        <w:numPr>
          <w:ilvl w:val="0"/>
          <w:numId w:val="1018"/>
        </w:numPr>
        <w:pStyle w:val="Compact"/>
      </w:pPr>
      <w:r>
        <w:t xml:space="preserve">cambio;</w:t>
      </w:r>
    </w:p>
    <w:p>
      <w:pPr>
        <w:numPr>
          <w:ilvl w:val="0"/>
          <w:numId w:val="1018"/>
        </w:numPr>
        <w:pStyle w:val="Compact"/>
      </w:pPr>
      <w:r>
        <w:t xml:space="preserve">validación;</w:t>
      </w:r>
    </w:p>
    <w:p>
      <w:pPr>
        <w:numPr>
          <w:ilvl w:val="0"/>
          <w:numId w:val="1018"/>
        </w:numPr>
        <w:pStyle w:val="Compact"/>
      </w:pPr>
      <w:r>
        <w:t xml:space="preserve">plan de reversión;</w:t>
      </w:r>
    </w:p>
    <w:p>
      <w:pPr>
        <w:numPr>
          <w:ilvl w:val="0"/>
          <w:numId w:val="1018"/>
        </w:numPr>
        <w:pStyle w:val="Compact"/>
      </w:pPr>
      <w:r>
        <w:t xml:space="preserve">resultado.</w:t>
      </w:r>
    </w:p>
    <w:bookmarkEnd w:id="38"/>
    <w:bookmarkStart w:id="39" w:name="gestión-de-cambios"/>
    <w:p>
      <w:pPr>
        <w:pStyle w:val="Heading2"/>
      </w:pPr>
      <w:r>
        <w:t xml:space="preserve">Gestión de cambios</w:t>
      </w:r>
    </w:p>
    <w:p>
      <w:pPr>
        <w:pStyle w:val="FirstParagraph"/>
      </w:pPr>
      <w:r>
        <w:t xml:space="preserve">Los cambios de producción pueden afectar muchas aplicaciones y usuarios. Un cambio disciplinado puede requerir:</w:t>
      </w:r>
    </w:p>
    <w:p>
      <w:pPr>
        <w:numPr>
          <w:ilvl w:val="0"/>
          <w:numId w:val="1019"/>
        </w:numPr>
        <w:pStyle w:val="Compact"/>
      </w:pPr>
      <w:r>
        <w:t xml:space="preserve">propósito documentado;</w:t>
      </w:r>
    </w:p>
    <w:p>
      <w:pPr>
        <w:numPr>
          <w:ilvl w:val="0"/>
          <w:numId w:val="1019"/>
        </w:numPr>
        <w:pStyle w:val="Compact"/>
      </w:pPr>
      <w:r>
        <w:t xml:space="preserve">solicitud/ticket aprobado;</w:t>
      </w:r>
    </w:p>
    <w:p>
      <w:pPr>
        <w:numPr>
          <w:ilvl w:val="0"/>
          <w:numId w:val="1019"/>
        </w:numPr>
        <w:pStyle w:val="Compact"/>
      </w:pPr>
      <w:r>
        <w:t xml:space="preserve">revisión de dependencias;</w:t>
      </w:r>
    </w:p>
    <w:p>
      <w:pPr>
        <w:numPr>
          <w:ilvl w:val="0"/>
          <w:numId w:val="1019"/>
        </w:numPr>
        <w:pStyle w:val="Compact"/>
      </w:pPr>
      <w:r>
        <w:t xml:space="preserve">script o paquete probado;</w:t>
      </w:r>
    </w:p>
    <w:p>
      <w:pPr>
        <w:numPr>
          <w:ilvl w:val="0"/>
          <w:numId w:val="1019"/>
        </w:numPr>
        <w:pStyle w:val="Compact"/>
      </w:pPr>
      <w:r>
        <w:t xml:space="preserve">revisión por pares;</w:t>
      </w:r>
    </w:p>
    <w:p>
      <w:pPr>
        <w:numPr>
          <w:ilvl w:val="0"/>
          <w:numId w:val="1019"/>
        </w:numPr>
        <w:pStyle w:val="Compact"/>
      </w:pPr>
      <w:r>
        <w:t xml:space="preserve">respaldo o punto de restauración;</w:t>
      </w:r>
    </w:p>
    <w:p>
      <w:pPr>
        <w:numPr>
          <w:ilvl w:val="0"/>
          <w:numId w:val="1019"/>
        </w:numPr>
        <w:pStyle w:val="Compact"/>
      </w:pPr>
      <w:r>
        <w:t xml:space="preserve">ventana de mantenimiento;</w:t>
      </w:r>
    </w:p>
    <w:p>
      <w:pPr>
        <w:numPr>
          <w:ilvl w:val="0"/>
          <w:numId w:val="1019"/>
        </w:numPr>
        <w:pStyle w:val="Compact"/>
      </w:pPr>
      <w:r>
        <w:t xml:space="preserve">plan de comunicación;</w:t>
      </w:r>
    </w:p>
    <w:p>
      <w:pPr>
        <w:numPr>
          <w:ilvl w:val="0"/>
          <w:numId w:val="1019"/>
        </w:numPr>
        <w:pStyle w:val="Compact"/>
      </w:pPr>
      <w:r>
        <w:t xml:space="preserve">pasos de ejecución;</w:t>
      </w:r>
    </w:p>
    <w:p>
      <w:pPr>
        <w:numPr>
          <w:ilvl w:val="0"/>
          <w:numId w:val="1019"/>
        </w:numPr>
        <w:pStyle w:val="Compact"/>
      </w:pPr>
      <w:r>
        <w:t xml:space="preserve">controles de validación;</w:t>
      </w:r>
    </w:p>
    <w:p>
      <w:pPr>
        <w:numPr>
          <w:ilvl w:val="0"/>
          <w:numId w:val="1019"/>
        </w:numPr>
        <w:pStyle w:val="Compact"/>
      </w:pPr>
      <w:r>
        <w:t xml:space="preserve">pasos de rollback;</w:t>
      </w:r>
    </w:p>
    <w:p>
      <w:pPr>
        <w:numPr>
          <w:ilvl w:val="0"/>
          <w:numId w:val="1019"/>
        </w:numPr>
        <w:pStyle w:val="Compact"/>
      </w:pPr>
      <w:r>
        <w:t xml:space="preserve">monitoreo posterior;</w:t>
      </w:r>
    </w:p>
    <w:p>
      <w:pPr>
        <w:numPr>
          <w:ilvl w:val="0"/>
          <w:numId w:val="1019"/>
        </w:numPr>
        <w:pStyle w:val="Compact"/>
      </w:pPr>
      <w:r>
        <w:t xml:space="preserve">evidencia de finalización.</w:t>
      </w:r>
    </w:p>
    <w:p>
      <w:pPr>
        <w:pStyle w:val="FirstParagraph"/>
      </w:pPr>
      <w:r>
        <w:t xml:space="preserve">No “arregle” producción silenciosamente fuera de controles aprobados solo porque el cambio parezca pequeño.</w:t>
      </w:r>
    </w:p>
    <w:bookmarkEnd w:id="39"/>
    <w:bookmarkStart w:id="40" w:name="cambios-de-esquema-y-migraciones"/>
    <w:p>
      <w:pPr>
        <w:pStyle w:val="Heading2"/>
      </w:pPr>
      <w:r>
        <w:t xml:space="preserve">Cambios de esquema y migraciones</w:t>
      </w:r>
    </w:p>
    <w:p>
      <w:pPr>
        <w:pStyle w:val="FirstParagraph"/>
      </w:pPr>
      <w:r>
        <w:t xml:space="preserve">Antes de una migración de esquema o datos, considere:</w:t>
      </w:r>
    </w:p>
    <w:p>
      <w:pPr>
        <w:numPr>
          <w:ilvl w:val="0"/>
          <w:numId w:val="1020"/>
        </w:numPr>
        <w:pStyle w:val="Compact"/>
      </w:pPr>
      <w:r>
        <w:t xml:space="preserve">tamaño de tabla;</w:t>
      </w:r>
    </w:p>
    <w:p>
      <w:pPr>
        <w:numPr>
          <w:ilvl w:val="0"/>
          <w:numId w:val="1020"/>
        </w:numPr>
        <w:pStyle w:val="Compact"/>
      </w:pPr>
      <w:r>
        <w:t xml:space="preserve">duración de bloqueos;</w:t>
      </w:r>
    </w:p>
    <w:p>
      <w:pPr>
        <w:numPr>
          <w:ilvl w:val="0"/>
          <w:numId w:val="1020"/>
        </w:numPr>
        <w:pStyle w:val="Compact"/>
      </w:pPr>
      <w:r>
        <w:t xml:space="preserve">impacto en transaction log;</w:t>
      </w:r>
    </w:p>
    <w:p>
      <w:pPr>
        <w:numPr>
          <w:ilvl w:val="0"/>
          <w:numId w:val="1020"/>
        </w:numPr>
        <w:pStyle w:val="Compact"/>
      </w:pPr>
      <w:r>
        <w:t xml:space="preserve">compatibilidad de aplicaciones;</w:t>
      </w:r>
    </w:p>
    <w:p>
      <w:pPr>
        <w:numPr>
          <w:ilvl w:val="0"/>
          <w:numId w:val="1020"/>
        </w:numPr>
        <w:pStyle w:val="Compact"/>
      </w:pPr>
      <w:r>
        <w:t xml:space="preserve">impacto en índices;</w:t>
      </w:r>
    </w:p>
    <w:p>
      <w:pPr>
        <w:numPr>
          <w:ilvl w:val="0"/>
          <w:numId w:val="1020"/>
        </w:numPr>
        <w:pStyle w:val="Compact"/>
      </w:pPr>
      <w:r>
        <w:t xml:space="preserve">impacto en replicación;</w:t>
      </w:r>
    </w:p>
    <w:p>
      <w:pPr>
        <w:numPr>
          <w:ilvl w:val="0"/>
          <w:numId w:val="1020"/>
        </w:numPr>
        <w:pStyle w:val="Compact"/>
      </w:pPr>
      <w:r>
        <w:t xml:space="preserve">factibilidad de rollback;</w:t>
      </w:r>
    </w:p>
    <w:p>
      <w:pPr>
        <w:numPr>
          <w:ilvl w:val="0"/>
          <w:numId w:val="1020"/>
        </w:numPr>
        <w:pStyle w:val="Compact"/>
      </w:pPr>
      <w:r>
        <w:t xml:space="preserve">conversión de tipos;</w:t>
      </w:r>
    </w:p>
    <w:p>
      <w:pPr>
        <w:numPr>
          <w:ilvl w:val="0"/>
          <w:numId w:val="1020"/>
        </w:numPr>
        <w:pStyle w:val="Compact"/>
      </w:pPr>
      <w:r>
        <w:t xml:space="preserve">comportamiento de nulos/defaults;</w:t>
      </w:r>
    </w:p>
    <w:p>
      <w:pPr>
        <w:numPr>
          <w:ilvl w:val="0"/>
          <w:numId w:val="1020"/>
        </w:numPr>
        <w:pStyle w:val="Compact"/>
      </w:pPr>
      <w:r>
        <w:t xml:space="preserve">zona horaria y codificación;</w:t>
      </w:r>
    </w:p>
    <w:p>
      <w:pPr>
        <w:numPr>
          <w:ilvl w:val="0"/>
          <w:numId w:val="1020"/>
        </w:numPr>
        <w:pStyle w:val="Compact"/>
      </w:pPr>
      <w:r>
        <w:t xml:space="preserve">downtime necesario;</w:t>
      </w:r>
    </w:p>
    <w:p>
      <w:pPr>
        <w:numPr>
          <w:ilvl w:val="0"/>
          <w:numId w:val="1020"/>
        </w:numPr>
        <w:pStyle w:val="Compact"/>
      </w:pPr>
      <w:r>
        <w:t xml:space="preserve">conteos/checksums de validación;</w:t>
      </w:r>
    </w:p>
    <w:p>
      <w:pPr>
        <w:numPr>
          <w:ilvl w:val="0"/>
          <w:numId w:val="1020"/>
        </w:numPr>
        <w:pStyle w:val="Compact"/>
      </w:pPr>
      <w:r>
        <w:t xml:space="preserve">impacto de privacidad/seguridad.</w:t>
      </w:r>
    </w:p>
    <w:p>
      <w:pPr>
        <w:pStyle w:val="FirstParagraph"/>
      </w:pPr>
      <w:r>
        <w:t xml:space="preserve">Para cambios grandes o de alto riesgo, use el patrón probado de la organización; no improvise en producción.</w:t>
      </w:r>
    </w:p>
    <w:bookmarkEnd w:id="40"/>
    <w:bookmarkStart w:id="41" w:name="parches-y-actualizaciones"/>
    <w:p>
      <w:pPr>
        <w:pStyle w:val="Heading2"/>
      </w:pPr>
      <w:r>
        <w:t xml:space="preserve">Parches y actualizaciones</w:t>
      </w:r>
    </w:p>
    <w:p>
      <w:pPr>
        <w:pStyle w:val="FirstParagraph"/>
      </w:pPr>
      <w:r>
        <w:t xml:space="preserve">Las plataformas requieren mantenimiento de seguridad y ciclo de vida.</w:t>
      </w:r>
    </w:p>
    <w:p>
      <w:pPr>
        <w:pStyle w:val="BodyText"/>
      </w:pPr>
      <w:r>
        <w:t xml:space="preserve">Un plan controlado puede incluir:</w:t>
      </w:r>
    </w:p>
    <w:p>
      <w:pPr>
        <w:numPr>
          <w:ilvl w:val="0"/>
          <w:numId w:val="1021"/>
        </w:numPr>
        <w:pStyle w:val="Compact"/>
      </w:pPr>
      <w:r>
        <w:t xml:space="preserve">revisión del ciclo de soporte del proveedor;</w:t>
      </w:r>
    </w:p>
    <w:p>
      <w:pPr>
        <w:numPr>
          <w:ilvl w:val="0"/>
          <w:numId w:val="1021"/>
        </w:numPr>
        <w:pStyle w:val="Compact"/>
      </w:pPr>
      <w:r>
        <w:t xml:space="preserve">evaluación de compatibilidad;</w:t>
      </w:r>
    </w:p>
    <w:p>
      <w:pPr>
        <w:numPr>
          <w:ilvl w:val="0"/>
          <w:numId w:val="1021"/>
        </w:numPr>
        <w:pStyle w:val="Compact"/>
      </w:pPr>
      <w:r>
        <w:t xml:space="preserve">compatibilidad de drivers/clientes;</w:t>
      </w:r>
    </w:p>
    <w:p>
      <w:pPr>
        <w:numPr>
          <w:ilvl w:val="0"/>
          <w:numId w:val="1021"/>
        </w:numPr>
        <w:pStyle w:val="Compact"/>
      </w:pPr>
      <w:r>
        <w:t xml:space="preserve">preparación de respaldo/recuperación;</w:t>
      </w:r>
    </w:p>
    <w:p>
      <w:pPr>
        <w:numPr>
          <w:ilvl w:val="0"/>
          <w:numId w:val="1021"/>
        </w:numPr>
        <w:pStyle w:val="Compact"/>
      </w:pPr>
      <w:r>
        <w:t xml:space="preserve">pruebas no productivas;</w:t>
      </w:r>
    </w:p>
    <w:p>
      <w:pPr>
        <w:numPr>
          <w:ilvl w:val="0"/>
          <w:numId w:val="1021"/>
        </w:numPr>
        <w:pStyle w:val="Compact"/>
      </w:pPr>
      <w:r>
        <w:t xml:space="preserve">secuencia de HA/failover;</w:t>
      </w:r>
    </w:p>
    <w:p>
      <w:pPr>
        <w:numPr>
          <w:ilvl w:val="0"/>
          <w:numId w:val="1021"/>
        </w:numPr>
        <w:pStyle w:val="Compact"/>
      </w:pPr>
      <w:r>
        <w:t xml:space="preserve">aprobación de ventana de mantenimiento;</w:t>
      </w:r>
    </w:p>
    <w:p>
      <w:pPr>
        <w:numPr>
          <w:ilvl w:val="0"/>
          <w:numId w:val="1021"/>
        </w:numPr>
        <w:pStyle w:val="Compact"/>
      </w:pPr>
      <w:r>
        <w:t xml:space="preserve">plan de rollback/fallback;</w:t>
      </w:r>
    </w:p>
    <w:p>
      <w:pPr>
        <w:numPr>
          <w:ilvl w:val="0"/>
          <w:numId w:val="1021"/>
        </w:numPr>
        <w:pStyle w:val="Compact"/>
      </w:pPr>
      <w:r>
        <w:t xml:space="preserve">validación posterior de integridad y rendimiento;</w:t>
      </w:r>
    </w:p>
    <w:p>
      <w:pPr>
        <w:numPr>
          <w:ilvl w:val="0"/>
          <w:numId w:val="1021"/>
        </w:numPr>
        <w:pStyle w:val="Compact"/>
      </w:pPr>
      <w:r>
        <w:t xml:space="preserve">documentación de versión/configuración.</w:t>
      </w:r>
    </w:p>
    <w:p>
      <w:pPr>
        <w:pStyle w:val="FirstParagraph"/>
      </w:pPr>
      <w:r>
        <w:t xml:space="preserve">No prometa “cero downtime” si la arquitectura y las pruebas no lo respaldan.</w:t>
      </w:r>
    </w:p>
    <w:bookmarkEnd w:id="41"/>
    <w:bookmarkStart w:id="42" w:name="monitoreo-y-alertas"/>
    <w:p>
      <w:pPr>
        <w:pStyle w:val="Heading2"/>
      </w:pPr>
      <w:r>
        <w:t xml:space="preserve">Monitoreo y alertas</w:t>
      </w:r>
    </w:p>
    <w:p>
      <w:pPr>
        <w:pStyle w:val="FirstParagraph"/>
      </w:pPr>
      <w:r>
        <w:t xml:space="preserve">Áreas útiles incluyen:</w:t>
      </w:r>
    </w:p>
    <w:p>
      <w:pPr>
        <w:numPr>
          <w:ilvl w:val="0"/>
          <w:numId w:val="1022"/>
        </w:numPr>
        <w:pStyle w:val="Compact"/>
      </w:pPr>
      <w:r>
        <w:t xml:space="preserve">disponibilidad;</w:t>
      </w:r>
    </w:p>
    <w:p>
      <w:pPr>
        <w:numPr>
          <w:ilvl w:val="0"/>
          <w:numId w:val="1022"/>
        </w:numPr>
        <w:pStyle w:val="Compact"/>
      </w:pPr>
      <w:r>
        <w:t xml:space="preserve">conexiones fallidas;</w:t>
      </w:r>
    </w:p>
    <w:p>
      <w:pPr>
        <w:numPr>
          <w:ilvl w:val="0"/>
          <w:numId w:val="1022"/>
        </w:numPr>
        <w:pStyle w:val="Compact"/>
      </w:pPr>
      <w:r>
        <w:t xml:space="preserve">fallos de autenticación;</w:t>
      </w:r>
    </w:p>
    <w:p>
      <w:pPr>
        <w:numPr>
          <w:ilvl w:val="0"/>
          <w:numId w:val="1022"/>
        </w:numPr>
        <w:pStyle w:val="Compact"/>
      </w:pPr>
      <w:r>
        <w:t xml:space="preserve">errores de base de datos;</w:t>
      </w:r>
    </w:p>
    <w:p>
      <w:pPr>
        <w:numPr>
          <w:ilvl w:val="0"/>
          <w:numId w:val="1022"/>
        </w:numPr>
        <w:pStyle w:val="Compact"/>
      </w:pPr>
      <w:r>
        <w:t xml:space="preserve">CPU/memoria/almacenamiento;</w:t>
      </w:r>
    </w:p>
    <w:p>
      <w:pPr>
        <w:numPr>
          <w:ilvl w:val="0"/>
          <w:numId w:val="1022"/>
        </w:numPr>
        <w:pStyle w:val="Compact"/>
      </w:pPr>
      <w:r>
        <w:t xml:space="preserve">latencia I/O;</w:t>
      </w:r>
    </w:p>
    <w:p>
      <w:pPr>
        <w:numPr>
          <w:ilvl w:val="0"/>
          <w:numId w:val="1022"/>
        </w:numPr>
        <w:pStyle w:val="Compact"/>
      </w:pPr>
      <w:r>
        <w:t xml:space="preserve">duración de consultas;</w:t>
      </w:r>
    </w:p>
    <w:p>
      <w:pPr>
        <w:numPr>
          <w:ilvl w:val="0"/>
          <w:numId w:val="1022"/>
        </w:numPr>
        <w:pStyle w:val="Compact"/>
      </w:pPr>
      <w:r>
        <w:t xml:space="preserve">blocking/deadlocks;</w:t>
      </w:r>
    </w:p>
    <w:p>
      <w:pPr>
        <w:numPr>
          <w:ilvl w:val="0"/>
          <w:numId w:val="1022"/>
        </w:numPr>
        <w:pStyle w:val="Compact"/>
      </w:pPr>
      <w:r>
        <w:t xml:space="preserve">éxito/fallo de respaldos;</w:t>
      </w:r>
    </w:p>
    <w:p>
      <w:pPr>
        <w:numPr>
          <w:ilvl w:val="0"/>
          <w:numId w:val="1022"/>
        </w:numPr>
        <w:pStyle w:val="Compact"/>
      </w:pPr>
      <w:r>
        <w:t xml:space="preserve">estado de replicación;</w:t>
      </w:r>
    </w:p>
    <w:p>
      <w:pPr>
        <w:numPr>
          <w:ilvl w:val="0"/>
          <w:numId w:val="1022"/>
        </w:numPr>
        <w:pStyle w:val="Compact"/>
      </w:pPr>
      <w:r>
        <w:t xml:space="preserve">crecimiento del transaction log;</w:t>
      </w:r>
    </w:p>
    <w:p>
      <w:pPr>
        <w:numPr>
          <w:ilvl w:val="0"/>
          <w:numId w:val="1022"/>
        </w:numPr>
        <w:pStyle w:val="Compact"/>
      </w:pPr>
      <w:r>
        <w:t xml:space="preserve">umbrales de capacidad;</w:t>
      </w:r>
    </w:p>
    <w:p>
      <w:pPr>
        <w:numPr>
          <w:ilvl w:val="0"/>
          <w:numId w:val="1022"/>
        </w:numPr>
        <w:pStyle w:val="Compact"/>
      </w:pPr>
      <w:r>
        <w:t xml:space="preserve">expiración de certificados/credenciales cuando aplique;</w:t>
      </w:r>
    </w:p>
    <w:p>
      <w:pPr>
        <w:numPr>
          <w:ilvl w:val="0"/>
          <w:numId w:val="1022"/>
        </w:numPr>
        <w:pStyle w:val="Compact"/>
      </w:pPr>
      <w:r>
        <w:t xml:space="preserve">salud/costos anómalos de servicios cloud.</w:t>
      </w:r>
    </w:p>
    <w:p>
      <w:pPr>
        <w:pStyle w:val="FirstParagraph"/>
      </w:pPr>
      <w:r>
        <w:t xml:space="preserve">Las alertas deben tener responsable, severidad y respuesta esperada. Demasiadas alertas de baja calidad generan ruido y pueden ocultar incidentes reales.</w:t>
      </w:r>
    </w:p>
    <w:bookmarkEnd w:id="42"/>
    <w:bookmarkStart w:id="43" w:name="respuesta-a-incidentes-y-escalamiento"/>
    <w:p>
      <w:pPr>
        <w:pStyle w:val="Heading2"/>
      </w:pPr>
      <w:r>
        <w:t xml:space="preserve">Respuesta a incidentes y escalamiento</w:t>
      </w:r>
    </w:p>
    <w:p>
      <w:pPr>
        <w:pStyle w:val="FirstParagraph"/>
      </w:pPr>
      <w:r>
        <w:t xml:space="preserve">Un DBA puede participar ante:</w:t>
      </w:r>
    </w:p>
    <w:p>
      <w:pPr>
        <w:numPr>
          <w:ilvl w:val="0"/>
          <w:numId w:val="1023"/>
        </w:numPr>
        <w:pStyle w:val="Compact"/>
      </w:pPr>
      <w:r>
        <w:t xml:space="preserve">caída de base de datos;</w:t>
      </w:r>
    </w:p>
    <w:p>
      <w:pPr>
        <w:numPr>
          <w:ilvl w:val="0"/>
          <w:numId w:val="1023"/>
        </w:numPr>
        <w:pStyle w:val="Compact"/>
      </w:pPr>
      <w:r>
        <w:t xml:space="preserve">corrupción;</w:t>
      </w:r>
    </w:p>
    <w:p>
      <w:pPr>
        <w:numPr>
          <w:ilvl w:val="0"/>
          <w:numId w:val="1023"/>
        </w:numPr>
        <w:pStyle w:val="Compact"/>
      </w:pPr>
      <w:r>
        <w:t xml:space="preserve">acceso no autorizado sospechado;</w:t>
      </w:r>
    </w:p>
    <w:p>
      <w:pPr>
        <w:numPr>
          <w:ilvl w:val="0"/>
          <w:numId w:val="1023"/>
        </w:numPr>
        <w:pStyle w:val="Compact"/>
      </w:pPr>
      <w:r>
        <w:t xml:space="preserve">compromiso de credenciales;</w:t>
      </w:r>
    </w:p>
    <w:p>
      <w:pPr>
        <w:numPr>
          <w:ilvl w:val="0"/>
          <w:numId w:val="1023"/>
        </w:numPr>
        <w:pStyle w:val="Compact"/>
      </w:pPr>
      <w:r>
        <w:t xml:space="preserve">ransomware o actividad destructiva;</w:t>
      </w:r>
    </w:p>
    <w:p>
      <w:pPr>
        <w:numPr>
          <w:ilvl w:val="0"/>
          <w:numId w:val="1023"/>
        </w:numPr>
        <w:pStyle w:val="Compact"/>
      </w:pPr>
      <w:r>
        <w:t xml:space="preserve">borrado accidental;</w:t>
      </w:r>
    </w:p>
    <w:p>
      <w:pPr>
        <w:numPr>
          <w:ilvl w:val="0"/>
          <w:numId w:val="1023"/>
        </w:numPr>
        <w:pStyle w:val="Compact"/>
      </w:pPr>
      <w:r>
        <w:t xml:space="preserve">fallo de replicación;</w:t>
      </w:r>
    </w:p>
    <w:p>
      <w:pPr>
        <w:numPr>
          <w:ilvl w:val="0"/>
          <w:numId w:val="1023"/>
        </w:numPr>
        <w:pStyle w:val="Compact"/>
      </w:pPr>
      <w:r>
        <w:t xml:space="preserve">recuperación fallida;</w:t>
      </w:r>
    </w:p>
    <w:p>
      <w:pPr>
        <w:numPr>
          <w:ilvl w:val="0"/>
          <w:numId w:val="1023"/>
        </w:numPr>
        <w:pStyle w:val="Compact"/>
      </w:pPr>
      <w:r>
        <w:t xml:space="preserve">degradación severa de rendimiento;</w:t>
      </w:r>
    </w:p>
    <w:p>
      <w:pPr>
        <w:numPr>
          <w:ilvl w:val="0"/>
          <w:numId w:val="1023"/>
        </w:numPr>
        <w:pStyle w:val="Compact"/>
      </w:pPr>
      <w:r>
        <w:t xml:space="preserve">preocupación de integridad de datos;</w:t>
      </w:r>
    </w:p>
    <w:p>
      <w:pPr>
        <w:numPr>
          <w:ilvl w:val="0"/>
          <w:numId w:val="1023"/>
        </w:numPr>
        <w:pStyle w:val="Compact"/>
      </w:pPr>
      <w:r>
        <w:t xml:space="preserve">exposición inesperada de información.</w:t>
      </w:r>
    </w:p>
    <w:p>
      <w:pPr>
        <w:pStyle w:val="FirstParagraph"/>
      </w:pPr>
      <w:r>
        <w:t xml:space="preserve">Siga el proceso de incidentes. Preserve evidencia y tiempos. No destruya logs ni “limpie” antes de que seguridad/incidentes determine qué debe conservarse.</w:t>
      </w:r>
    </w:p>
    <w:bookmarkEnd w:id="43"/>
    <w:bookmarkStart w:id="44" w:name="privacidad-retención-y-gobierno-de-datos"/>
    <w:p>
      <w:pPr>
        <w:pStyle w:val="Heading2"/>
      </w:pPr>
      <w:r>
        <w:t xml:space="preserve">Privacidad, retención y gobierno de datos</w:t>
      </w:r>
    </w:p>
    <w:p>
      <w:pPr>
        <w:pStyle w:val="FirstParagraph"/>
      </w:pPr>
      <w:r>
        <w:t xml:space="preserve">Los DBA pueden ver información muy sensible. Ese acceso es una responsabilidad, no un beneficio del puesto.</w:t>
      </w:r>
    </w:p>
    <w:p>
      <w:pPr>
        <w:pStyle w:val="BodyText"/>
      </w:pPr>
      <w:r>
        <w:t xml:space="preserve">Siga reglas aprobadas sobre:</w:t>
      </w:r>
    </w:p>
    <w:p>
      <w:pPr>
        <w:numPr>
          <w:ilvl w:val="0"/>
          <w:numId w:val="1024"/>
        </w:numPr>
        <w:pStyle w:val="Compact"/>
      </w:pPr>
      <w:r>
        <w:t xml:space="preserve">propósito autorizado;</w:t>
      </w:r>
    </w:p>
    <w:p>
      <w:pPr>
        <w:numPr>
          <w:ilvl w:val="0"/>
          <w:numId w:val="1024"/>
        </w:numPr>
        <w:pStyle w:val="Compact"/>
      </w:pPr>
      <w:r>
        <w:t xml:space="preserve">acceso mínimo necesario;</w:t>
      </w:r>
    </w:p>
    <w:p>
      <w:pPr>
        <w:numPr>
          <w:ilvl w:val="0"/>
          <w:numId w:val="1024"/>
        </w:numPr>
        <w:pStyle w:val="Compact"/>
      </w:pPr>
      <w:r>
        <w:t xml:space="preserve">clasificación de datos;</w:t>
      </w:r>
    </w:p>
    <w:p>
      <w:pPr>
        <w:numPr>
          <w:ilvl w:val="0"/>
          <w:numId w:val="1024"/>
        </w:numPr>
        <w:pStyle w:val="Compact"/>
      </w:pPr>
      <w:r>
        <w:t xml:space="preserve">retención y eliminación;</w:t>
      </w:r>
    </w:p>
    <w:p>
      <w:pPr>
        <w:numPr>
          <w:ilvl w:val="0"/>
          <w:numId w:val="1024"/>
        </w:numPr>
        <w:pStyle w:val="Compact"/>
      </w:pPr>
      <w:r>
        <w:t xml:space="preserve">legal holds cuando correspondan;</w:t>
      </w:r>
    </w:p>
    <w:p>
      <w:pPr>
        <w:numPr>
          <w:ilvl w:val="0"/>
          <w:numId w:val="1024"/>
        </w:numPr>
        <w:pStyle w:val="Compact"/>
      </w:pPr>
      <w:r>
        <w:t xml:space="preserve">masking/tokenización cuando se requieran;</w:t>
      </w:r>
    </w:p>
    <w:p>
      <w:pPr>
        <w:numPr>
          <w:ilvl w:val="0"/>
          <w:numId w:val="1024"/>
        </w:numPr>
        <w:pStyle w:val="Compact"/>
      </w:pPr>
      <w:r>
        <w:t xml:space="preserve">extractos seguros;</w:t>
      </w:r>
    </w:p>
    <w:p>
      <w:pPr>
        <w:numPr>
          <w:ilvl w:val="0"/>
          <w:numId w:val="1024"/>
        </w:numPr>
        <w:pStyle w:val="Compact"/>
      </w:pPr>
      <w:r>
        <w:t xml:space="preserve">datos de prueba;</w:t>
      </w:r>
    </w:p>
    <w:p>
      <w:pPr>
        <w:numPr>
          <w:ilvl w:val="0"/>
          <w:numId w:val="1024"/>
        </w:numPr>
        <w:pStyle w:val="Compact"/>
      </w:pPr>
      <w:r>
        <w:t xml:space="preserve">verificación de destinatarios;</w:t>
      </w:r>
    </w:p>
    <w:p>
      <w:pPr>
        <w:numPr>
          <w:ilvl w:val="0"/>
          <w:numId w:val="1024"/>
        </w:numPr>
        <w:pStyle w:val="Compact"/>
      </w:pPr>
      <w:r>
        <w:t xml:space="preserve">exportaciones;</w:t>
      </w:r>
    </w:p>
    <w:p>
      <w:pPr>
        <w:numPr>
          <w:ilvl w:val="0"/>
          <w:numId w:val="1024"/>
        </w:numPr>
        <w:pStyle w:val="Compact"/>
      </w:pPr>
      <w:r>
        <w:t xml:space="preserve">auditoría;</w:t>
      </w:r>
    </w:p>
    <w:p>
      <w:pPr>
        <w:numPr>
          <w:ilvl w:val="0"/>
          <w:numId w:val="1024"/>
        </w:numPr>
        <w:pStyle w:val="Compact"/>
      </w:pPr>
      <w:r>
        <w:t xml:space="preserve">reporte de incidentes.</w:t>
      </w:r>
    </w:p>
    <w:p>
      <w:pPr>
        <w:pStyle w:val="FirstParagraph"/>
      </w:pPr>
      <w:r>
        <w:t xml:space="preserve">No copie datos de producción a ambientes personales o de desarrollo sin control.</w:t>
      </w:r>
    </w:p>
    <w:bookmarkEnd w:id="44"/>
    <w:bookmarkStart w:id="45" w:name="X7f83d1e4f18c2bab26444ca6bfc2df0e675272e"/>
    <w:p>
      <w:pPr>
        <w:pStyle w:val="Heading2"/>
      </w:pPr>
      <w:r>
        <w:t xml:space="preserve">Separación de desarrollo, pruebas y producción</w:t>
      </w:r>
    </w:p>
    <w:p>
      <w:pPr>
        <w:pStyle w:val="FirstParagraph"/>
      </w:pPr>
      <w:r>
        <w:t xml:space="preserve">Cuando la organización lo permita:</w:t>
      </w:r>
    </w:p>
    <w:p>
      <w:pPr>
        <w:numPr>
          <w:ilvl w:val="0"/>
          <w:numId w:val="1025"/>
        </w:numPr>
        <w:pStyle w:val="Compact"/>
      </w:pPr>
      <w:r>
        <w:t xml:space="preserve">desarrolle y pruebe cambios fuera de producción;</w:t>
      </w:r>
    </w:p>
    <w:p>
      <w:pPr>
        <w:numPr>
          <w:ilvl w:val="0"/>
          <w:numId w:val="1025"/>
        </w:numPr>
        <w:pStyle w:val="Compact"/>
      </w:pPr>
      <w:r>
        <w:t xml:space="preserve">use datos sintéticos, enmascarados o aprobados;</w:t>
      </w:r>
    </w:p>
    <w:p>
      <w:pPr>
        <w:numPr>
          <w:ilvl w:val="0"/>
          <w:numId w:val="1025"/>
        </w:numPr>
        <w:pStyle w:val="Compact"/>
      </w:pPr>
      <w:r>
        <w:t xml:space="preserve">restrinja credenciales de producción;</w:t>
      </w:r>
    </w:p>
    <w:p>
      <w:pPr>
        <w:numPr>
          <w:ilvl w:val="0"/>
          <w:numId w:val="1025"/>
        </w:numPr>
        <w:pStyle w:val="Compact"/>
      </w:pPr>
      <w:r>
        <w:t xml:space="preserve">separe aprobación y desarrollo cuando corresponda;</w:t>
      </w:r>
    </w:p>
    <w:p>
      <w:pPr>
        <w:numPr>
          <w:ilvl w:val="0"/>
          <w:numId w:val="1025"/>
        </w:numPr>
        <w:pStyle w:val="Compact"/>
      </w:pPr>
      <w:r>
        <w:t xml:space="preserve">controle connection strings y secretos por ambiente;</w:t>
      </w:r>
    </w:p>
    <w:p>
      <w:pPr>
        <w:numPr>
          <w:ilvl w:val="0"/>
          <w:numId w:val="1025"/>
        </w:numPr>
        <w:pStyle w:val="Compact"/>
      </w:pPr>
      <w:r>
        <w:t xml:space="preserve">valide el destino antes de ejecutar scripts.</w:t>
      </w:r>
    </w:p>
    <w:p>
      <w:pPr>
        <w:pStyle w:val="FirstParagraph"/>
      </w:pPr>
      <w:r>
        <w:t xml:space="preserve">Un error de alto impacto muy común es ejecutar el script correcto en el ambiente equivocado.</w:t>
      </w:r>
    </w:p>
    <w:bookmarkEnd w:id="45"/>
    <w:bookmarkStart w:id="46" w:name="X03914f363b8e72421f689daf228c9cf45e2672a"/>
    <w:p>
      <w:pPr>
        <w:pStyle w:val="Heading2"/>
      </w:pPr>
      <w:r>
        <w:t xml:space="preserve">Bases de datos en nube y servicios administrados</w:t>
      </w:r>
    </w:p>
    <w:p>
      <w:pPr>
        <w:pStyle w:val="FirstParagraph"/>
      </w:pPr>
      <w:r>
        <w:t xml:space="preserve">Los servicios administrados pueden automatizar hardware, opciones de parches, snapshots o replicación. No eliminan las responsabilidades del cliente.</w:t>
      </w:r>
    </w:p>
    <w:p>
      <w:pPr>
        <w:pStyle w:val="BodyText"/>
      </w:pPr>
      <w:r>
        <w:t xml:space="preserve">Un DBA u operador de datos puede seguir administrando:</w:t>
      </w:r>
    </w:p>
    <w:p>
      <w:pPr>
        <w:numPr>
          <w:ilvl w:val="0"/>
          <w:numId w:val="1026"/>
        </w:numPr>
        <w:pStyle w:val="Compact"/>
      </w:pPr>
      <w:r>
        <w:t xml:space="preserve">identidad y acceso;</w:t>
      </w:r>
    </w:p>
    <w:p>
      <w:pPr>
        <w:numPr>
          <w:ilvl w:val="0"/>
          <w:numId w:val="1026"/>
        </w:numPr>
        <w:pStyle w:val="Compact"/>
      </w:pPr>
      <w:r>
        <w:t xml:space="preserve">exposición de red;</w:t>
      </w:r>
    </w:p>
    <w:p>
      <w:pPr>
        <w:numPr>
          <w:ilvl w:val="0"/>
          <w:numId w:val="1026"/>
        </w:numPr>
        <w:pStyle w:val="Compact"/>
      </w:pPr>
      <w:r>
        <w:t xml:space="preserve">security groups/firewalls;</w:t>
      </w:r>
    </w:p>
    <w:p>
      <w:pPr>
        <w:numPr>
          <w:ilvl w:val="0"/>
          <w:numId w:val="1026"/>
        </w:numPr>
        <w:pStyle w:val="Compact"/>
      </w:pPr>
      <w:r>
        <w:t xml:space="preserve">usuarios y roles;</w:t>
      </w:r>
    </w:p>
    <w:p>
      <w:pPr>
        <w:numPr>
          <w:ilvl w:val="0"/>
          <w:numId w:val="1026"/>
        </w:numPr>
        <w:pStyle w:val="Compact"/>
      </w:pPr>
      <w:r>
        <w:t xml:space="preserve">cifrado y claves cuando sean configurables;</w:t>
      </w:r>
    </w:p>
    <w:p>
      <w:pPr>
        <w:numPr>
          <w:ilvl w:val="0"/>
          <w:numId w:val="1026"/>
        </w:numPr>
        <w:pStyle w:val="Compact"/>
      </w:pPr>
      <w:r>
        <w:t xml:space="preserve">retención de backups;</w:t>
      </w:r>
    </w:p>
    <w:p>
      <w:pPr>
        <w:numPr>
          <w:ilvl w:val="0"/>
          <w:numId w:val="1026"/>
        </w:numPr>
        <w:pStyle w:val="Compact"/>
      </w:pPr>
      <w:r>
        <w:t xml:space="preserve">logging/auditoría;</w:t>
      </w:r>
    </w:p>
    <w:p>
      <w:pPr>
        <w:numPr>
          <w:ilvl w:val="0"/>
          <w:numId w:val="1026"/>
        </w:numPr>
        <w:pStyle w:val="Compact"/>
      </w:pPr>
      <w:r>
        <w:t xml:space="preserve">mantenimiento;</w:t>
      </w:r>
    </w:p>
    <w:p>
      <w:pPr>
        <w:numPr>
          <w:ilvl w:val="0"/>
          <w:numId w:val="1026"/>
        </w:numPr>
        <w:pStyle w:val="Compact"/>
      </w:pPr>
      <w:r>
        <w:t xml:space="preserve">sizing;</w:t>
      </w:r>
    </w:p>
    <w:p>
      <w:pPr>
        <w:numPr>
          <w:ilvl w:val="0"/>
          <w:numId w:val="1026"/>
        </w:numPr>
        <w:pStyle w:val="Compact"/>
      </w:pPr>
      <w:r>
        <w:t xml:space="preserve">rendimiento de consultas;</w:t>
      </w:r>
    </w:p>
    <w:p>
      <w:pPr>
        <w:numPr>
          <w:ilvl w:val="0"/>
          <w:numId w:val="1026"/>
        </w:numPr>
        <w:pStyle w:val="Compact"/>
      </w:pPr>
      <w:r>
        <w:t xml:space="preserve">resiliencia;</w:t>
      </w:r>
    </w:p>
    <w:p>
      <w:pPr>
        <w:numPr>
          <w:ilvl w:val="0"/>
          <w:numId w:val="1026"/>
        </w:numPr>
        <w:pStyle w:val="Compact"/>
      </w:pPr>
      <w:r>
        <w:t xml:space="preserve">credenciales de aplicaciones;</w:t>
      </w:r>
    </w:p>
    <w:p>
      <w:pPr>
        <w:numPr>
          <w:ilvl w:val="0"/>
          <w:numId w:val="1026"/>
        </w:numPr>
        <w:pStyle w:val="Compact"/>
      </w:pPr>
      <w:r>
        <w:t xml:space="preserve">costos/capacidad;</w:t>
      </w:r>
    </w:p>
    <w:p>
      <w:pPr>
        <w:numPr>
          <w:ilvl w:val="0"/>
          <w:numId w:val="1026"/>
        </w:numPr>
        <w:pStyle w:val="Compact"/>
      </w:pPr>
      <w:r>
        <w:t xml:space="preserve">gobierno de cambios.</w:t>
      </w:r>
    </w:p>
    <w:p>
      <w:pPr>
        <w:pStyle w:val="FirstParagraph"/>
      </w:pPr>
      <w:r>
        <w:t xml:space="preserve">Comprenda el modelo de responsabilidad compartida del proveedor. “Está en la nube” no significa que el proveedor gestione toda la seguridad.</w:t>
      </w:r>
    </w:p>
    <w:bookmarkEnd w:id="46"/>
    <w:bookmarkStart w:id="47" w:name="X6410387f886d69bd5f6fd4efa9e567202115d91"/>
    <w:p>
      <w:pPr>
        <w:pStyle w:val="Heading2"/>
      </w:pPr>
      <w:r>
        <w:t xml:space="preserve">Automatización, scripting e infraestructura como código</w:t>
      </w:r>
    </w:p>
    <w:p>
      <w:pPr>
        <w:pStyle w:val="FirstParagraph"/>
      </w:pPr>
      <w:r>
        <w:t xml:space="preserve">La automatización reduce tareas repetitivas, pero también puede multiplicar errores.</w:t>
      </w:r>
    </w:p>
    <w:p>
      <w:pPr>
        <w:pStyle w:val="BodyText"/>
      </w:pPr>
      <w:r>
        <w:t xml:space="preserve">Herramientas comunes pueden incluir:</w:t>
      </w:r>
    </w:p>
    <w:p>
      <w:pPr>
        <w:numPr>
          <w:ilvl w:val="0"/>
          <w:numId w:val="1027"/>
        </w:numPr>
        <w:pStyle w:val="Compact"/>
      </w:pPr>
      <w:r>
        <w:t xml:space="preserve">Python;</w:t>
      </w:r>
    </w:p>
    <w:p>
      <w:pPr>
        <w:numPr>
          <w:ilvl w:val="0"/>
          <w:numId w:val="1027"/>
        </w:numPr>
        <w:pStyle w:val="Compact"/>
      </w:pPr>
      <w:r>
        <w:t xml:space="preserve">PowerShell;</w:t>
      </w:r>
    </w:p>
    <w:p>
      <w:pPr>
        <w:numPr>
          <w:ilvl w:val="0"/>
          <w:numId w:val="1027"/>
        </w:numPr>
        <w:pStyle w:val="Compact"/>
      </w:pPr>
      <w:r>
        <w:t xml:space="preserve">shell scripts;</w:t>
      </w:r>
    </w:p>
    <w:p>
      <w:pPr>
        <w:numPr>
          <w:ilvl w:val="0"/>
          <w:numId w:val="1027"/>
        </w:numPr>
        <w:pStyle w:val="Compact"/>
      </w:pPr>
      <w:r>
        <w:t xml:space="preserve">SQL scripts;</w:t>
      </w:r>
    </w:p>
    <w:p>
      <w:pPr>
        <w:numPr>
          <w:ilvl w:val="0"/>
          <w:numId w:val="1027"/>
        </w:numPr>
        <w:pStyle w:val="Compact"/>
      </w:pPr>
      <w:r>
        <w:t xml:space="preserve">Terraform;</w:t>
      </w:r>
    </w:p>
    <w:p>
      <w:pPr>
        <w:numPr>
          <w:ilvl w:val="0"/>
          <w:numId w:val="1027"/>
        </w:numPr>
        <w:pStyle w:val="Compact"/>
      </w:pPr>
      <w:r>
        <w:t xml:space="preserve">herramientas de configuration management;</w:t>
      </w:r>
    </w:p>
    <w:p>
      <w:pPr>
        <w:numPr>
          <w:ilvl w:val="0"/>
          <w:numId w:val="1027"/>
        </w:numPr>
        <w:pStyle w:val="Compact"/>
      </w:pPr>
      <w:r>
        <w:t xml:space="preserve">CI/CD;</w:t>
      </w:r>
    </w:p>
    <w:p>
      <w:pPr>
        <w:numPr>
          <w:ilvl w:val="0"/>
          <w:numId w:val="1027"/>
        </w:numPr>
        <w:pStyle w:val="Compact"/>
      </w:pPr>
      <w:r>
        <w:t xml:space="preserve">automatización cloud.</w:t>
      </w:r>
    </w:p>
    <w:p>
      <w:pPr>
        <w:pStyle w:val="FirstParagraph"/>
      </w:pPr>
      <w:r>
        <w:t xml:space="preserve">Controles útiles:</w:t>
      </w:r>
    </w:p>
    <w:p>
      <w:pPr>
        <w:numPr>
          <w:ilvl w:val="0"/>
          <w:numId w:val="1028"/>
        </w:numPr>
        <w:pStyle w:val="Compact"/>
      </w:pPr>
      <w:r>
        <w:t xml:space="preserve">control de versiones;</w:t>
      </w:r>
    </w:p>
    <w:p>
      <w:pPr>
        <w:numPr>
          <w:ilvl w:val="0"/>
          <w:numId w:val="1028"/>
        </w:numPr>
        <w:pStyle w:val="Compact"/>
      </w:pPr>
      <w:r>
        <w:t xml:space="preserve">revisión por pares;</w:t>
      </w:r>
    </w:p>
    <w:p>
      <w:pPr>
        <w:numPr>
          <w:ilvl w:val="0"/>
          <w:numId w:val="1028"/>
        </w:numPr>
        <w:pStyle w:val="Compact"/>
      </w:pPr>
      <w:r>
        <w:t xml:space="preserve">validación de parámetros;</w:t>
      </w:r>
    </w:p>
    <w:p>
      <w:pPr>
        <w:numPr>
          <w:ilvl w:val="0"/>
          <w:numId w:val="1028"/>
        </w:numPr>
        <w:pStyle w:val="Compact"/>
      </w:pPr>
      <w:r>
        <w:t xml:space="preserve">protecciones por ambiente;</w:t>
      </w:r>
    </w:p>
    <w:p>
      <w:pPr>
        <w:numPr>
          <w:ilvl w:val="0"/>
          <w:numId w:val="1028"/>
        </w:numPr>
        <w:pStyle w:val="Compact"/>
      </w:pPr>
      <w:r>
        <w:t xml:space="preserve">gestión de secretos;</w:t>
      </w:r>
    </w:p>
    <w:p>
      <w:pPr>
        <w:numPr>
          <w:ilvl w:val="0"/>
          <w:numId w:val="1028"/>
        </w:numPr>
        <w:pStyle w:val="Compact"/>
      </w:pPr>
      <w:r>
        <w:t xml:space="preserve">modo de prueba/dry-run cuando exista;</w:t>
      </w:r>
    </w:p>
    <w:p>
      <w:pPr>
        <w:numPr>
          <w:ilvl w:val="0"/>
          <w:numId w:val="1028"/>
        </w:numPr>
        <w:pStyle w:val="Compact"/>
      </w:pPr>
      <w:r>
        <w:t xml:space="preserve">logging;</w:t>
      </w:r>
    </w:p>
    <w:p>
      <w:pPr>
        <w:numPr>
          <w:ilvl w:val="0"/>
          <w:numId w:val="1028"/>
        </w:numPr>
        <w:pStyle w:val="Compact"/>
      </w:pPr>
      <w:r>
        <w:t xml:space="preserve">rollback;</w:t>
      </w:r>
    </w:p>
    <w:p>
      <w:pPr>
        <w:numPr>
          <w:ilvl w:val="0"/>
          <w:numId w:val="1028"/>
        </w:numPr>
        <w:pStyle w:val="Compact"/>
      </w:pPr>
      <w:r>
        <w:t xml:space="preserve">permisos limitados para identidades de automatización.</w:t>
      </w:r>
    </w:p>
    <w:bookmarkEnd w:id="47"/>
    <w:bookmarkStart w:id="48" w:name="ia-responsable-en-trabajo-dba"/>
    <w:p>
      <w:pPr>
        <w:pStyle w:val="Heading2"/>
      </w:pPr>
      <w:r>
        <w:t xml:space="preserve">IA responsable en trabajo DBA</w:t>
      </w:r>
    </w:p>
    <w:p>
      <w:pPr>
        <w:pStyle w:val="FirstParagraph"/>
      </w:pPr>
      <w:r>
        <w:t xml:space="preserve">La IA puede apoyar tareas de bajo riesgo cuando la política organizacional lo permita, por ejemplo:</w:t>
      </w:r>
    </w:p>
    <w:p>
      <w:pPr>
        <w:numPr>
          <w:ilvl w:val="0"/>
          <w:numId w:val="1029"/>
        </w:numPr>
        <w:pStyle w:val="Compact"/>
      </w:pPr>
      <w:r>
        <w:t xml:space="preserve">redactar SQL o scripts administrativos;</w:t>
      </w:r>
    </w:p>
    <w:p>
      <w:pPr>
        <w:numPr>
          <w:ilvl w:val="0"/>
          <w:numId w:val="1029"/>
        </w:numPr>
        <w:pStyle w:val="Compact"/>
      </w:pPr>
      <w:r>
        <w:t xml:space="preserve">explicar un plan de ejecución;</w:t>
      </w:r>
    </w:p>
    <w:p>
      <w:pPr>
        <w:numPr>
          <w:ilvl w:val="0"/>
          <w:numId w:val="1029"/>
        </w:numPr>
        <w:pStyle w:val="Compact"/>
      </w:pPr>
      <w:r>
        <w:t xml:space="preserve">redactar runbooks;</w:t>
      </w:r>
    </w:p>
    <w:p>
      <w:pPr>
        <w:numPr>
          <w:ilvl w:val="0"/>
          <w:numId w:val="1029"/>
        </w:numPr>
        <w:pStyle w:val="Compact"/>
      </w:pPr>
      <w:r>
        <w:t xml:space="preserve">proponer casos de prueba;</w:t>
      </w:r>
    </w:p>
    <w:p>
      <w:pPr>
        <w:numPr>
          <w:ilvl w:val="0"/>
          <w:numId w:val="1029"/>
        </w:numPr>
        <w:pStyle w:val="Compact"/>
      </w:pPr>
      <w:r>
        <w:t xml:space="preserve">generar datos sintéticos;</w:t>
      </w:r>
    </w:p>
    <w:p>
      <w:pPr>
        <w:numPr>
          <w:ilvl w:val="0"/>
          <w:numId w:val="1029"/>
        </w:numPr>
        <w:pStyle w:val="Compact"/>
      </w:pPr>
      <w:r>
        <w:t xml:space="preserve">resumir documentación pública;</w:t>
      </w:r>
    </w:p>
    <w:p>
      <w:pPr>
        <w:numPr>
          <w:ilvl w:val="0"/>
          <w:numId w:val="1029"/>
        </w:numPr>
        <w:pStyle w:val="Compact"/>
      </w:pPr>
      <w:r>
        <w:t xml:space="preserve">sugerir consultas de monitoreo;</w:t>
      </w:r>
    </w:p>
    <w:p>
      <w:pPr>
        <w:numPr>
          <w:ilvl w:val="0"/>
          <w:numId w:val="1029"/>
        </w:numPr>
        <w:pStyle w:val="Compact"/>
      </w:pPr>
      <w:r>
        <w:t xml:space="preserve">explicar mensajes de error.</w:t>
      </w:r>
    </w:p>
    <w:p>
      <w:pPr>
        <w:pStyle w:val="FirstParagraph"/>
      </w:pPr>
      <w:r>
        <w:t xml:space="preserve">La validación humana sigue siendo obligatoria.</w:t>
      </w:r>
    </w:p>
    <w:p>
      <w:pPr>
        <w:pStyle w:val="BodyText"/>
      </w:pPr>
      <w:r>
        <w:t xml:space="preserve">No:</w:t>
      </w:r>
    </w:p>
    <w:p>
      <w:pPr>
        <w:numPr>
          <w:ilvl w:val="0"/>
          <w:numId w:val="1030"/>
        </w:numPr>
        <w:pStyle w:val="Compact"/>
      </w:pPr>
      <w:r>
        <w:t xml:space="preserve">cargue datos de producción, credenciales, esquemas privados, connection strings o logs protegidos en una IA no aprobada;</w:t>
      </w:r>
    </w:p>
    <w:p>
      <w:pPr>
        <w:numPr>
          <w:ilvl w:val="0"/>
          <w:numId w:val="1030"/>
        </w:numPr>
        <w:pStyle w:val="Compact"/>
      </w:pPr>
      <w:r>
        <w:t xml:space="preserve">ejecute SQL generado por IA en producción sin revisión, prueba y autorización;</w:t>
      </w:r>
    </w:p>
    <w:p>
      <w:pPr>
        <w:numPr>
          <w:ilvl w:val="0"/>
          <w:numId w:val="1030"/>
        </w:numPr>
        <w:pStyle w:val="Compact"/>
      </w:pPr>
      <w:r>
        <w:t xml:space="preserve">acepte nombres de objetos, sintaxis, métricas o comportamiento de proveedor inventados;</w:t>
      </w:r>
    </w:p>
    <w:p>
      <w:pPr>
        <w:numPr>
          <w:ilvl w:val="0"/>
          <w:numId w:val="1030"/>
        </w:numPr>
        <w:pStyle w:val="Compact"/>
      </w:pPr>
      <w:r>
        <w:t xml:space="preserve">permita cambios autónomos de producción fuera de la gobernanza aprobada;</w:t>
      </w:r>
    </w:p>
    <w:p>
      <w:pPr>
        <w:numPr>
          <w:ilvl w:val="0"/>
          <w:numId w:val="1030"/>
        </w:numPr>
        <w:pStyle w:val="Compact"/>
      </w:pPr>
      <w:r>
        <w:t xml:space="preserve">trate salida de IA como evidencia de incidente o documentación oficial del proveedor;</w:t>
      </w:r>
    </w:p>
    <w:p>
      <w:pPr>
        <w:numPr>
          <w:ilvl w:val="0"/>
          <w:numId w:val="1030"/>
        </w:numPr>
        <w:pStyle w:val="Compact"/>
      </w:pPr>
      <w:r>
        <w:t xml:space="preserve">omita rollback porque una recomendación parezca plausible.</w:t>
      </w:r>
    </w:p>
    <w:p>
      <w:pPr>
        <w:pStyle w:val="FirstParagraph"/>
      </w:pPr>
      <w:r>
        <w:t xml:space="preserve">Para cambios importantes, verifique contra documentación autoritativa y controles organizacionales.</w:t>
      </w:r>
    </w:p>
    <w:p>
      <w:pPr>
        <w:pStyle w:val="BodyText"/>
      </w:pPr>
      <w:r>
        <w:t xml:space="preserve">NIST AI RMF y su perfil de IA generativa son guías voluntarias de gestión de riesgo; no reemplazan el gobierno de bases de datos o seguridad.</w:t>
      </w:r>
    </w:p>
    <w:bookmarkEnd w:id="48"/>
    <w:bookmarkStart w:id="49" w:name="accesibilidad-y-documentación-utilizable"/>
    <w:p>
      <w:pPr>
        <w:pStyle w:val="Heading2"/>
      </w:pPr>
      <w:r>
        <w:t xml:space="preserve">Accesibilidad y documentación utilizable</w:t>
      </w:r>
    </w:p>
    <w:p>
      <w:pPr>
        <w:pStyle w:val="FirstParagraph"/>
      </w:pPr>
      <w:r>
        <w:t xml:space="preserve">La documentación debe funcionar para quienes la necesiten, incluso bajo presión de un incidente.</w:t>
      </w:r>
    </w:p>
    <w:p>
      <w:pPr>
        <w:pStyle w:val="BodyText"/>
      </w:pPr>
      <w:r>
        <w:t xml:space="preserve">Prácticas útiles:</w:t>
      </w:r>
    </w:p>
    <w:p>
      <w:pPr>
        <w:numPr>
          <w:ilvl w:val="0"/>
          <w:numId w:val="1031"/>
        </w:numPr>
        <w:pStyle w:val="Compact"/>
      </w:pPr>
      <w:r>
        <w:t xml:space="preserve">encabezados significativos;</w:t>
      </w:r>
    </w:p>
    <w:p>
      <w:pPr>
        <w:numPr>
          <w:ilvl w:val="0"/>
          <w:numId w:val="1031"/>
        </w:numPr>
        <w:pStyle w:val="Compact"/>
      </w:pPr>
      <w:r>
        <w:t xml:space="preserve">pasos claros y ordenados;</w:t>
      </w:r>
    </w:p>
    <w:p>
      <w:pPr>
        <w:numPr>
          <w:ilvl w:val="0"/>
          <w:numId w:val="1031"/>
        </w:numPr>
        <w:pStyle w:val="Compact"/>
      </w:pPr>
      <w:r>
        <w:t xml:space="preserve">fuentes y contraste legibles;</w:t>
      </w:r>
    </w:p>
    <w:p>
      <w:pPr>
        <w:numPr>
          <w:ilvl w:val="0"/>
          <w:numId w:val="1031"/>
        </w:numPr>
        <w:pStyle w:val="Compact"/>
      </w:pPr>
      <w:r>
        <w:t xml:space="preserve">tablas con encabezados adecuados;</w:t>
      </w:r>
    </w:p>
    <w:p>
      <w:pPr>
        <w:numPr>
          <w:ilvl w:val="0"/>
          <w:numId w:val="1031"/>
        </w:numPr>
        <w:pStyle w:val="Compact"/>
      </w:pPr>
      <w:r>
        <w:t xml:space="preserve">descripciones textuales de diagramas;</w:t>
      </w:r>
    </w:p>
    <w:p>
      <w:pPr>
        <w:numPr>
          <w:ilvl w:val="0"/>
          <w:numId w:val="1031"/>
        </w:numPr>
        <w:pStyle w:val="Compact"/>
      </w:pPr>
      <w:r>
        <w:t xml:space="preserve">no depender solo del color;</w:t>
      </w:r>
    </w:p>
    <w:p>
      <w:pPr>
        <w:numPr>
          <w:ilvl w:val="0"/>
          <w:numId w:val="1031"/>
        </w:numPr>
        <w:pStyle w:val="Compact"/>
      </w:pPr>
      <w:r>
        <w:t xml:space="preserve">herramientas/documentación accesibles por teclado cuando sea compatible;</w:t>
      </w:r>
    </w:p>
    <w:p>
      <w:pPr>
        <w:numPr>
          <w:ilvl w:val="0"/>
          <w:numId w:val="1031"/>
        </w:numPr>
        <w:pStyle w:val="Compact"/>
      </w:pPr>
      <w:r>
        <w:t xml:space="preserve">ramas claras de decisión/error;</w:t>
      </w:r>
    </w:p>
    <w:p>
      <w:pPr>
        <w:numPr>
          <w:ilvl w:val="0"/>
          <w:numId w:val="1031"/>
        </w:numPr>
        <w:pStyle w:val="Compact"/>
      </w:pPr>
      <w:r>
        <w:t xml:space="preserve">lenguaje sencillo en pasos de alto impacto;</w:t>
      </w:r>
    </w:p>
    <w:p>
      <w:pPr>
        <w:numPr>
          <w:ilvl w:val="0"/>
          <w:numId w:val="1031"/>
        </w:numPr>
        <w:pStyle w:val="Compact"/>
      </w:pPr>
      <w:r>
        <w:t xml:space="preserve">comandos/scripts diferenciados del texto explicativo.</w:t>
      </w:r>
    </w:p>
    <w:p>
      <w:pPr>
        <w:pStyle w:val="FirstParagraph"/>
      </w:pPr>
      <w:r>
        <w:t xml:space="preserve">Un verificador automático no demuestra cumplimiento legal de accesibilidad.</w:t>
      </w:r>
    </w:p>
    <w:bookmarkEnd w:id="49"/>
    <w:bookmarkStart w:id="51" w:name="X2e40e8b476a4f61d95f2f6df22dd9e800baac25"/>
    <w:p>
      <w:pPr>
        <w:pStyle w:val="Heading2"/>
      </w:pPr>
      <w:r>
        <w:t xml:space="preserve">Educación y rutas de entrada — Estados Unidos</w:t>
      </w:r>
    </w:p>
    <w:p>
      <w:pPr>
        <w:pStyle w:val="FirstParagraph"/>
      </w:pPr>
      <w:r>
        <w:t xml:space="preserve">O*NET ubica Database Administrators en</w:t>
      </w:r>
      <w:r>
        <w:t xml:space="preserve"> </w:t>
      </w:r>
      <w:r>
        <w:rPr>
          <w:bCs/>
          <w:b/>
        </w:rPr>
        <w:t xml:space="preserve">Job Zone Four — Considerable Preparation Needed</w:t>
      </w:r>
      <w:r>
        <w:t xml:space="preserve">.</w:t>
      </w:r>
    </w:p>
    <w:p>
      <w:pPr>
        <w:pStyle w:val="BodyText"/>
      </w:pPr>
      <w:r>
        <w:t xml:space="preserve">Las respuestas actuales de educación indican: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89%</w:t>
      </w:r>
      <w:r>
        <w:t xml:space="preserve"> </w:t>
      </w:r>
      <w:r>
        <w:t xml:space="preserve">licenciatura/bachelor's degree;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4%</w:t>
      </w:r>
      <w:r>
        <w:t xml:space="preserve"> </w:t>
      </w:r>
      <w:r>
        <w:t xml:space="preserve">certificado post-baccalaureate;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3%</w:t>
      </w:r>
      <w:r>
        <w:t xml:space="preserve"> </w:t>
      </w:r>
      <w:r>
        <w:t xml:space="preserve">associate degree.</w:t>
      </w:r>
    </w:p>
    <w:p>
      <w:pPr>
        <w:pStyle w:val="FirstParagraph"/>
      </w:pPr>
      <w:r>
        <w:t xml:space="preserve">Son respuestas ocupacionales, no una regla absoluta para cada vacante.</w:t>
      </w:r>
    </w:p>
    <w:p>
      <w:pPr>
        <w:pStyle w:val="BodyText"/>
      </w:pPr>
      <w:r>
        <w:t xml:space="preserve">Se puede avanzar hacia DBA desde:</w:t>
      </w:r>
    </w:p>
    <w:p>
      <w:pPr>
        <w:numPr>
          <w:ilvl w:val="0"/>
          <w:numId w:val="1033"/>
        </w:numPr>
        <w:pStyle w:val="Compact"/>
      </w:pPr>
      <w:r>
        <w:t xml:space="preserve">soporte TI;</w:t>
      </w:r>
    </w:p>
    <w:p>
      <w:pPr>
        <w:numPr>
          <w:ilvl w:val="0"/>
          <w:numId w:val="1033"/>
        </w:numPr>
        <w:pStyle w:val="Compact"/>
      </w:pPr>
      <w:r>
        <w:t xml:space="preserve">soporte de aplicaciones;</w:t>
      </w:r>
    </w:p>
    <w:p>
      <w:pPr>
        <w:numPr>
          <w:ilvl w:val="0"/>
          <w:numId w:val="1033"/>
        </w:numPr>
        <w:pStyle w:val="Compact"/>
      </w:pPr>
      <w:r>
        <w:t xml:space="preserve">administración de sistemas;</w:t>
      </w:r>
    </w:p>
    <w:p>
      <w:pPr>
        <w:numPr>
          <w:ilvl w:val="0"/>
          <w:numId w:val="1033"/>
        </w:numPr>
        <w:pStyle w:val="Compact"/>
      </w:pPr>
      <w:r>
        <w:t xml:space="preserve">desarrollo de bases de datos;</w:t>
      </w:r>
    </w:p>
    <w:p>
      <w:pPr>
        <w:numPr>
          <w:ilvl w:val="0"/>
          <w:numId w:val="1033"/>
        </w:numPr>
        <w:pStyle w:val="Compact"/>
      </w:pPr>
      <w:r>
        <w:t xml:space="preserve">operaciones de datos;</w:t>
      </w:r>
    </w:p>
    <w:p>
      <w:pPr>
        <w:numPr>
          <w:ilvl w:val="0"/>
          <w:numId w:val="1033"/>
        </w:numPr>
        <w:pStyle w:val="Compact"/>
      </w:pPr>
      <w:r>
        <w:t xml:space="preserve">desarrollo de software;</w:t>
      </w:r>
    </w:p>
    <w:p>
      <w:pPr>
        <w:numPr>
          <w:ilvl w:val="0"/>
          <w:numId w:val="1033"/>
        </w:numPr>
        <w:pStyle w:val="Compact"/>
      </w:pPr>
      <w:r>
        <w:t xml:space="preserve">soporte cloud;</w:t>
      </w:r>
    </w:p>
    <w:p>
      <w:pPr>
        <w:numPr>
          <w:ilvl w:val="0"/>
          <w:numId w:val="1033"/>
        </w:numPr>
        <w:pStyle w:val="Compact"/>
      </w:pPr>
      <w:r>
        <w:t xml:space="preserve">reporting/BI;</w:t>
      </w:r>
    </w:p>
    <w:p>
      <w:pPr>
        <w:numPr>
          <w:ilvl w:val="0"/>
          <w:numId w:val="1033"/>
        </w:numPr>
        <w:pStyle w:val="Compact"/>
      </w:pPr>
      <w:r>
        <w:t xml:space="preserve">programas formales de informática/sistemas;</w:t>
      </w:r>
    </w:p>
    <w:p>
      <w:pPr>
        <w:numPr>
          <w:ilvl w:val="0"/>
          <w:numId w:val="1033"/>
        </w:numPr>
        <w:pStyle w:val="Compact"/>
      </w:pPr>
      <w:r>
        <w:t xml:space="preserve">capacitación del empleador;</w:t>
      </w:r>
    </w:p>
    <w:p>
      <w:pPr>
        <w:numPr>
          <w:ilvl w:val="0"/>
          <w:numId w:val="1033"/>
        </w:numPr>
        <w:pStyle w:val="Compact"/>
      </w:pPr>
      <w:r>
        <w:t xml:space="preserve">aprendizaje o rutas técnicas.</w:t>
      </w:r>
    </w:p>
    <w:bookmarkStart w:id="50" w:name="Xdc136b2fa3fb7c12fdb744f852b61258c2121d1"/>
    <w:p>
      <w:pPr>
        <w:pStyle w:val="Heading3"/>
      </w:pPr>
      <w:r>
        <w:t xml:space="preserve">Localizadores de capacitación y financiamiento en EE. UU.</w:t>
      </w:r>
    </w:p>
    <w:p>
      <w:pPr>
        <w:pStyle w:val="FirstParagraph"/>
      </w:pPr>
      <w:r>
        <w:t xml:space="preserve">CareerOneStop y American Job Centers ayudan a investigar formación local, proveedores WIOA y apoyos. Elegibilidad y financiamiento varían; no están garantizados.</w:t>
      </w:r>
    </w:p>
    <w:p>
      <w:pPr>
        <w:pStyle w:val="BodyText"/>
      </w:pPr>
      <w:r>
        <w:t xml:space="preserve">O*NET lista títulos aprobados de aprendizaje: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Database Administrator (Nof)</w:t>
      </w:r>
      <w:r>
        <w:t xml:space="preserve">;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Database Technician</w:t>
      </w:r>
      <w:r>
        <w:t xml:space="preserve">.</w:t>
      </w:r>
    </w:p>
    <w:p>
      <w:pPr>
        <w:pStyle w:val="FirstParagraph"/>
      </w:pPr>
      <w:r>
        <w:t xml:space="preserve">Use Apprenticeship.gov para verificar oportunidades activas en su ubicación.</w:t>
      </w:r>
    </w:p>
    <w:bookmarkEnd w:id="50"/>
    <w:bookmarkEnd w:id="51"/>
    <w:bookmarkStart w:id="53" w:name="canadá"/>
    <w:p>
      <w:pPr>
        <w:pStyle w:val="Heading2"/>
      </w:pPr>
      <w:r>
        <w:t xml:space="preserve">Canadá</w:t>
      </w:r>
    </w:p>
    <w:p>
      <w:pPr>
        <w:pStyle w:val="FirstParagraph"/>
      </w:pPr>
      <w:r>
        <w:t xml:space="preserve">Canada Job Bank asigna Database Administrator (DBA) a</w:t>
      </w:r>
      <w:r>
        <w:t xml:space="preserve"> </w:t>
      </w:r>
      <w:r>
        <w:rPr>
          <w:bCs/>
          <w:b/>
        </w:rPr>
        <w:t xml:space="preserve">NOC 21223 — Database analysts and data administrators</w:t>
      </w:r>
      <w:r>
        <w:t xml:space="preserve">.</w:t>
      </w:r>
    </w:p>
    <w:p>
      <w:pPr>
        <w:pStyle w:val="BodyText"/>
      </w:pPr>
      <w:r>
        <w:t xml:space="preserve">Los requisitos típicos actuales incluyen:</w:t>
      </w:r>
    </w:p>
    <w:p>
      <w:pPr>
        <w:numPr>
          <w:ilvl w:val="0"/>
          <w:numId w:val="1035"/>
        </w:numPr>
        <w:pStyle w:val="Compact"/>
      </w:pPr>
      <w:r>
        <w:t xml:space="preserve">bachelor's degree o programa de college, usualmente en informática, ingeniería informática o matemáticas;</w:t>
      </w:r>
    </w:p>
    <w:p>
      <w:pPr>
        <w:numPr>
          <w:ilvl w:val="0"/>
          <w:numId w:val="1035"/>
        </w:numPr>
        <w:pStyle w:val="Compact"/>
      </w:pPr>
      <w:r>
        <w:t xml:space="preserve">programación y experiencia relacionada.</w:t>
      </w:r>
    </w:p>
    <w:p>
      <w:pPr>
        <w:pStyle w:val="FirstParagraph"/>
      </w:pPr>
      <w:r>
        <w:t xml:space="preserve">Job Bank indica actualmente que la ocupación</w:t>
      </w:r>
      <w:r>
        <w:t xml:space="preserve"> </w:t>
      </w:r>
      <w:r>
        <w:rPr>
          <w:bCs/>
          <w:b/>
        </w:rPr>
        <w:t xml:space="preserve">no está regulada en Canadá</w:t>
      </w:r>
      <w:r>
        <w:t xml:space="preserve">. Aun así, los requisitos del empleador pueden ser exigentes.</w:t>
      </w:r>
    </w:p>
    <w:bookmarkStart w:id="52" w:name="salarios-de-canadá"/>
    <w:p>
      <w:pPr>
        <w:pStyle w:val="Heading3"/>
      </w:pPr>
      <w:r>
        <w:t xml:space="preserve">Salarios de Canadá</w:t>
      </w:r>
    </w:p>
    <w:p>
      <w:pPr>
        <w:pStyle w:val="FirstParagraph"/>
      </w:pPr>
      <w:r>
        <w:t xml:space="preserve">Los salarios nacionales actuales de Job Bank son: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C$25.00/hora — bajo</w:t>
      </w:r>
      <w:r>
        <w:t xml:space="preserve">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C$40.87/hora — mediano</w:t>
      </w:r>
      <w:r>
        <w:t xml:space="preserve">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C$61.03/hora — alto</w:t>
      </w:r>
      <w:r>
        <w:t xml:space="preserve">.</w:t>
      </w:r>
    </w:p>
    <w:p>
      <w:pPr>
        <w:pStyle w:val="FirstParagraph"/>
      </w:pPr>
      <w:r>
        <w:t xml:space="preserve">Corresponden a NOC 21223 y no son pago garantizado para toda vacante DBA.</w:t>
      </w:r>
    </w:p>
    <w:p>
      <w:pPr>
        <w:pStyle w:val="BodyText"/>
      </w:pPr>
      <w:r>
        <w:t xml:space="preserve">Canada.ca ofrece enlaces de ayuda estudiantil, formación, servicios de empleo y programas provinciales/territoriales. La elegibilidad y disponibilidad varían.</w:t>
      </w:r>
    </w:p>
    <w:bookmarkEnd w:id="52"/>
    <w:bookmarkEnd w:id="53"/>
    <w:bookmarkStart w:id="56" w:name="colombia"/>
    <w:p>
      <w:pPr>
        <w:pStyle w:val="Heading2"/>
      </w:pPr>
      <w:r>
        <w:t xml:space="preserve">Colombia</w:t>
      </w:r>
    </w:p>
    <w:p>
      <w:pPr>
        <w:pStyle w:val="FirstParagraph"/>
      </w:pPr>
      <w:r>
        <w:t xml:space="preserve">La correspondencia directa es</w:t>
      </w:r>
      <w:r>
        <w:t xml:space="preserve"> </w:t>
      </w:r>
      <w:r>
        <w:rPr>
          <w:bCs/>
          <w:b/>
        </w:rPr>
        <w:t xml:space="preserve">CUOC 25210 — Diseñadores y administradores de bases de datos</w:t>
      </w:r>
      <w:r>
        <w:t xml:space="preserve">, nivel de competencia 4.</w:t>
      </w:r>
    </w:p>
    <w:p>
      <w:pPr>
        <w:pStyle w:val="BodyText"/>
      </w:pPr>
      <w:r>
        <w:t xml:space="preserve">Denominaciones oficiales incluyen:</w:t>
      </w:r>
    </w:p>
    <w:p>
      <w:pPr>
        <w:numPr>
          <w:ilvl w:val="0"/>
          <w:numId w:val="1037"/>
        </w:numPr>
        <w:pStyle w:val="Compact"/>
      </w:pPr>
      <w:r>
        <w:t xml:space="preserve">Administrador de base de datos;</w:t>
      </w:r>
    </w:p>
    <w:p>
      <w:pPr>
        <w:numPr>
          <w:ilvl w:val="0"/>
          <w:numId w:val="1037"/>
        </w:numPr>
        <w:pStyle w:val="Compact"/>
      </w:pPr>
      <w:r>
        <w:t xml:space="preserve">Administrador de datos;</w:t>
      </w:r>
    </w:p>
    <w:p>
      <w:pPr>
        <w:numPr>
          <w:ilvl w:val="0"/>
          <w:numId w:val="1037"/>
        </w:numPr>
        <w:pStyle w:val="Compact"/>
      </w:pPr>
      <w:r>
        <w:t xml:space="preserve">Analista de base de datos;</w:t>
      </w:r>
    </w:p>
    <w:p>
      <w:pPr>
        <w:numPr>
          <w:ilvl w:val="0"/>
          <w:numId w:val="1037"/>
        </w:numPr>
        <w:pStyle w:val="Compact"/>
      </w:pPr>
      <w:r>
        <w:t xml:space="preserve">Arquitecto de bases de datos;</w:t>
      </w:r>
    </w:p>
    <w:p>
      <w:pPr>
        <w:numPr>
          <w:ilvl w:val="0"/>
          <w:numId w:val="1037"/>
        </w:numPr>
        <w:pStyle w:val="Compact"/>
      </w:pPr>
      <w:r>
        <w:t xml:space="preserve">Data manager;</w:t>
      </w:r>
    </w:p>
    <w:p>
      <w:pPr>
        <w:numPr>
          <w:ilvl w:val="0"/>
          <w:numId w:val="1037"/>
        </w:numPr>
        <w:pStyle w:val="Compact"/>
      </w:pPr>
      <w:r>
        <w:t xml:space="preserve">Desarrollador de base de datos;</w:t>
      </w:r>
    </w:p>
    <w:p>
      <w:pPr>
        <w:numPr>
          <w:ilvl w:val="0"/>
          <w:numId w:val="1037"/>
        </w:numPr>
        <w:pStyle w:val="Compact"/>
      </w:pPr>
      <w:r>
        <w:t xml:space="preserve">Diseñador de bases de datos;</w:t>
      </w:r>
    </w:p>
    <w:p>
      <w:pPr>
        <w:numPr>
          <w:ilvl w:val="0"/>
          <w:numId w:val="1037"/>
        </w:numPr>
        <w:pStyle w:val="Compact"/>
      </w:pPr>
      <w:r>
        <w:t xml:space="preserve">Gerente de base de datos;</w:t>
      </w:r>
    </w:p>
    <w:p>
      <w:pPr>
        <w:numPr>
          <w:ilvl w:val="0"/>
          <w:numId w:val="1037"/>
        </w:numPr>
        <w:pStyle w:val="Compact"/>
      </w:pPr>
      <w:r>
        <w:t xml:space="preserve">Programador de base de datos.</w:t>
      </w:r>
    </w:p>
    <w:p>
      <w:pPr>
        <w:pStyle w:val="FirstParagraph"/>
      </w:pPr>
      <w:r>
        <w:t xml:space="preserve">Las funciones oficiales cubren arquitectura, implementación/prueba de DBMS, políticas de acceso/uso, respaldo/recuperación, seguridad/integridad, gestión de riesgo y coordinación técnica.</w:t>
      </w:r>
    </w:p>
    <w:p>
      <w:pPr>
        <w:pStyle w:val="BodyText"/>
      </w:pPr>
      <w:r>
        <w:t xml:space="preserve">OCUPACOL actualmente no muestra una cifra disponible de ocupados para este perfil. Esta guía no fabrica un salario nacional representativo para DBA en Colombia.</w:t>
      </w:r>
    </w:p>
    <w:bookmarkStart w:id="54" w:name="sena--ruta-de-formación-titulada"/>
    <w:p>
      <w:pPr>
        <w:pStyle w:val="Heading3"/>
      </w:pPr>
      <w:r>
        <w:t xml:space="preserve">SENA — ruta de formación titulada</w:t>
      </w:r>
    </w:p>
    <w:p>
      <w:pPr>
        <w:pStyle w:val="FirstParagraph"/>
      </w:pPr>
      <w:r>
        <w:rPr>
          <w:bCs/>
          <w:b/>
        </w:rPr>
        <w:t xml:space="preserve">Implementación y gestión de bases de datos</w:t>
      </w:r>
    </w:p>
    <w:p>
      <w:pPr>
        <w:numPr>
          <w:ilvl w:val="0"/>
          <w:numId w:val="1038"/>
        </w:numPr>
        <w:pStyle w:val="Compact"/>
      </w:pPr>
      <w:r>
        <w:t xml:space="preserve">Tecnólogo;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3,984 horas</w:t>
      </w:r>
      <w:r>
        <w:t xml:space="preserve">;</w:t>
      </w:r>
    </w:p>
    <w:p>
      <w:pPr>
        <w:numPr>
          <w:ilvl w:val="0"/>
          <w:numId w:val="1038"/>
        </w:numPr>
        <w:pStyle w:val="Compact"/>
      </w:pPr>
      <w:r>
        <w:t xml:space="preserve">formación titulada;</w:t>
      </w:r>
    </w:p>
    <w:p>
      <w:pPr>
        <w:numPr>
          <w:ilvl w:val="0"/>
          <w:numId w:val="1038"/>
        </w:numPr>
        <w:pStyle w:val="Compact"/>
      </w:pPr>
      <w:r>
        <w:t xml:space="preserve">listado actual en Betowa;</w:t>
      </w:r>
    </w:p>
    <w:p>
      <w:pPr>
        <w:numPr>
          <w:ilvl w:val="0"/>
          <w:numId w:val="1038"/>
        </w:numPr>
        <w:pStyle w:val="Compact"/>
      </w:pPr>
      <w:r>
        <w:t xml:space="preserve">aplican selección y requisitos de examen de Estado;</w:t>
      </w:r>
    </w:p>
    <w:p>
      <w:pPr>
        <w:numPr>
          <w:ilvl w:val="0"/>
          <w:numId w:val="1038"/>
        </w:numPr>
        <w:pStyle w:val="Compact"/>
      </w:pPr>
      <w:r>
        <w:t xml:space="preserve">verifique ubicación, modalidad, cohorte, cupos y fechas.</w:t>
      </w:r>
    </w:p>
    <w:bookmarkEnd w:id="54"/>
    <w:bookmarkStart w:id="55" w:name="sena--rutas-complementarias"/>
    <w:p>
      <w:pPr>
        <w:pStyle w:val="Heading3"/>
      </w:pPr>
      <w:r>
        <w:t xml:space="preserve">SENA — rutas complementarias</w:t>
      </w:r>
    </w:p>
    <w:p>
      <w:pPr>
        <w:pStyle w:val="FirstParagraph"/>
      </w:pPr>
      <w:r>
        <w:rPr>
          <w:bCs/>
          <w:b/>
        </w:rPr>
        <w:t xml:space="preserve">Bases de datos: generalidades y sistemas de gestión</w:t>
      </w:r>
    </w:p>
    <w:p>
      <w:pPr>
        <w:numPr>
          <w:ilvl w:val="0"/>
          <w:numId w:val="1039"/>
        </w:numPr>
        <w:pStyle w:val="Compact"/>
      </w:pPr>
      <w:r>
        <w:t xml:space="preserve">formación complementaria virtual;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40 horas</w:t>
      </w:r>
      <w:r>
        <w:t xml:space="preserve">;</w:t>
      </w:r>
    </w:p>
    <w:p>
      <w:pPr>
        <w:numPr>
          <w:ilvl w:val="0"/>
          <w:numId w:val="1039"/>
        </w:numPr>
        <w:pStyle w:val="Compact"/>
      </w:pPr>
      <w:r>
        <w:t xml:space="preserve">bases relacionales, normalización, entidad-relación y fundamentos de diseño.</w:t>
      </w:r>
    </w:p>
    <w:p>
      <w:pPr>
        <w:pStyle w:val="FirstParagraph"/>
      </w:pPr>
      <w:r>
        <w:rPr>
          <w:bCs/>
          <w:b/>
        </w:rPr>
        <w:t xml:space="preserve">Construcción de bases de datos con MySQL</w:t>
      </w:r>
    </w:p>
    <w:p>
      <w:pPr>
        <w:numPr>
          <w:ilvl w:val="0"/>
          <w:numId w:val="1040"/>
        </w:numPr>
        <w:pStyle w:val="Compact"/>
      </w:pPr>
      <w:r>
        <w:t xml:space="preserve">formación complementaria;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48 horas</w:t>
      </w:r>
      <w:r>
        <w:t xml:space="preserve">;</w:t>
      </w:r>
    </w:p>
    <w:p>
      <w:pPr>
        <w:numPr>
          <w:ilvl w:val="0"/>
          <w:numId w:val="1040"/>
        </w:numPr>
        <w:pStyle w:val="Compact"/>
      </w:pPr>
      <w:r>
        <w:t xml:space="preserve">construcción focalizada con MySQL.</w:t>
      </w:r>
    </w:p>
    <w:p>
      <w:pPr>
        <w:pStyle w:val="FirstParagraph"/>
      </w:pPr>
      <w:r>
        <w:t xml:space="preserve">Los cursos cortos complementan; no reemplazan el Tecnólogo de larga duración ni la experiencia que pueda exigir el empleador.</w:t>
      </w:r>
    </w:p>
    <w:bookmarkEnd w:id="55"/>
    <w:bookmarkEnd w:id="56"/>
    <w:bookmarkStart w:id="57" w:name="américa-latina-y-el-caribe"/>
    <w:p>
      <w:pPr>
        <w:pStyle w:val="Heading2"/>
      </w:pPr>
      <w:r>
        <w:t xml:space="preserve">América Latina y el Caribe</w:t>
      </w:r>
    </w:p>
    <w:p>
      <w:pPr>
        <w:pStyle w:val="FirstParagraph"/>
      </w:pPr>
      <w:r>
        <w:t xml:space="preserve">OIT/Cinterfor ayuda a localizar instituciones y sistemas de formación profesional de la región. Es un localizador, no una garantía de curso DBA vigente, beca, admisión o financiamiento.</w:t>
      </w:r>
    </w:p>
    <w:bookmarkEnd w:id="57"/>
    <w:bookmarkStart w:id="58" w:name="salarios-oficiales-de-estados-unidos"/>
    <w:p>
      <w:pPr>
        <w:pStyle w:val="Heading2"/>
      </w:pPr>
      <w:r>
        <w:t xml:space="preserve">Salarios oficiales de Estados Unidos</w:t>
      </w:r>
    </w:p>
    <w:p>
      <w:pPr>
        <w:pStyle w:val="FirstParagraph"/>
      </w:pPr>
      <w:r>
        <w:t xml:space="preserve">Los datos BLS 2025 mostrados por O*NET son: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$79,610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$104,620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$135,460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$65.13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$163,320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$78.52</w:t>
            </w:r>
          </w:p>
        </w:tc>
      </w:tr>
    </w:tbl>
    <w:p>
      <w:pPr>
        <w:pStyle w:val="BodyText"/>
      </w:pPr>
      <w:r>
        <w:t xml:space="preserve">Corresponden a O*NET-SOC 15-1242.00 Database Administrators.</w:t>
      </w:r>
    </w:p>
    <w:bookmarkEnd w:id="58"/>
    <w:bookmarkStart w:id="59" w:name="perspectiva-de-empleo-de-estados-unidos"/>
    <w:p>
      <w:pPr>
        <w:pStyle w:val="Heading2"/>
      </w:pPr>
      <w:r>
        <w:t xml:space="preserve">Perspectiva de empleo de Estados Unidos</w:t>
      </w:r>
    </w:p>
    <w:p>
      <w:pPr>
        <w:pStyle w:val="FirstParagraph"/>
      </w:pPr>
      <w:r>
        <w:t xml:space="preserve">Las proyecciones O*NET/BLS muestran:</w:t>
      </w:r>
    </w:p>
    <w:p>
      <w:pPr>
        <w:numPr>
          <w:ilvl w:val="0"/>
          <w:numId w:val="1041"/>
        </w:numPr>
        <w:pStyle w:val="Compact"/>
      </w:pPr>
      <w:r>
        <w:t xml:space="preserve">empleo 2024:</w:t>
      </w:r>
      <w:r>
        <w:t xml:space="preserve"> </w:t>
      </w:r>
      <w:r>
        <w:rPr>
          <w:bCs/>
          <w:b/>
        </w:rPr>
        <w:t xml:space="preserve">78,000</w:t>
      </w:r>
      <w:r>
        <w:t xml:space="preserve">;</w:t>
      </w:r>
    </w:p>
    <w:p>
      <w:pPr>
        <w:numPr>
          <w:ilvl w:val="0"/>
          <w:numId w:val="1041"/>
        </w:numPr>
        <w:pStyle w:val="Compact"/>
      </w:pPr>
      <w:r>
        <w:t xml:space="preserve">empleo proyectado 2034:</w:t>
      </w:r>
      <w:r>
        <w:t xml:space="preserve"> </w:t>
      </w:r>
      <w:r>
        <w:rPr>
          <w:bCs/>
          <w:b/>
        </w:rPr>
        <w:t xml:space="preserve">77,500</w:t>
      </w:r>
      <w:r>
        <w:t xml:space="preserve">;</w:t>
      </w:r>
    </w:p>
    <w:p>
      <w:pPr>
        <w:numPr>
          <w:ilvl w:val="0"/>
          <w:numId w:val="1041"/>
        </w:numPr>
        <w:pStyle w:val="Compact"/>
      </w:pPr>
      <w:r>
        <w:t xml:space="preserve">crecimiento proyectado:</w:t>
      </w:r>
      <w:r>
        <w:t xml:space="preserve"> </w:t>
      </w:r>
      <w:r>
        <w:rPr>
          <w:bCs/>
          <w:b/>
        </w:rPr>
        <w:t xml:space="preserve">-1%</w:t>
      </w:r>
      <w:r>
        <w:t xml:space="preserve">;</w:t>
      </w:r>
    </w:p>
    <w:p>
      <w:pPr>
        <w:numPr>
          <w:ilvl w:val="0"/>
          <w:numId w:val="1041"/>
        </w:numPr>
        <w:pStyle w:val="Compact"/>
      </w:pPr>
      <w:r>
        <w:t xml:space="preserve">vacantes anuales proyectadas:</w:t>
      </w:r>
      <w:r>
        <w:t xml:space="preserve"> </w:t>
      </w:r>
      <w:r>
        <w:rPr>
          <w:bCs/>
          <w:b/>
        </w:rPr>
        <w:t xml:space="preserve">3,800</w:t>
      </w:r>
      <w:r>
        <w:t xml:space="preserve">.</w:t>
      </w:r>
    </w:p>
    <w:p>
      <w:pPr>
        <w:pStyle w:val="FirstParagraph"/>
      </w:pPr>
      <w:r>
        <w:t xml:space="preserve">Es una ligera disminución del empleo total, no crecimiento. Las vacantes incluyen reemplazo/rotación.</w:t>
      </w:r>
    </w:p>
    <w:bookmarkEnd w:id="59"/>
    <w:bookmarkStart w:id="60" w:name="Xfc046c2e182465ada15143569a29f987ce5ef3a"/>
    <w:p>
      <w:pPr>
        <w:pStyle w:val="Heading2"/>
      </w:pPr>
      <w:r>
        <w:t xml:space="preserve">Estimación actual no gubernamental de EE. UU.</w:t>
      </w:r>
    </w:p>
    <w:p>
      <w:pPr>
        <w:pStyle w:val="FirstParagraph"/>
      </w:pPr>
      <w:r>
        <w:t xml:space="preserve">La página actual de Indeed para Database Administrator, revisada en agosto de 2026, informa aproximadamente:</w:t>
      </w:r>
    </w:p>
    <w:p>
      <w:pPr>
        <w:numPr>
          <w:ilvl w:val="0"/>
          <w:numId w:val="1042"/>
        </w:numPr>
        <w:pStyle w:val="Compact"/>
      </w:pPr>
      <w:r>
        <w:t xml:space="preserve">salario base promedio:</w:t>
      </w:r>
      <w:r>
        <w:t xml:space="preserve"> </w:t>
      </w:r>
      <w:r>
        <w:rPr>
          <w:bCs/>
          <w:b/>
        </w:rPr>
        <w:t xml:space="preserve">$110,414/año</w:t>
      </w:r>
      <w:r>
        <w:t xml:space="preserve">;</w:t>
      </w:r>
    </w:p>
    <w:p>
      <w:pPr>
        <w:numPr>
          <w:ilvl w:val="0"/>
          <w:numId w:val="1042"/>
        </w:numPr>
        <w:pStyle w:val="Compact"/>
      </w:pPr>
      <w:r>
        <w:t xml:space="preserve">bajo:</w:t>
      </w:r>
      <w:r>
        <w:t xml:space="preserve"> </w:t>
      </w:r>
      <w:r>
        <w:rPr>
          <w:bCs/>
          <w:b/>
        </w:rPr>
        <w:t xml:space="preserve">$73,876/año</w:t>
      </w:r>
      <w:r>
        <w:t xml:space="preserve">;</w:t>
      </w:r>
    </w:p>
    <w:p>
      <w:pPr>
        <w:numPr>
          <w:ilvl w:val="0"/>
          <w:numId w:val="1042"/>
        </w:numPr>
        <w:pStyle w:val="Compact"/>
      </w:pPr>
      <w:r>
        <w:t xml:space="preserve">alto:</w:t>
      </w:r>
      <w:r>
        <w:t xml:space="preserve"> </w:t>
      </w:r>
      <w:r>
        <w:rPr>
          <w:bCs/>
          <w:b/>
        </w:rPr>
        <w:t xml:space="preserve">$165,024/año</w:t>
      </w:r>
      <w:r>
        <w:t xml:space="preserve">;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2.1k</w:t>
      </w:r>
      <w:r>
        <w:t xml:space="preserve"> </w:t>
      </w:r>
      <w:r>
        <w:t xml:space="preserve">salarios provenientes de ofertas de empleo en los</w:t>
      </w:r>
      <w:r>
        <w:t xml:space="preserve"> </w:t>
      </w:r>
      <w:r>
        <w:rPr>
          <w:bCs/>
          <w:b/>
        </w:rPr>
        <w:t xml:space="preserve">36 meses</w:t>
      </w:r>
      <w:r>
        <w:t xml:space="preserve"> </w:t>
      </w:r>
      <w:r>
        <w:t xml:space="preserve">anteriores;</w:t>
      </w:r>
    </w:p>
    <w:p>
      <w:pPr>
        <w:numPr>
          <w:ilvl w:val="0"/>
          <w:numId w:val="1042"/>
        </w:numPr>
        <w:pStyle w:val="Compact"/>
      </w:pPr>
      <w:r>
        <w:t xml:space="preserve">actualización</w:t>
      </w:r>
      <w:r>
        <w:t xml:space="preserve"> </w:t>
      </w:r>
      <w:r>
        <w:rPr>
          <w:bCs/>
          <w:b/>
        </w:rPr>
        <w:t xml:space="preserve">10 de agosto de 2026</w:t>
      </w:r>
      <w:r>
        <w:t xml:space="preserve">.</w:t>
      </w:r>
    </w:p>
    <w:p>
      <w:pPr>
        <w:pStyle w:val="FirstParagraph"/>
      </w:pPr>
      <w:r>
        <w:t xml:space="preserve">Es una estimación específica del título y no gubernamental, no una serie salarial oficial ni compensación garantizada.</w:t>
      </w:r>
    </w:p>
    <w:bookmarkEnd w:id="60"/>
    <w:bookmarkStart w:id="66" w:name="secuencia-práctica-de-aprendizaje"/>
    <w:p>
      <w:pPr>
        <w:pStyle w:val="Heading2"/>
      </w:pPr>
      <w:r>
        <w:t xml:space="preserve">Secuencia práctica de aprendizaje</w:t>
      </w:r>
    </w:p>
    <w:bookmarkStart w:id="61" w:name="etapa-1--fundamentos"/>
    <w:p>
      <w:pPr>
        <w:pStyle w:val="Heading3"/>
      </w:pPr>
      <w:r>
        <w:t xml:space="preserve">Etapa 1 — fundamentos</w:t>
      </w:r>
    </w:p>
    <w:p>
      <w:pPr>
        <w:pStyle w:val="FirstParagraph"/>
      </w:pPr>
      <w:r>
        <w:t xml:space="preserve">Aprenda:</w:t>
      </w:r>
    </w:p>
    <w:p>
      <w:pPr>
        <w:numPr>
          <w:ilvl w:val="0"/>
          <w:numId w:val="1043"/>
        </w:numPr>
        <w:pStyle w:val="Compact"/>
      </w:pPr>
      <w:r>
        <w:t xml:space="preserve">modelos relacionales;</w:t>
      </w:r>
    </w:p>
    <w:p>
      <w:pPr>
        <w:numPr>
          <w:ilvl w:val="0"/>
          <w:numId w:val="1043"/>
        </w:numPr>
        <w:pStyle w:val="Compact"/>
      </w:pPr>
      <w:r>
        <w:t xml:space="preserve">claves/restricciones;</w:t>
      </w:r>
    </w:p>
    <w:p>
      <w:pPr>
        <w:numPr>
          <w:ilvl w:val="0"/>
          <w:numId w:val="1043"/>
        </w:numPr>
        <w:pStyle w:val="Compact"/>
      </w:pPr>
      <w:r>
        <w:t xml:space="preserve">normalización;</w:t>
      </w:r>
    </w:p>
    <w:p>
      <w:pPr>
        <w:numPr>
          <w:ilvl w:val="0"/>
          <w:numId w:val="1043"/>
        </w:numPr>
        <w:pStyle w:val="Compact"/>
      </w:pPr>
      <w:r>
        <w:t xml:space="preserve">SQL;</w:t>
      </w:r>
    </w:p>
    <w:p>
      <w:pPr>
        <w:numPr>
          <w:ilvl w:val="0"/>
          <w:numId w:val="1043"/>
        </w:numPr>
        <w:pStyle w:val="Compact"/>
      </w:pPr>
      <w:r>
        <w:t xml:space="preserve">transacciones;</w:t>
      </w:r>
    </w:p>
    <w:p>
      <w:pPr>
        <w:numPr>
          <w:ilvl w:val="0"/>
          <w:numId w:val="1043"/>
        </w:numPr>
        <w:pStyle w:val="Compact"/>
      </w:pPr>
      <w:r>
        <w:t xml:space="preserve">seguridad básica;</w:t>
      </w:r>
    </w:p>
    <w:p>
      <w:pPr>
        <w:numPr>
          <w:ilvl w:val="0"/>
          <w:numId w:val="1043"/>
        </w:numPr>
        <w:pStyle w:val="Compact"/>
      </w:pPr>
      <w:r>
        <w:t xml:space="preserve">conceptos de backup.</w:t>
      </w:r>
    </w:p>
    <w:bookmarkEnd w:id="61"/>
    <w:bookmarkStart w:id="62" w:name="etapa-2--una-plataforma-en-profundidad"/>
    <w:p>
      <w:pPr>
        <w:pStyle w:val="Heading3"/>
      </w:pPr>
      <w:r>
        <w:t xml:space="preserve">Etapa 2 — una plataforma en profundidad</w:t>
      </w:r>
    </w:p>
    <w:p>
      <w:pPr>
        <w:pStyle w:val="FirstParagraph"/>
      </w:pPr>
      <w:r>
        <w:t xml:space="preserve">Elija, por ejemplo:</w:t>
      </w:r>
    </w:p>
    <w:p>
      <w:pPr>
        <w:numPr>
          <w:ilvl w:val="0"/>
          <w:numId w:val="1044"/>
        </w:numPr>
        <w:pStyle w:val="Compact"/>
      </w:pPr>
      <w:r>
        <w:t xml:space="preserve">PostgreSQL;</w:t>
      </w:r>
    </w:p>
    <w:p>
      <w:pPr>
        <w:numPr>
          <w:ilvl w:val="0"/>
          <w:numId w:val="1044"/>
        </w:numPr>
        <w:pStyle w:val="Compact"/>
      </w:pPr>
      <w:r>
        <w:t xml:space="preserve">Microsoft SQL Server;</w:t>
      </w:r>
    </w:p>
    <w:p>
      <w:pPr>
        <w:numPr>
          <w:ilvl w:val="0"/>
          <w:numId w:val="1044"/>
        </w:numPr>
        <w:pStyle w:val="Compact"/>
      </w:pPr>
      <w:r>
        <w:t xml:space="preserve">MySQL;</w:t>
      </w:r>
    </w:p>
    <w:p>
      <w:pPr>
        <w:numPr>
          <w:ilvl w:val="0"/>
          <w:numId w:val="1044"/>
        </w:numPr>
        <w:pStyle w:val="Compact"/>
      </w:pPr>
      <w:r>
        <w:t xml:space="preserve">Oracle Database.</w:t>
      </w:r>
    </w:p>
    <w:p>
      <w:pPr>
        <w:pStyle w:val="FirstParagraph"/>
      </w:pPr>
      <w:r>
        <w:t xml:space="preserve">Practique instalación/configuración, usuarios/roles, respaldo/restauración, monitoreo y cambios seguros.</w:t>
      </w:r>
    </w:p>
    <w:bookmarkEnd w:id="62"/>
    <w:bookmarkStart w:id="63" w:name="etapa-3--operaciones"/>
    <w:p>
      <w:pPr>
        <w:pStyle w:val="Heading3"/>
      </w:pPr>
      <w:r>
        <w:t xml:space="preserve">Etapa 3 — operaciones</w:t>
      </w:r>
    </w:p>
    <w:p>
      <w:pPr>
        <w:pStyle w:val="FirstParagraph"/>
      </w:pPr>
      <w:r>
        <w:t xml:space="preserve">Agregue:</w:t>
      </w:r>
    </w:p>
    <w:p>
      <w:pPr>
        <w:numPr>
          <w:ilvl w:val="0"/>
          <w:numId w:val="1045"/>
        </w:numPr>
        <w:pStyle w:val="Compact"/>
      </w:pPr>
      <w:r>
        <w:t xml:space="preserve">análisis de rendimiento;</w:t>
      </w:r>
    </w:p>
    <w:p>
      <w:pPr>
        <w:numPr>
          <w:ilvl w:val="0"/>
          <w:numId w:val="1045"/>
        </w:numPr>
        <w:pStyle w:val="Compact"/>
      </w:pPr>
      <w:r>
        <w:t xml:space="preserve">índices;</w:t>
      </w:r>
    </w:p>
    <w:p>
      <w:pPr>
        <w:numPr>
          <w:ilvl w:val="0"/>
          <w:numId w:val="1045"/>
        </w:numPr>
        <w:pStyle w:val="Compact"/>
      </w:pPr>
      <w:r>
        <w:t xml:space="preserve">monitoreo;</w:t>
      </w:r>
    </w:p>
    <w:p>
      <w:pPr>
        <w:numPr>
          <w:ilvl w:val="0"/>
          <w:numId w:val="1045"/>
        </w:numPr>
        <w:pStyle w:val="Compact"/>
      </w:pPr>
      <w:r>
        <w:t xml:space="preserve">mantenimiento;</w:t>
      </w:r>
    </w:p>
    <w:p>
      <w:pPr>
        <w:numPr>
          <w:ilvl w:val="0"/>
          <w:numId w:val="1045"/>
        </w:numPr>
        <w:pStyle w:val="Compact"/>
      </w:pPr>
      <w:r>
        <w:t xml:space="preserve">parches;</w:t>
      </w:r>
    </w:p>
    <w:p>
      <w:pPr>
        <w:numPr>
          <w:ilvl w:val="0"/>
          <w:numId w:val="1045"/>
        </w:numPr>
        <w:pStyle w:val="Compact"/>
      </w:pPr>
      <w:r>
        <w:t xml:space="preserve">pruebas de recuperación;</w:t>
      </w:r>
    </w:p>
    <w:p>
      <w:pPr>
        <w:numPr>
          <w:ilvl w:val="0"/>
          <w:numId w:val="1045"/>
        </w:numPr>
        <w:pStyle w:val="Compact"/>
      </w:pPr>
      <w:r>
        <w:t xml:space="preserve">resolución de incidentes;</w:t>
      </w:r>
    </w:p>
    <w:p>
      <w:pPr>
        <w:numPr>
          <w:ilvl w:val="0"/>
          <w:numId w:val="1045"/>
        </w:numPr>
        <w:pStyle w:val="Compact"/>
      </w:pPr>
      <w:r>
        <w:t xml:space="preserve">automatización.</w:t>
      </w:r>
    </w:p>
    <w:bookmarkEnd w:id="63"/>
    <w:bookmarkStart w:id="64" w:name="etapa-4--nube-y-resiliencia"/>
    <w:p>
      <w:pPr>
        <w:pStyle w:val="Heading3"/>
      </w:pPr>
      <w:r>
        <w:t xml:space="preserve">Etapa 4 — nube y resiliencia</w:t>
      </w:r>
    </w:p>
    <w:p>
      <w:pPr>
        <w:pStyle w:val="FirstParagraph"/>
      </w:pPr>
      <w:r>
        <w:t xml:space="preserve">Aprenda:</w:t>
      </w:r>
    </w:p>
    <w:p>
      <w:pPr>
        <w:numPr>
          <w:ilvl w:val="0"/>
          <w:numId w:val="1046"/>
        </w:numPr>
        <w:pStyle w:val="Compact"/>
      </w:pPr>
      <w:r>
        <w:t xml:space="preserve">una plataforma cloud;</w:t>
      </w:r>
    </w:p>
    <w:p>
      <w:pPr>
        <w:numPr>
          <w:ilvl w:val="0"/>
          <w:numId w:val="1046"/>
        </w:numPr>
        <w:pStyle w:val="Compact"/>
      </w:pPr>
      <w:r>
        <w:t xml:space="preserve">bases administradas;</w:t>
      </w:r>
    </w:p>
    <w:p>
      <w:pPr>
        <w:numPr>
          <w:ilvl w:val="0"/>
          <w:numId w:val="1046"/>
        </w:numPr>
        <w:pStyle w:val="Compact"/>
      </w:pPr>
      <w:r>
        <w:t xml:space="preserve">controles de identidad/red;</w:t>
      </w:r>
    </w:p>
    <w:p>
      <w:pPr>
        <w:numPr>
          <w:ilvl w:val="0"/>
          <w:numId w:val="1046"/>
        </w:numPr>
        <w:pStyle w:val="Compact"/>
      </w:pPr>
      <w:r>
        <w:t xml:space="preserve">replicación/alta disponibilidad;</w:t>
      </w:r>
    </w:p>
    <w:p>
      <w:pPr>
        <w:numPr>
          <w:ilvl w:val="0"/>
          <w:numId w:val="1046"/>
        </w:numPr>
        <w:pStyle w:val="Compact"/>
      </w:pPr>
      <w:r>
        <w:t xml:space="preserve">retención de backups;</w:t>
      </w:r>
    </w:p>
    <w:p>
      <w:pPr>
        <w:numPr>
          <w:ilvl w:val="0"/>
          <w:numId w:val="1046"/>
        </w:numPr>
        <w:pStyle w:val="Compact"/>
      </w:pPr>
      <w:r>
        <w:t xml:space="preserve">automatización de infraestructura;</w:t>
      </w:r>
    </w:p>
    <w:p>
      <w:pPr>
        <w:numPr>
          <w:ilvl w:val="0"/>
          <w:numId w:val="1046"/>
        </w:numPr>
        <w:pStyle w:val="Compact"/>
      </w:pPr>
      <w:r>
        <w:t xml:space="preserve">responsabilidad compartida.</w:t>
      </w:r>
    </w:p>
    <w:bookmarkEnd w:id="64"/>
    <w:bookmarkStart w:id="65" w:name="etapa-5--especialización"/>
    <w:p>
      <w:pPr>
        <w:pStyle w:val="Heading3"/>
      </w:pPr>
      <w:r>
        <w:t xml:space="preserve">Etapa 5 — especialización</w:t>
      </w:r>
    </w:p>
    <w:p>
      <w:pPr>
        <w:pStyle w:val="FirstParagraph"/>
      </w:pPr>
      <w:r>
        <w:t xml:space="preserve">Posibles rutas:</w:t>
      </w:r>
    </w:p>
    <w:p>
      <w:pPr>
        <w:numPr>
          <w:ilvl w:val="0"/>
          <w:numId w:val="1047"/>
        </w:numPr>
        <w:pStyle w:val="Compact"/>
      </w:pPr>
      <w:r>
        <w:t xml:space="preserve">cloud DBA/data platform engineer;</w:t>
      </w:r>
    </w:p>
    <w:p>
      <w:pPr>
        <w:numPr>
          <w:ilvl w:val="0"/>
          <w:numId w:val="1047"/>
        </w:numPr>
        <w:pStyle w:val="Compact"/>
      </w:pPr>
      <w:r>
        <w:t xml:space="preserve">database reliability;</w:t>
      </w:r>
    </w:p>
    <w:p>
      <w:pPr>
        <w:numPr>
          <w:ilvl w:val="0"/>
          <w:numId w:val="1047"/>
        </w:numPr>
        <w:pStyle w:val="Compact"/>
      </w:pPr>
      <w:r>
        <w:t xml:space="preserve">seguridad de bases de datos;</w:t>
      </w:r>
    </w:p>
    <w:p>
      <w:pPr>
        <w:numPr>
          <w:ilvl w:val="0"/>
          <w:numId w:val="1047"/>
        </w:numPr>
        <w:pStyle w:val="Compact"/>
      </w:pPr>
      <w:r>
        <w:t xml:space="preserve">performance engineering;</w:t>
      </w:r>
    </w:p>
    <w:p>
      <w:pPr>
        <w:numPr>
          <w:ilvl w:val="0"/>
          <w:numId w:val="1047"/>
        </w:numPr>
        <w:pStyle w:val="Compact"/>
      </w:pPr>
      <w:r>
        <w:t xml:space="preserve">data engineering;</w:t>
      </w:r>
    </w:p>
    <w:p>
      <w:pPr>
        <w:numPr>
          <w:ilvl w:val="0"/>
          <w:numId w:val="1047"/>
        </w:numPr>
        <w:pStyle w:val="Compact"/>
      </w:pPr>
      <w:r>
        <w:t xml:space="preserve">arquitectura;</w:t>
      </w:r>
    </w:p>
    <w:p>
      <w:pPr>
        <w:numPr>
          <w:ilvl w:val="0"/>
          <w:numId w:val="1047"/>
        </w:numPr>
        <w:pStyle w:val="Compact"/>
      </w:pPr>
      <w:r>
        <w:t xml:space="preserve">automatización de plataforma.</w:t>
      </w:r>
    </w:p>
    <w:bookmarkEnd w:id="65"/>
    <w:bookmarkEnd w:id="66"/>
    <w:bookmarkStart w:id="67" w:name="proyectos-de-portafolio-seguros"/>
    <w:p>
      <w:pPr>
        <w:pStyle w:val="Heading2"/>
      </w:pPr>
      <w:r>
        <w:t xml:space="preserve">Proyectos de portafolio seguros</w:t>
      </w:r>
    </w:p>
    <w:p>
      <w:pPr>
        <w:pStyle w:val="FirstParagraph"/>
      </w:pPr>
      <w:r>
        <w:t xml:space="preserve">Use datos sintéticos, públicos o con licencia explícita.</w:t>
      </w:r>
    </w:p>
    <w:p>
      <w:pPr>
        <w:pStyle w:val="BodyText"/>
      </w:pPr>
      <w:r>
        <w:t xml:space="preserve">Proyectos posibles:</w:t>
      </w:r>
    </w:p>
    <w:p>
      <w:pPr>
        <w:numPr>
          <w:ilvl w:val="0"/>
          <w:numId w:val="1048"/>
        </w:numPr>
        <w:pStyle w:val="Compact"/>
      </w:pPr>
      <w:r>
        <w:t xml:space="preserve">crear un esquema relacional con restricciones;</w:t>
      </w:r>
    </w:p>
    <w:p>
      <w:pPr>
        <w:numPr>
          <w:ilvl w:val="0"/>
          <w:numId w:val="1048"/>
        </w:numPr>
        <w:pStyle w:val="Compact"/>
      </w:pPr>
      <w:r>
        <w:t xml:space="preserve">documentar un modelo entidad-relación;</w:t>
      </w:r>
    </w:p>
    <w:p>
      <w:pPr>
        <w:numPr>
          <w:ilvl w:val="0"/>
          <w:numId w:val="1048"/>
        </w:numPr>
        <w:pStyle w:val="Compact"/>
      </w:pPr>
      <w:r>
        <w:t xml:space="preserve">crear roles de mínimo privilegio;</w:t>
      </w:r>
    </w:p>
    <w:p>
      <w:pPr>
        <w:numPr>
          <w:ilvl w:val="0"/>
          <w:numId w:val="1048"/>
        </w:numPr>
        <w:pStyle w:val="Compact"/>
      </w:pPr>
      <w:r>
        <w:t xml:space="preserve">respaldar y restaurar una base de práctica;</w:t>
      </w:r>
    </w:p>
    <w:p>
      <w:pPr>
        <w:numPr>
          <w:ilvl w:val="0"/>
          <w:numId w:val="1048"/>
        </w:numPr>
        <w:pStyle w:val="Compact"/>
      </w:pPr>
      <w:r>
        <w:t xml:space="preserve">demostrar point-in-time recovery en laboratorio cuando sea compatible;</w:t>
      </w:r>
    </w:p>
    <w:p>
      <w:pPr>
        <w:numPr>
          <w:ilvl w:val="0"/>
          <w:numId w:val="1048"/>
        </w:numPr>
        <w:pStyle w:val="Compact"/>
      </w:pPr>
      <w:r>
        <w:t xml:space="preserve">crear línea base y ejercicio de tuning de índices;</w:t>
      </w:r>
    </w:p>
    <w:p>
      <w:pPr>
        <w:numPr>
          <w:ilvl w:val="0"/>
          <w:numId w:val="1048"/>
        </w:numPr>
        <w:pStyle w:val="Compact"/>
      </w:pPr>
      <w:r>
        <w:t xml:space="preserve">simular replicación/failover en laboratorio;</w:t>
      </w:r>
    </w:p>
    <w:p>
      <w:pPr>
        <w:numPr>
          <w:ilvl w:val="0"/>
          <w:numId w:val="1048"/>
        </w:numPr>
        <w:pStyle w:val="Compact"/>
      </w:pPr>
      <w:r>
        <w:t xml:space="preserve">escribir una migración con validación y rollback;</w:t>
      </w:r>
    </w:p>
    <w:p>
      <w:pPr>
        <w:numPr>
          <w:ilvl w:val="0"/>
          <w:numId w:val="1048"/>
        </w:numPr>
        <w:pStyle w:val="Compact"/>
      </w:pPr>
      <w:r>
        <w:t xml:space="preserve">crear dashboard de monitoreo con carga sintética;</w:t>
      </w:r>
    </w:p>
    <w:p>
      <w:pPr>
        <w:numPr>
          <w:ilvl w:val="0"/>
          <w:numId w:val="1048"/>
        </w:numPr>
        <w:pStyle w:val="Compact"/>
      </w:pPr>
      <w:r>
        <w:t xml:space="preserve">redactar y probar un runbook de recuperación.</w:t>
      </w:r>
    </w:p>
    <w:p>
      <w:pPr>
        <w:pStyle w:val="FirstParagraph"/>
      </w:pPr>
      <w:r>
        <w:t xml:space="preserve">Nunca publique:</w:t>
      </w:r>
    </w:p>
    <w:p>
      <w:pPr>
        <w:numPr>
          <w:ilvl w:val="0"/>
          <w:numId w:val="1049"/>
        </w:numPr>
        <w:pStyle w:val="Compact"/>
      </w:pPr>
      <w:r>
        <w:t xml:space="preserve">datos de empleador o clientes;</w:t>
      </w:r>
    </w:p>
    <w:p>
      <w:pPr>
        <w:numPr>
          <w:ilvl w:val="0"/>
          <w:numId w:val="1049"/>
        </w:numPr>
        <w:pStyle w:val="Compact"/>
      </w:pPr>
      <w:r>
        <w:t xml:space="preserve">credenciales o connection strings;</w:t>
      </w:r>
    </w:p>
    <w:p>
      <w:pPr>
        <w:numPr>
          <w:ilvl w:val="0"/>
          <w:numId w:val="1049"/>
        </w:numPr>
        <w:pStyle w:val="Compact"/>
      </w:pPr>
      <w:r>
        <w:t xml:space="preserve">esquemas o capturas de producción;</w:t>
      </w:r>
    </w:p>
    <w:p>
      <w:pPr>
        <w:numPr>
          <w:ilvl w:val="0"/>
          <w:numId w:val="1049"/>
        </w:numPr>
        <w:pStyle w:val="Compact"/>
      </w:pPr>
      <w:r>
        <w:t xml:space="preserve">IPs/hostnames privados;</w:t>
      </w:r>
    </w:p>
    <w:p>
      <w:pPr>
        <w:numPr>
          <w:ilvl w:val="0"/>
          <w:numId w:val="1049"/>
        </w:numPr>
        <w:pStyle w:val="Compact"/>
      </w:pPr>
      <w:r>
        <w:t xml:space="preserve">configuración propietaria;</w:t>
      </w:r>
    </w:p>
    <w:p>
      <w:pPr>
        <w:numPr>
          <w:ilvl w:val="0"/>
          <w:numId w:val="1049"/>
        </w:numPr>
        <w:pStyle w:val="Compact"/>
      </w:pPr>
      <w:r>
        <w:t xml:space="preserve">backups reales;</w:t>
      </w:r>
    </w:p>
    <w:p>
      <w:pPr>
        <w:numPr>
          <w:ilvl w:val="0"/>
          <w:numId w:val="1049"/>
        </w:numPr>
        <w:pStyle w:val="Compact"/>
      </w:pPr>
      <w:r>
        <w:t xml:space="preserve">tokens o claves;</w:t>
      </w:r>
    </w:p>
    <w:p>
      <w:pPr>
        <w:numPr>
          <w:ilvl w:val="0"/>
          <w:numId w:val="1049"/>
        </w:numPr>
        <w:pStyle w:val="Compact"/>
      </w:pPr>
      <w:r>
        <w:t xml:space="preserve">detalles de vulnerabilidades de sistemas sin autorización.</w:t>
      </w:r>
    </w:p>
    <w:bookmarkEnd w:id="67"/>
    <w:bookmarkStart w:id="72" w:name="plan-inicial-de-cuatro-semanas"/>
    <w:p>
      <w:pPr>
        <w:pStyle w:val="Heading2"/>
      </w:pPr>
      <w:r>
        <w:t xml:space="preserve">Plan inicial de cuatro semanas</w:t>
      </w:r>
    </w:p>
    <w:bookmarkStart w:id="68" w:name="semana-1--sql-y-esquema"/>
    <w:p>
      <w:pPr>
        <w:pStyle w:val="Heading3"/>
      </w:pPr>
      <w:r>
        <w:t xml:space="preserve">Semana 1 — SQL y esquema</w:t>
      </w:r>
    </w:p>
    <w:p>
      <w:pPr>
        <w:numPr>
          <w:ilvl w:val="0"/>
          <w:numId w:val="1050"/>
        </w:numPr>
        <w:pStyle w:val="Compact"/>
      </w:pPr>
      <w:r>
        <w:t xml:space="preserve">instale una base local de práctica;</w:t>
      </w:r>
    </w:p>
    <w:p>
      <w:pPr>
        <w:numPr>
          <w:ilvl w:val="0"/>
          <w:numId w:val="1050"/>
        </w:numPr>
        <w:pStyle w:val="Compact"/>
      </w:pPr>
      <w:r>
        <w:t xml:space="preserve">cree tablas, claves y restricciones;</w:t>
      </w:r>
    </w:p>
    <w:p>
      <w:pPr>
        <w:numPr>
          <w:ilvl w:val="0"/>
          <w:numId w:val="1050"/>
        </w:numPr>
        <w:pStyle w:val="Compact"/>
      </w:pPr>
      <w:r>
        <w:t xml:space="preserve">practique SQL de forma segura;</w:t>
      </w:r>
    </w:p>
    <w:p>
      <w:pPr>
        <w:numPr>
          <w:ilvl w:val="0"/>
          <w:numId w:val="1050"/>
        </w:numPr>
        <w:pStyle w:val="Compact"/>
      </w:pPr>
      <w:r>
        <w:t xml:space="preserve">documente el esquema;</w:t>
      </w:r>
    </w:p>
    <w:p>
      <w:pPr>
        <w:numPr>
          <w:ilvl w:val="0"/>
          <w:numId w:val="1050"/>
        </w:numPr>
        <w:pStyle w:val="Compact"/>
      </w:pPr>
      <w:r>
        <w:t xml:space="preserve">cree usuarios no privilegiados.</w:t>
      </w:r>
    </w:p>
    <w:bookmarkEnd w:id="68"/>
    <w:bookmarkStart w:id="69" w:name="semana-2--respaldo-y-recuperación"/>
    <w:p>
      <w:pPr>
        <w:pStyle w:val="Heading3"/>
      </w:pPr>
      <w:r>
        <w:t xml:space="preserve">Semana 2 — respaldo y recuperación</w:t>
      </w:r>
    </w:p>
    <w:p>
      <w:pPr>
        <w:numPr>
          <w:ilvl w:val="0"/>
          <w:numId w:val="1051"/>
        </w:numPr>
        <w:pStyle w:val="Compact"/>
      </w:pPr>
      <w:r>
        <w:t xml:space="preserve">cree un respaldo de laboratorio;</w:t>
      </w:r>
    </w:p>
    <w:p>
      <w:pPr>
        <w:numPr>
          <w:ilvl w:val="0"/>
          <w:numId w:val="1051"/>
        </w:numPr>
        <w:pStyle w:val="Compact"/>
      </w:pPr>
      <w:r>
        <w:t xml:space="preserve">restáurelo en una instancia separada;</w:t>
      </w:r>
    </w:p>
    <w:p>
      <w:pPr>
        <w:numPr>
          <w:ilvl w:val="0"/>
          <w:numId w:val="1051"/>
        </w:numPr>
        <w:pStyle w:val="Compact"/>
      </w:pPr>
      <w:r>
        <w:t xml:space="preserve">registre tiempo y pasos;</w:t>
      </w:r>
    </w:p>
    <w:p>
      <w:pPr>
        <w:numPr>
          <w:ilvl w:val="0"/>
          <w:numId w:val="1051"/>
        </w:numPr>
        <w:pStyle w:val="Compact"/>
      </w:pPr>
      <w:r>
        <w:t xml:space="preserve">verifique objetos/conteos;</w:t>
      </w:r>
    </w:p>
    <w:p>
      <w:pPr>
        <w:numPr>
          <w:ilvl w:val="0"/>
          <w:numId w:val="1051"/>
        </w:numPr>
        <w:pStyle w:val="Compact"/>
      </w:pPr>
      <w:r>
        <w:t xml:space="preserve">documente fallos y correcciones.</w:t>
      </w:r>
    </w:p>
    <w:bookmarkEnd w:id="69"/>
    <w:bookmarkStart w:id="70" w:name="semana-3--monitoreo-y-rendimiento"/>
    <w:p>
      <w:pPr>
        <w:pStyle w:val="Heading3"/>
      </w:pPr>
      <w:r>
        <w:t xml:space="preserve">Semana 3 — monitoreo y rendimiento</w:t>
      </w:r>
    </w:p>
    <w:p>
      <w:pPr>
        <w:numPr>
          <w:ilvl w:val="0"/>
          <w:numId w:val="1052"/>
        </w:numPr>
        <w:pStyle w:val="Compact"/>
      </w:pPr>
      <w:r>
        <w:t xml:space="preserve">cree carga sintética;</w:t>
      </w:r>
    </w:p>
    <w:p>
      <w:pPr>
        <w:numPr>
          <w:ilvl w:val="0"/>
          <w:numId w:val="1052"/>
        </w:numPr>
        <w:pStyle w:val="Compact"/>
      </w:pPr>
      <w:r>
        <w:t xml:space="preserve">capture línea base;</w:t>
      </w:r>
    </w:p>
    <w:p>
      <w:pPr>
        <w:numPr>
          <w:ilvl w:val="0"/>
          <w:numId w:val="1052"/>
        </w:numPr>
        <w:pStyle w:val="Compact"/>
      </w:pPr>
      <w:r>
        <w:t xml:space="preserve">identifique una consulta lenta;</w:t>
      </w:r>
    </w:p>
    <w:p>
      <w:pPr>
        <w:numPr>
          <w:ilvl w:val="0"/>
          <w:numId w:val="1052"/>
        </w:numPr>
        <w:pStyle w:val="Compact"/>
      </w:pPr>
      <w:r>
        <w:t xml:space="preserve">revise su plan de ejecución;</w:t>
      </w:r>
    </w:p>
    <w:p>
      <w:pPr>
        <w:numPr>
          <w:ilvl w:val="0"/>
          <w:numId w:val="1052"/>
        </w:numPr>
        <w:pStyle w:val="Compact"/>
      </w:pPr>
      <w:r>
        <w:t xml:space="preserve">pruebe una mejora;</w:t>
      </w:r>
    </w:p>
    <w:p>
      <w:pPr>
        <w:numPr>
          <w:ilvl w:val="0"/>
          <w:numId w:val="1052"/>
        </w:numPr>
        <w:pStyle w:val="Compact"/>
      </w:pPr>
      <w:r>
        <w:t xml:space="preserve">compare evidencia antes/después.</w:t>
      </w:r>
    </w:p>
    <w:bookmarkEnd w:id="70"/>
    <w:bookmarkStart w:id="71" w:name="semana-4--cambio-y-portafolio"/>
    <w:p>
      <w:pPr>
        <w:pStyle w:val="Heading3"/>
      </w:pPr>
      <w:r>
        <w:t xml:space="preserve">Semana 4 — cambio y portafolio</w:t>
      </w:r>
    </w:p>
    <w:p>
      <w:pPr>
        <w:numPr>
          <w:ilvl w:val="0"/>
          <w:numId w:val="1053"/>
        </w:numPr>
        <w:pStyle w:val="Compact"/>
      </w:pPr>
      <w:r>
        <w:t xml:space="preserve">cree una pequeña migración de esquema;</w:t>
      </w:r>
    </w:p>
    <w:p>
      <w:pPr>
        <w:numPr>
          <w:ilvl w:val="0"/>
          <w:numId w:val="1053"/>
        </w:numPr>
        <w:pStyle w:val="Compact"/>
      </w:pPr>
      <w:r>
        <w:t xml:space="preserve">escriba prechecks, ejecución, validación y rollback;</w:t>
      </w:r>
    </w:p>
    <w:p>
      <w:pPr>
        <w:numPr>
          <w:ilvl w:val="0"/>
          <w:numId w:val="1053"/>
        </w:numPr>
        <w:pStyle w:val="Compact"/>
      </w:pPr>
      <w:r>
        <w:t xml:space="preserve">elimine secretos/datos privados;</w:t>
      </w:r>
    </w:p>
    <w:p>
      <w:pPr>
        <w:numPr>
          <w:ilvl w:val="0"/>
          <w:numId w:val="1053"/>
        </w:numPr>
        <w:pStyle w:val="Compact"/>
      </w:pPr>
      <w:r>
        <w:t xml:space="preserve">redacte un README;</w:t>
      </w:r>
    </w:p>
    <w:p>
      <w:pPr>
        <w:numPr>
          <w:ilvl w:val="0"/>
          <w:numId w:val="1053"/>
        </w:numPr>
        <w:pStyle w:val="Compact"/>
      </w:pPr>
      <w:r>
        <w:t xml:space="preserve">busque vacantes actuales DBA/Database Technician/Cloud Database;</w:t>
      </w:r>
    </w:p>
    <w:p>
      <w:pPr>
        <w:numPr>
          <w:ilvl w:val="0"/>
          <w:numId w:val="1053"/>
        </w:numPr>
        <w:pStyle w:val="Compact"/>
      </w:pPr>
      <w:r>
        <w:t xml:space="preserve">compare requisitos con su siguiente objetivo de aprendizaje.</w:t>
      </w:r>
    </w:p>
    <w:bookmarkEnd w:id="71"/>
    <w:bookmarkEnd w:id="72"/>
    <w:bookmarkStart w:id="73" w:name="títulos-de-puesto-para-buscar"/>
    <w:p>
      <w:pPr>
        <w:pStyle w:val="Heading2"/>
      </w:pPr>
      <w:r>
        <w:t xml:space="preserve">Títulos de puesto para buscar</w:t>
      </w:r>
    </w:p>
    <w:p>
      <w:pPr>
        <w:numPr>
          <w:ilvl w:val="0"/>
          <w:numId w:val="1054"/>
        </w:numPr>
        <w:pStyle w:val="Compact"/>
      </w:pPr>
      <w:r>
        <w:t xml:space="preserve">Database Administrator;</w:t>
      </w:r>
    </w:p>
    <w:p>
      <w:pPr>
        <w:numPr>
          <w:ilvl w:val="0"/>
          <w:numId w:val="1054"/>
        </w:numPr>
        <w:pStyle w:val="Compact"/>
      </w:pPr>
      <w:r>
        <w:t xml:space="preserve">DBA;</w:t>
      </w:r>
    </w:p>
    <w:p>
      <w:pPr>
        <w:numPr>
          <w:ilvl w:val="0"/>
          <w:numId w:val="1054"/>
        </w:numPr>
        <w:pStyle w:val="Compact"/>
      </w:pPr>
      <w:r>
        <w:t xml:space="preserve">Junior Database Administrator;</w:t>
      </w:r>
    </w:p>
    <w:p>
      <w:pPr>
        <w:numPr>
          <w:ilvl w:val="0"/>
          <w:numId w:val="1054"/>
        </w:numPr>
        <w:pStyle w:val="Compact"/>
      </w:pPr>
      <w:r>
        <w:t xml:space="preserve">Database Technician;</w:t>
      </w:r>
    </w:p>
    <w:p>
      <w:pPr>
        <w:numPr>
          <w:ilvl w:val="0"/>
          <w:numId w:val="1054"/>
        </w:numPr>
        <w:pStyle w:val="Compact"/>
      </w:pPr>
      <w:r>
        <w:t xml:space="preserve">SQL Server DBA;</w:t>
      </w:r>
    </w:p>
    <w:p>
      <w:pPr>
        <w:numPr>
          <w:ilvl w:val="0"/>
          <w:numId w:val="1054"/>
        </w:numPr>
        <w:pStyle w:val="Compact"/>
      </w:pPr>
      <w:r>
        <w:t xml:space="preserve">Oracle DBA;</w:t>
      </w:r>
    </w:p>
    <w:p>
      <w:pPr>
        <w:numPr>
          <w:ilvl w:val="0"/>
          <w:numId w:val="1054"/>
        </w:numPr>
        <w:pStyle w:val="Compact"/>
      </w:pPr>
      <w:r>
        <w:t xml:space="preserve">PostgreSQL DBA;</w:t>
      </w:r>
    </w:p>
    <w:p>
      <w:pPr>
        <w:numPr>
          <w:ilvl w:val="0"/>
          <w:numId w:val="1054"/>
        </w:numPr>
        <w:pStyle w:val="Compact"/>
      </w:pPr>
      <w:r>
        <w:t xml:space="preserve">MySQL DBA;</w:t>
      </w:r>
    </w:p>
    <w:p>
      <w:pPr>
        <w:numPr>
          <w:ilvl w:val="0"/>
          <w:numId w:val="1054"/>
        </w:numPr>
        <w:pStyle w:val="Compact"/>
      </w:pPr>
      <w:r>
        <w:t xml:space="preserve">Cloud Database Administrator;</w:t>
      </w:r>
    </w:p>
    <w:p>
      <w:pPr>
        <w:numPr>
          <w:ilvl w:val="0"/>
          <w:numId w:val="1054"/>
        </w:numPr>
        <w:pStyle w:val="Compact"/>
      </w:pPr>
      <w:r>
        <w:t xml:space="preserve">Database Support Engineer;</w:t>
      </w:r>
    </w:p>
    <w:p>
      <w:pPr>
        <w:numPr>
          <w:ilvl w:val="0"/>
          <w:numId w:val="1054"/>
        </w:numPr>
        <w:pStyle w:val="Compact"/>
      </w:pPr>
      <w:r>
        <w:t xml:space="preserve">Database Operations Engineer;</w:t>
      </w:r>
    </w:p>
    <w:p>
      <w:pPr>
        <w:numPr>
          <w:ilvl w:val="0"/>
          <w:numId w:val="1054"/>
        </w:numPr>
        <w:pStyle w:val="Compact"/>
      </w:pPr>
      <w:r>
        <w:t xml:space="preserve">Database Reliability Engineer;</w:t>
      </w:r>
    </w:p>
    <w:p>
      <w:pPr>
        <w:numPr>
          <w:ilvl w:val="0"/>
          <w:numId w:val="1054"/>
        </w:numPr>
        <w:pStyle w:val="Compact"/>
      </w:pPr>
      <w:r>
        <w:t xml:space="preserve">Data Platform Administrator;</w:t>
      </w:r>
    </w:p>
    <w:p>
      <w:pPr>
        <w:numPr>
          <w:ilvl w:val="0"/>
          <w:numId w:val="1054"/>
        </w:numPr>
        <w:pStyle w:val="Compact"/>
      </w:pPr>
      <w:r>
        <w:t xml:space="preserve">Database Analyst.</w:t>
      </w:r>
    </w:p>
    <w:bookmarkEnd w:id="73"/>
    <w:bookmarkStart w:id="74" w:name="preguntas-para-un-empleador"/>
    <w:p>
      <w:pPr>
        <w:pStyle w:val="Heading2"/>
      </w:pPr>
      <w:r>
        <w:t xml:space="preserve">Preguntas para un empleador</w:t>
      </w:r>
    </w:p>
    <w:p>
      <w:pPr>
        <w:pStyle w:val="FirstParagraph"/>
      </w:pPr>
      <w:r>
        <w:t xml:space="preserve">Considere preguntar:</w:t>
      </w:r>
    </w:p>
    <w:p>
      <w:pPr>
        <w:numPr>
          <w:ilvl w:val="0"/>
          <w:numId w:val="1055"/>
        </w:numPr>
        <w:pStyle w:val="Compact"/>
      </w:pPr>
      <w:r>
        <w:t xml:space="preserve">¿Qué plataformas y versiones están en alcance?</w:t>
      </w:r>
    </w:p>
    <w:p>
      <w:pPr>
        <w:numPr>
          <w:ilvl w:val="0"/>
          <w:numId w:val="1055"/>
        </w:numPr>
        <w:pStyle w:val="Compact"/>
      </w:pPr>
      <w:r>
        <w:t xml:space="preserve">¿Qué porcentaje es on-premises versus cloud administrado?</w:t>
      </w:r>
    </w:p>
    <w:p>
      <w:pPr>
        <w:numPr>
          <w:ilvl w:val="0"/>
          <w:numId w:val="1055"/>
        </w:numPr>
        <w:pStyle w:val="Compact"/>
      </w:pPr>
      <w:r>
        <w:t xml:space="preserve">¿Cuáles son las expectativas de on-call?</w:t>
      </w:r>
    </w:p>
    <w:p>
      <w:pPr>
        <w:numPr>
          <w:ilvl w:val="0"/>
          <w:numId w:val="1055"/>
        </w:numPr>
        <w:pStyle w:val="Compact"/>
      </w:pPr>
      <w:r>
        <w:t xml:space="preserve">¿Cómo se gestionan las cuentas privilegiadas?</w:t>
      </w:r>
    </w:p>
    <w:p>
      <w:pPr>
        <w:numPr>
          <w:ilvl w:val="0"/>
          <w:numId w:val="1055"/>
        </w:numPr>
        <w:pStyle w:val="Compact"/>
      </w:pPr>
      <w:r>
        <w:t xml:space="preserve">¿Se exige MFA para administración?</w:t>
      </w:r>
    </w:p>
    <w:p>
      <w:pPr>
        <w:numPr>
          <w:ilvl w:val="0"/>
          <w:numId w:val="1055"/>
        </w:numPr>
        <w:pStyle w:val="Compact"/>
      </w:pPr>
      <w:r>
        <w:t xml:space="preserve">¿Con qué frecuencia se prueban restauraciones?</w:t>
      </w:r>
    </w:p>
    <w:p>
      <w:pPr>
        <w:numPr>
          <w:ilvl w:val="0"/>
          <w:numId w:val="1055"/>
        </w:numPr>
        <w:pStyle w:val="Compact"/>
      </w:pPr>
      <w:r>
        <w:t xml:space="preserve">¿Están documentados RPO/RTO?</w:t>
      </w:r>
    </w:p>
    <w:p>
      <w:pPr>
        <w:numPr>
          <w:ilvl w:val="0"/>
          <w:numId w:val="1055"/>
        </w:numPr>
        <w:pStyle w:val="Compact"/>
      </w:pPr>
      <w:r>
        <w:t xml:space="preserve">¿Quién es responsable de configuración de seguridad de bases de datos?</w:t>
      </w:r>
    </w:p>
    <w:p>
      <w:pPr>
        <w:numPr>
          <w:ilvl w:val="0"/>
          <w:numId w:val="1055"/>
        </w:numPr>
        <w:pStyle w:val="Compact"/>
      </w:pPr>
      <w:r>
        <w:t xml:space="preserve">¿Cómo se aprueban parches y cambios de esquema?</w:t>
      </w:r>
    </w:p>
    <w:p>
      <w:pPr>
        <w:numPr>
          <w:ilvl w:val="0"/>
          <w:numId w:val="1055"/>
        </w:numPr>
        <w:pStyle w:val="Compact"/>
      </w:pPr>
      <w:r>
        <w:t xml:space="preserve">¿Existe ventana de mantenimiento definida?</w:t>
      </w:r>
    </w:p>
    <w:p>
      <w:pPr>
        <w:numPr>
          <w:ilvl w:val="0"/>
          <w:numId w:val="1055"/>
        </w:numPr>
        <w:pStyle w:val="Compact"/>
      </w:pPr>
      <w:r>
        <w:t xml:space="preserve">¿Qué plataforma de monitoreo/alertas se usa?</w:t>
      </w:r>
    </w:p>
    <w:p>
      <w:pPr>
        <w:numPr>
          <w:ilvl w:val="0"/>
          <w:numId w:val="1055"/>
        </w:numPr>
        <w:pStyle w:val="Compact"/>
      </w:pPr>
      <w:r>
        <w:t xml:space="preserve">¿Cómo se almacenan secretos?</w:t>
      </w:r>
    </w:p>
    <w:p>
      <w:pPr>
        <w:numPr>
          <w:ilvl w:val="0"/>
          <w:numId w:val="1055"/>
        </w:numPr>
        <w:pStyle w:val="Compact"/>
      </w:pPr>
      <w:r>
        <w:t xml:space="preserve">¿La automatización está versionada y revisada?</w:t>
      </w:r>
    </w:p>
    <w:p>
      <w:pPr>
        <w:numPr>
          <w:ilvl w:val="0"/>
          <w:numId w:val="1055"/>
        </w:numPr>
        <w:pStyle w:val="Compact"/>
      </w:pPr>
      <w:r>
        <w:t xml:space="preserve">¿Qué distingue responsabilidad junior de senior?</w:t>
      </w:r>
    </w:p>
    <w:p>
      <w:pPr>
        <w:numPr>
          <w:ilvl w:val="0"/>
          <w:numId w:val="1055"/>
        </w:numPr>
        <w:pStyle w:val="Compact"/>
      </w:pPr>
      <w:r>
        <w:t xml:space="preserve">¿Qué apoyo de formación/certificación existe?</w:t>
      </w:r>
    </w:p>
    <w:bookmarkEnd w:id="74"/>
    <w:bookmarkStart w:id="100" w:name="enlaces-de-verificación"/>
    <w:p>
      <w:pPr>
        <w:pStyle w:val="Heading2"/>
      </w:pPr>
      <w:r>
        <w:t xml:space="preserve">Enlaces de verificación</w:t>
      </w:r>
    </w:p>
    <w:p>
      <w:pPr>
        <w:pStyle w:val="FirstParagraph"/>
      </w:pPr>
      <w:r>
        <w:t xml:space="preserve">Verifique valores y disponibilidad de programas antes de una decisión importante.</w:t>
      </w:r>
    </w:p>
    <w:bookmarkStart w:id="82" w:name="estados-unidos"/>
    <w:p>
      <w:pPr>
        <w:pStyle w:val="Heading3"/>
      </w:pPr>
      <w:r>
        <w:t xml:space="preserve">Estados Unidos</w:t>
      </w:r>
    </w:p>
    <w:p>
      <w:pPr>
        <w:numPr>
          <w:ilvl w:val="0"/>
          <w:numId w:val="1056"/>
        </w:numPr>
        <w:pStyle w:val="Compact"/>
      </w:pPr>
      <w:r>
        <w:t xml:space="preserve">O*NET Database Administrators:</w:t>
      </w:r>
      <w:r>
        <w:t xml:space="preserve"> </w:t>
      </w: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6"/>
        </w:numPr>
        <w:pStyle w:val="Compact"/>
      </w:pPr>
      <w:r>
        <w:t xml:space="preserve">O*NET salarios nacionales:</w:t>
      </w:r>
      <w:r>
        <w:t xml:space="preserve"> </w:t>
      </w: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6"/>
        </w:numPr>
        <w:pStyle w:val="Compact"/>
      </w:pPr>
      <w:r>
        <w:t xml:space="preserve">O*NET tendencias nacionales:</w:t>
      </w:r>
      <w:r>
        <w:t xml:space="preserve"> </w:t>
      </w: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6"/>
        </w:numPr>
        <w:pStyle w:val="Compact"/>
      </w:pPr>
      <w:r>
        <w:t xml:space="preserve">O*NET tecnologías actuales:</w:t>
      </w:r>
      <w:r>
        <w:t xml:space="preserve"> </w:t>
      </w: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6"/>
        </w:numPr>
        <w:pStyle w:val="Compact"/>
      </w:pPr>
      <w:r>
        <w:t xml:space="preserve">CareerOneStop WIOA:</w:t>
      </w:r>
      <w:r>
        <w:t xml:space="preserve"> </w:t>
      </w: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6"/>
        </w:numPr>
        <w:pStyle w:val="Compact"/>
      </w:pPr>
      <w:r>
        <w:t xml:space="preserve">Apprenticeship.gov:</w:t>
      </w:r>
      <w:r>
        <w:t xml:space="preserve"> </w:t>
      </w:r>
      <w:hyperlink r:id="rId80">
        <w:r>
          <w:rPr>
            <w:rStyle w:val="Hyperlink"/>
          </w:rPr>
          <w:t xml:space="preserve">https://www.apprenticeship.gov/</w:t>
        </w:r>
      </w:hyperlink>
    </w:p>
    <w:p>
      <w:pPr>
        <w:numPr>
          <w:ilvl w:val="0"/>
          <w:numId w:val="1056"/>
        </w:numPr>
        <w:pStyle w:val="Compact"/>
      </w:pPr>
      <w:r>
        <w:t xml:space="preserve">Indeed contexto salarial DBA:</w:t>
      </w:r>
      <w:r>
        <w:t xml:space="preserve"> </w:t>
      </w: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bookmarkEnd w:id="82"/>
    <w:bookmarkStart w:id="87" w:name="canadá-1"/>
    <w:p>
      <w:pPr>
        <w:pStyle w:val="Heading3"/>
      </w:pPr>
      <w:r>
        <w:t xml:space="preserve">Canadá</w:t>
      </w:r>
    </w:p>
    <w:p>
      <w:pPr>
        <w:numPr>
          <w:ilvl w:val="0"/>
          <w:numId w:val="1057"/>
        </w:numPr>
        <w:pStyle w:val="Compact"/>
      </w:pPr>
      <w:r>
        <w:t xml:space="preserve">Job Bank resumen DBA:</w:t>
      </w:r>
      <w:r>
        <w:t xml:space="preserve"> </w:t>
      </w: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7"/>
        </w:numPr>
        <w:pStyle w:val="Compact"/>
      </w:pPr>
      <w:r>
        <w:t xml:space="preserve">Job Bank requisitos DBA:</w:t>
      </w:r>
      <w:r>
        <w:t xml:space="preserve"> </w:t>
      </w:r>
      <w:hyperlink r:id="rId84">
        <w:hyperlink r:id="rId8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7"/>
        </w:numPr>
        <w:pStyle w:val="Compact"/>
      </w:pPr>
      <w:r>
        <w:t xml:space="preserve">Job Bank salarios DBA:</w:t>
      </w:r>
      <w:r>
        <w:t xml:space="preserve"> </w:t>
      </w:r>
      <w:hyperlink r:id="rId85">
        <w:hyperlink r:id="rId8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7"/>
        </w:numPr>
        <w:pStyle w:val="Compact"/>
      </w:pPr>
      <w:r>
        <w:t xml:space="preserve">Canada training gateway:</w:t>
      </w:r>
      <w:r>
        <w:t xml:space="preserve"> </w:t>
      </w: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bookmarkEnd w:id="87"/>
    <w:bookmarkStart w:id="91" w:name="colombia-1"/>
    <w:p>
      <w:pPr>
        <w:pStyle w:val="Heading3"/>
      </w:pPr>
      <w:r>
        <w:t xml:space="preserve">Colombia</w:t>
      </w:r>
    </w:p>
    <w:p>
      <w:pPr>
        <w:numPr>
          <w:ilvl w:val="0"/>
          <w:numId w:val="1058"/>
        </w:numPr>
        <w:pStyle w:val="Compact"/>
      </w:pPr>
      <w:r>
        <w:t xml:space="preserve">OCUPACOL CUOC 25210:</w:t>
      </w:r>
      <w:r>
        <w:t xml:space="preserve"> </w:t>
      </w:r>
      <w:hyperlink r:id="rId88">
        <w:hyperlink r:id="rId8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8"/>
        </w:numPr>
        <w:pStyle w:val="Compact"/>
      </w:pPr>
      <w:r>
        <w:t xml:space="preserve">SENA Implementación y gestión de bases de datos:</w:t>
      </w:r>
      <w:r>
        <w:t xml:space="preserve"> </w:t>
      </w:r>
      <w:hyperlink r:id="rId89">
        <w:hyperlink r:id="rId8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8"/>
        </w:numPr>
        <w:pStyle w:val="Compact"/>
      </w:pPr>
      <w:r>
        <w:t xml:space="preserve">SENA Bases de datos generalidades:</w:t>
      </w:r>
      <w:r>
        <w:t xml:space="preserve"> </w:t>
      </w:r>
      <w:hyperlink r:id="rId90">
        <w:hyperlink r:id="rId90">
          <w:r>
            <w:rPr>
              <w:rStyle w:val="Hyperlink"/>
            </w:rPr>
            <w:t xml:space="preserve">Source link</w:t>
          </w:r>
        </w:hyperlink>
      </w:hyperlink>
    </w:p>
    <w:bookmarkEnd w:id="91"/>
    <w:bookmarkStart w:id="99" w:name="regional-seguridad-ia-y-accesibilidad"/>
    <w:p>
      <w:pPr>
        <w:pStyle w:val="Heading3"/>
      </w:pPr>
      <w:r>
        <w:t xml:space="preserve">Regional, seguridad, IA y accesibilidad</w:t>
      </w:r>
    </w:p>
    <w:p>
      <w:pPr>
        <w:numPr>
          <w:ilvl w:val="0"/>
          <w:numId w:val="1059"/>
        </w:numPr>
        <w:pStyle w:val="Compact"/>
      </w:pPr>
      <w:r>
        <w:t xml:space="preserve">OIT/Cinterfor:</w:t>
      </w:r>
      <w:r>
        <w:t xml:space="preserve"> </w:t>
      </w:r>
      <w:hyperlink r:id="rId92">
        <w:r>
          <w:rPr>
            <w:rStyle w:val="Hyperlink"/>
          </w:rPr>
          <w:t xml:space="preserve">https://www.oitcinterfor.org/statsfp/paises</w:t>
        </w:r>
      </w:hyperlink>
    </w:p>
    <w:p>
      <w:pPr>
        <w:numPr>
          <w:ilvl w:val="0"/>
          <w:numId w:val="1059"/>
        </w:numPr>
        <w:pStyle w:val="Compact"/>
      </w:pPr>
      <w:r>
        <w:t xml:space="preserve">CISA Secure Our World:</w:t>
      </w:r>
      <w:r>
        <w:t xml:space="preserve"> </w:t>
      </w:r>
      <w:hyperlink r:id="rId93">
        <w:r>
          <w:rPr>
            <w:rStyle w:val="Hyperlink"/>
          </w:rPr>
          <w:t xml:space="preserve">https://www.cisa.gov/secure-our-world</w:t>
        </w:r>
      </w:hyperlink>
    </w:p>
    <w:p>
      <w:pPr>
        <w:numPr>
          <w:ilvl w:val="0"/>
          <w:numId w:val="1059"/>
        </w:numPr>
        <w:pStyle w:val="Compact"/>
      </w:pPr>
      <w:r>
        <w:t xml:space="preserve">NIST Cybersecurity Framework:</w:t>
      </w:r>
      <w:r>
        <w:t xml:space="preserve"> </w:t>
      </w:r>
      <w:hyperlink r:id="rId94">
        <w:r>
          <w:rPr>
            <w:rStyle w:val="Hyperlink"/>
          </w:rPr>
          <w:t xml:space="preserve">https://www.nist.gov/cyberframework</w:t>
        </w:r>
      </w:hyperlink>
    </w:p>
    <w:p>
      <w:pPr>
        <w:numPr>
          <w:ilvl w:val="0"/>
          <w:numId w:val="1059"/>
        </w:numPr>
        <w:pStyle w:val="Compact"/>
      </w:pPr>
      <w:r>
        <w:t xml:space="preserve">NIST Privacy Framework:</w:t>
      </w:r>
      <w:r>
        <w:t xml:space="preserve"> </w:t>
      </w:r>
      <w:hyperlink r:id="rId95">
        <w:r>
          <w:rPr>
            <w:rStyle w:val="Hyperlink"/>
          </w:rPr>
          <w:t xml:space="preserve">https://www.nist.gov/privacy-framework</w:t>
        </w:r>
      </w:hyperlink>
    </w:p>
    <w:p>
      <w:pPr>
        <w:numPr>
          <w:ilvl w:val="0"/>
          <w:numId w:val="1059"/>
        </w:numPr>
        <w:pStyle w:val="Compact"/>
      </w:pPr>
      <w:r>
        <w:t xml:space="preserve">NIST AI Risk Management Framework:</w:t>
      </w:r>
      <w:r>
        <w:t xml:space="preserve"> </w:t>
      </w:r>
      <w:hyperlink r:id="rId96">
        <w:hyperlink r:id="rId9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9"/>
        </w:numPr>
        <w:pStyle w:val="Compact"/>
      </w:pPr>
      <w:r>
        <w:t xml:space="preserve">Section 508:</w:t>
      </w:r>
      <w:r>
        <w:t xml:space="preserve"> </w:t>
      </w:r>
      <w:hyperlink r:id="rId97">
        <w:r>
          <w:rPr>
            <w:rStyle w:val="Hyperlink"/>
          </w:rPr>
          <w:t xml:space="preserve">https://www.section508.gov/create/</w:t>
        </w:r>
      </w:hyperlink>
    </w:p>
    <w:p>
      <w:pPr>
        <w:numPr>
          <w:ilvl w:val="0"/>
          <w:numId w:val="1059"/>
        </w:numPr>
        <w:pStyle w:val="Compact"/>
      </w:pPr>
      <w:r>
        <w:t xml:space="preserve">WCAG 2.2:</w:t>
      </w:r>
      <w:r>
        <w:t xml:space="preserve"> </w:t>
      </w:r>
      <w:hyperlink r:id="rId98">
        <w:r>
          <w:rPr>
            <w:rStyle w:val="Hyperlink"/>
          </w:rPr>
          <w:t xml:space="preserve">https://www.w3.org/TR/WCAG22/</w:t>
        </w:r>
      </w:hyperlink>
    </w:p>
    <w:bookmarkEnd w:id="99"/>
    <w:bookmarkEnd w:id="100"/>
    <w:bookmarkStart w:id="101" w:name="aviso-importante"/>
    <w:p>
      <w:pPr>
        <w:pStyle w:val="Heading2"/>
      </w:pPr>
      <w:r>
        <w:t xml:space="preserve">Aviso importante</w:t>
      </w:r>
    </w:p>
    <w:p>
      <w:pPr>
        <w:pStyle w:val="FirstParagraph"/>
      </w:pPr>
      <w:r>
        <w:t xml:space="preserve">Esta guía ofrece información general de educación y planificación profesional. No garantiza empleo, ingresos, admisión, financiamiento, colocación en aprendizaje, certificación, ascenso ni ningún otro resultado. Las correspondencias ocupacionales son comparaciones y los requisitos varían por empleador y jurisdicción. Salarios, tecnologías, programas y condiciones cambian con el tiempo.</w:t>
      </w:r>
    </w:p>
    <w:p>
      <w:pPr>
        <w:pStyle w:val="BodyText"/>
      </w:pPr>
      <w:r>
        <w:t xml:space="preserve">Esta guía no proporciona asesoría jurídica, de privacidad, ciberseguridad, contabilidad ni asesoría profesional específica de un proveedor, y no certifica independientemente que un sistema sea seguro, recuperable, conforme o accesible.</w:t>
      </w:r>
    </w:p>
    <w:bookmarkEnd w:id="101"/>
    <w:bookmarkStart w:id="102" w:name="autor-y-asistencia-de-ia"/>
    <w:p>
      <w:pPr>
        <w:pStyle w:val="Heading2"/>
      </w:pPr>
      <w:r>
        <w:t xml:space="preserve">Autor y asistencia de IA</w:t>
      </w:r>
    </w:p>
    <w:p>
      <w:pPr>
        <w:pStyle w:val="FirstParagraph"/>
      </w:pPr>
      <w:r>
        <w:t xml:space="preserve">Creada y dirigida por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 ChatGPT apoyó investigación, organización, edición, apoyo de traducción y preparación documental bajo la dirección del autor. El autor conserva la responsabilidad de las decisiones editoriales y de publicación.</w:t>
      </w:r>
    </w:p>
    <w:bookmarkEnd w:id="102"/>
    <w:bookmarkStart w:id="103" w:name="licencia"/>
    <w:p>
      <w:pPr>
        <w:pStyle w:val="Heading2"/>
      </w:pPr>
      <w:r>
        <w:t xml:space="preserve">Licencia</w:t>
      </w:r>
    </w:p>
    <w:p>
      <w:pPr>
        <w:pStyle w:val="FirstParagraph"/>
      </w:pPr>
      <w:r>
        <w:t xml:space="preserve">Salvo que un archivo indique lo contrario, este material se distribuye bajo</w:t>
      </w:r>
      <w:r>
        <w:t xml:space="preserve"> </w:t>
      </w:r>
      <w:r>
        <w:rPr>
          <w:bCs/>
          <w:b/>
        </w:rPr>
        <w:t xml:space="preserve">CC BY-NC-SA 4.0</w:t>
      </w:r>
      <w:r>
        <w:t xml:space="preserve">.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0" Target="https://betowa.sena.edu.co/oferta/bases-de-datos-generalidades-y-sistemas-de-gestion?modality=V&amp;offertype=open&amp;programId=73885" TargetMode="External" /><Relationship Type="http://schemas.openxmlformats.org/officeDocument/2006/relationships/hyperlink" Id="rId89" Target="https://betowa.sena.edu.co/oferta/implementacion-y-gestion-de-bases-de-datos?modality=P&amp;offertype=open&amp;programId=178214" TargetMode="External" /><Relationship Type="http://schemas.openxmlformats.org/officeDocument/2006/relationships/hyperlink" Id="rId88" Target="https://ocupacol.mintrabajo.gov.co/Profile/OccupationalProfile/25210" TargetMode="External" /><Relationship Type="http://schemas.openxmlformats.org/officeDocument/2006/relationships/hyperlink" Id="rId80" Target="https://www.apprenticeship.gov/" TargetMode="External" /><Relationship Type="http://schemas.openxmlformats.org/officeDocument/2006/relationships/hyperlink" Id="rId86" Target="https://www.canada.ca/en/services/jobs/training.html" TargetMode="External" /><Relationship Type="http://schemas.openxmlformats.org/officeDocument/2006/relationships/hyperlink" Id="rId79" Target="https://www.careeronestop.org/LocalHelp/EmploymentAndTraining/find-WIOA-training-programs.aspx" TargetMode="External" /><Relationship Type="http://schemas.openxmlformats.org/officeDocument/2006/relationships/hyperlink" Id="rId93" Target="https://www.cisa.gov/secure-our-world" TargetMode="External" /><Relationship Type="http://schemas.openxmlformats.org/officeDocument/2006/relationships/hyperlink" Id="rId81" Target="https://www.indeed.com/career/database-administrator/salaries" TargetMode="External" /><Relationship Type="http://schemas.openxmlformats.org/officeDocument/2006/relationships/hyperlink" Id="rId84" Target="https://www.jobbank.gc.ca/marketreport/requirements/17875/ca" TargetMode="External" /><Relationship Type="http://schemas.openxmlformats.org/officeDocument/2006/relationships/hyperlink" Id="rId83" Target="https://www.jobbank.gc.ca/marketreport/summary-occupation/17875/ca" TargetMode="External" /><Relationship Type="http://schemas.openxmlformats.org/officeDocument/2006/relationships/hyperlink" Id="rId85" Target="https://www.jobbank.gc.ca/marketreport/wages-occupation/17875/ca" TargetMode="External" /><Relationship Type="http://schemas.openxmlformats.org/officeDocument/2006/relationships/hyperlink" Id="rId94" Target="https://www.nist.gov/cyberframework" TargetMode="External" /><Relationship Type="http://schemas.openxmlformats.org/officeDocument/2006/relationships/hyperlink" Id="rId96" Target="https://www.nist.gov/itl/ai-risk-management-framework" TargetMode="External" /><Relationship Type="http://schemas.openxmlformats.org/officeDocument/2006/relationships/hyperlink" Id="rId95" Target="https://www.nist.gov/privacy-framework" TargetMode="External" /><Relationship Type="http://schemas.openxmlformats.org/officeDocument/2006/relationships/hyperlink" Id="rId92" Target="https://www.oitcinterfor.org/statsfp/paises" TargetMode="External" /><Relationship Type="http://schemas.openxmlformats.org/officeDocument/2006/relationships/hyperlink" Id="rId75" Target="https://www.onetonline.org/link/details/15-1242.00" TargetMode="External" /><Relationship Type="http://schemas.openxmlformats.org/officeDocument/2006/relationships/hyperlink" Id="rId78" Target="https://www.onetonline.org/link/hot_tech/15-1242.00" TargetMode="External" /><Relationship Type="http://schemas.openxmlformats.org/officeDocument/2006/relationships/hyperlink" Id="rId77" Target="https://www.onetonline.org/link/localtrends/15-1242.00" TargetMode="External" /><Relationship Type="http://schemas.openxmlformats.org/officeDocument/2006/relationships/hyperlink" Id="rId76" Target="https://www.onetonline.org/link/localwages/15-1242.00" TargetMode="External" /><Relationship Type="http://schemas.openxmlformats.org/officeDocument/2006/relationships/hyperlink" Id="rId97" Target="https://www.section508.gov/create/" TargetMode="External" /><Relationship Type="http://schemas.openxmlformats.org/officeDocument/2006/relationships/hyperlink" Id="rId98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betowa.sena.edu.co/oferta/bases-de-datos-generalidades-y-sistemas-de-gestion?modality=V&amp;offertype=open&amp;programId=73885" TargetMode="External" /><Relationship Type="http://schemas.openxmlformats.org/officeDocument/2006/relationships/hyperlink" Id="rId89" Target="https://betowa.sena.edu.co/oferta/implementacion-y-gestion-de-bases-de-datos?modality=P&amp;offertype=open&amp;programId=178214" TargetMode="External" /><Relationship Type="http://schemas.openxmlformats.org/officeDocument/2006/relationships/hyperlink" Id="rId88" Target="https://ocupacol.mintrabajo.gov.co/Profile/OccupationalProfile/25210" TargetMode="External" /><Relationship Type="http://schemas.openxmlformats.org/officeDocument/2006/relationships/hyperlink" Id="rId80" Target="https://www.apprenticeship.gov/" TargetMode="External" /><Relationship Type="http://schemas.openxmlformats.org/officeDocument/2006/relationships/hyperlink" Id="rId86" Target="https://www.canada.ca/en/services/jobs/training.html" TargetMode="External" /><Relationship Type="http://schemas.openxmlformats.org/officeDocument/2006/relationships/hyperlink" Id="rId79" Target="https://www.careeronestop.org/LocalHelp/EmploymentAndTraining/find-WIOA-training-programs.aspx" TargetMode="External" /><Relationship Type="http://schemas.openxmlformats.org/officeDocument/2006/relationships/hyperlink" Id="rId93" Target="https://www.cisa.gov/secure-our-world" TargetMode="External" /><Relationship Type="http://schemas.openxmlformats.org/officeDocument/2006/relationships/hyperlink" Id="rId81" Target="https://www.indeed.com/career/database-administrator/salaries" TargetMode="External" /><Relationship Type="http://schemas.openxmlformats.org/officeDocument/2006/relationships/hyperlink" Id="rId84" Target="https://www.jobbank.gc.ca/marketreport/requirements/17875/ca" TargetMode="External" /><Relationship Type="http://schemas.openxmlformats.org/officeDocument/2006/relationships/hyperlink" Id="rId83" Target="https://www.jobbank.gc.ca/marketreport/summary-occupation/17875/ca" TargetMode="External" /><Relationship Type="http://schemas.openxmlformats.org/officeDocument/2006/relationships/hyperlink" Id="rId85" Target="https://www.jobbank.gc.ca/marketreport/wages-occupation/17875/ca" TargetMode="External" /><Relationship Type="http://schemas.openxmlformats.org/officeDocument/2006/relationships/hyperlink" Id="rId94" Target="https://www.nist.gov/cyberframework" TargetMode="External" /><Relationship Type="http://schemas.openxmlformats.org/officeDocument/2006/relationships/hyperlink" Id="rId96" Target="https://www.nist.gov/itl/ai-risk-management-framework" TargetMode="External" /><Relationship Type="http://schemas.openxmlformats.org/officeDocument/2006/relationships/hyperlink" Id="rId95" Target="https://www.nist.gov/privacy-framework" TargetMode="External" /><Relationship Type="http://schemas.openxmlformats.org/officeDocument/2006/relationships/hyperlink" Id="rId92" Target="https://www.oitcinterfor.org/statsfp/paises" TargetMode="External" /><Relationship Type="http://schemas.openxmlformats.org/officeDocument/2006/relationships/hyperlink" Id="rId75" Target="https://www.onetonline.org/link/details/15-1242.00" TargetMode="External" /><Relationship Type="http://schemas.openxmlformats.org/officeDocument/2006/relationships/hyperlink" Id="rId78" Target="https://www.onetonline.org/link/hot_tech/15-1242.00" TargetMode="External" /><Relationship Type="http://schemas.openxmlformats.org/officeDocument/2006/relationships/hyperlink" Id="rId77" Target="https://www.onetonline.org/link/localtrends/15-1242.00" TargetMode="External" /><Relationship Type="http://schemas.openxmlformats.org/officeDocument/2006/relationships/hyperlink" Id="rId76" Target="https://www.onetonline.org/link/localwages/15-1242.00" TargetMode="External" /><Relationship Type="http://schemas.openxmlformats.org/officeDocument/2006/relationships/hyperlink" Id="rId97" Target="https://www.section508.gov/create/" TargetMode="External" /><Relationship Type="http://schemas.openxmlformats.org/officeDocument/2006/relationships/hyperlink" Id="rId98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2026-08-22T06:57:29Z</dcterms:created>
  <dcterms:modified xsi:type="dcterms:W3CDTF">2026-08-22T06:57:29Z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