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3184a9c0060bddfbd8cd738640483bb7897df47"/>
    <w:p>
      <w:pPr>
        <w:pStyle w:val="Heading1"/>
      </w:pPr>
      <w:r>
        <w:t xml:space="preserve">Guía de Oportunidades para Toda la Vida 89 — Desarrollador de Software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maestra de trabajo controlada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15-1252.00 — Software Developers</w:t>
      </w:r>
      <w:r>
        <w:br/>
      </w:r>
      <w:r>
        <w:rPr>
          <w:bCs/>
          <w:b/>
        </w:rPr>
        <w:t xml:space="preserve">Comparación de Canadá:</w:t>
      </w:r>
      <w:r>
        <w:t xml:space="preserve"> </w:t>
      </w:r>
      <w:r>
        <w:t xml:space="preserve">NOC 21232 — Software developers and programmers</w:t>
      </w:r>
      <w:r>
        <w:br/>
      </w:r>
      <w:r>
        <w:rPr>
          <w:bCs/>
          <w:b/>
        </w:rPr>
        <w:t xml:space="preserve">Comparación de Colombia:</w:t>
      </w:r>
      <w:r>
        <w:t xml:space="preserve"> </w:t>
      </w:r>
      <w:r>
        <w:t xml:space="preserve">CUOC 25120 — Desarrolladores de software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Fuente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ef6a140a6dae98e48560a2de40365053bd914755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desarrollador de software analiza necesidades, diseña y construye software, prueba y mejora soluciones, documenta decisiones y apoya el producto durante cambios y operación. Puede trabajar en aplicaciones de escritorio o móviles, servicios cloud, componentes embebidos, sistemas internos, APIs, procesamiento de datos, plataformas o utilidades especializadas.</w:t>
      </w:r>
    </w:p>
    <w:p>
      <w:pPr>
        <w:pStyle w:val="BodyText"/>
      </w:pPr>
      <w:r>
        <w:t xml:space="preserve">El título es amplio. Algunas personas desarrollan funciones de aplicaciones; otras trabajan en sistemas distribuidos, cloud, herramientas DevOps, software embebido, sistemas empresariales, servicios de datos o infraestructura. A largo plazo importa menos memorizar muchos lenguajes que comprender requisitos, escribir soluciones mantenibles, probar supuestos, depurar fallas, proteger datos, colaborar y aprender tecnologías nuevas.</w:t>
      </w:r>
    </w:p>
    <w:p>
      <w:pPr>
        <w:pStyle w:val="BodyText"/>
      </w:pPr>
      <w:r>
        <w:t xml:space="preserve">Estados Unidos tiene una referencia directa en</w:t>
      </w:r>
      <w:r>
        <w:t xml:space="preserve"> </w:t>
      </w:r>
      <w:r>
        <w:rPr>
          <w:bCs/>
          <w:b/>
        </w:rPr>
        <w:t xml:space="preserve">O*NET-SOC 15-1252.00 — Software Developers</w:t>
      </w:r>
      <w:r>
        <w:t xml:space="preserve">, Bright Outlook y actualizada en 2026. Canadá corresponde a</w:t>
      </w:r>
      <w:r>
        <w:t xml:space="preserve"> </w:t>
      </w:r>
      <w:r>
        <w:rPr>
          <w:bCs/>
          <w:b/>
        </w:rPr>
        <w:t xml:space="preserve">NOC 21232 — Software developers and programmers</w:t>
      </w:r>
      <w:r>
        <w:t xml:space="preserve">. Colombia tiene una correspondencia directa en</w:t>
      </w:r>
      <w:r>
        <w:t xml:space="preserve"> </w:t>
      </w:r>
      <w:r>
        <w:rPr>
          <w:bCs/>
          <w:b/>
        </w:rPr>
        <w:t xml:space="preserve">CUOC 25120 — Desarrolladores de software</w:t>
      </w:r>
      <w:r>
        <w:t xml:space="preserve">.</w:t>
      </w:r>
    </w:p>
    <w:bookmarkEnd w:id="20"/>
    <w:bookmarkStart w:id="21" w:name="por-qué-sigue-siendo-una-carrera-fuerte"/>
    <w:p>
      <w:pPr>
        <w:pStyle w:val="Heading2"/>
      </w:pPr>
      <w:r>
        <w:t xml:space="preserve">Por qué sigue siendo una carrera fuerte</w:t>
      </w:r>
    </w:p>
    <w:p>
      <w:pPr>
        <w:pStyle w:val="FirstParagraph"/>
      </w:pPr>
      <w:r>
        <w:t xml:space="preserve">El software sostiene finanzas, logística, salud, gobierno, comunicaciones, transporte, manufactura, ciberseguridad, medios y educación.</w:t>
      </w:r>
    </w:p>
    <w:p>
      <w:pPr>
        <w:pStyle w:val="BodyText"/>
      </w:pPr>
      <w:r>
        <w:t xml:space="preserve">La proyección nacional de EE. UU. muestra</w:t>
      </w:r>
      <w:r>
        <w:t xml:space="preserve"> </w:t>
      </w:r>
      <w:r>
        <w:rPr>
          <w:bCs/>
          <w:b/>
        </w:rPr>
        <w:t xml:space="preserve">16% de crecimiento entre 2024 y 2034</w:t>
      </w:r>
      <w:r>
        <w:t xml:space="preserve"> </w:t>
      </w:r>
      <w:r>
        <w:t xml:space="preserve">y alrededor de</w:t>
      </w:r>
      <w:r>
        <w:t xml:space="preserve"> </w:t>
      </w:r>
      <w:r>
        <w:rPr>
          <w:bCs/>
          <w:b/>
        </w:rPr>
        <w:t xml:space="preserve">115,200 vacantes anuales</w:t>
      </w:r>
      <w:r>
        <w:t xml:space="preserve">, incluyendo crecimiento y reemplazo. Son cifras ocupacionales nacionales, no una garantía de empleo individual.</w:t>
      </w:r>
    </w:p>
    <w:p>
      <w:pPr>
        <w:pStyle w:val="BodyText"/>
      </w:pPr>
      <w:r>
        <w:t xml:space="preserve">Un desarrollador sólido combina:</w:t>
      </w:r>
    </w:p>
    <w:p>
      <w:pPr>
        <w:numPr>
          <w:ilvl w:val="0"/>
          <w:numId w:val="1001"/>
        </w:numPr>
        <w:pStyle w:val="Compact"/>
      </w:pPr>
      <w:r>
        <w:t xml:space="preserve">definición de problemas;</w:t>
      </w:r>
    </w:p>
    <w:p>
      <w:pPr>
        <w:numPr>
          <w:ilvl w:val="0"/>
          <w:numId w:val="1001"/>
        </w:numPr>
        <w:pStyle w:val="Compact"/>
      </w:pPr>
      <w:r>
        <w:t xml:space="preserve">fundamentos de programación;</w:t>
      </w:r>
    </w:p>
    <w:p>
      <w:pPr>
        <w:numPr>
          <w:ilvl w:val="0"/>
          <w:numId w:val="1001"/>
        </w:numPr>
        <w:pStyle w:val="Compact"/>
      </w:pPr>
      <w:r>
        <w:t xml:space="preserve">estructuras de datos y algoritmos;</w:t>
      </w:r>
    </w:p>
    <w:p>
      <w:pPr>
        <w:numPr>
          <w:ilvl w:val="0"/>
          <w:numId w:val="1001"/>
        </w:numPr>
        <w:pStyle w:val="Compact"/>
      </w:pPr>
      <w:r>
        <w:t xml:space="preserve">diseño de software;</w:t>
      </w:r>
    </w:p>
    <w:p>
      <w:pPr>
        <w:numPr>
          <w:ilvl w:val="0"/>
          <w:numId w:val="1001"/>
        </w:numPr>
        <w:pStyle w:val="Compact"/>
      </w:pPr>
      <w:r>
        <w:t xml:space="preserve">APIs y persistencia;</w:t>
      </w:r>
    </w:p>
    <w:p>
      <w:pPr>
        <w:numPr>
          <w:ilvl w:val="0"/>
          <w:numId w:val="1001"/>
        </w:numPr>
        <w:pStyle w:val="Compact"/>
      </w:pPr>
      <w:r>
        <w:t xml:space="preserve">pruebas;</w:t>
      </w:r>
    </w:p>
    <w:p>
      <w:pPr>
        <w:numPr>
          <w:ilvl w:val="0"/>
          <w:numId w:val="1001"/>
        </w:numPr>
        <w:pStyle w:val="Compact"/>
      </w:pPr>
      <w:r>
        <w:t xml:space="preserve">debugging y observabilidad;</w:t>
      </w:r>
    </w:p>
    <w:p>
      <w:pPr>
        <w:numPr>
          <w:ilvl w:val="0"/>
          <w:numId w:val="1001"/>
        </w:numPr>
        <w:pStyle w:val="Compact"/>
      </w:pPr>
      <w:r>
        <w:t xml:space="preserve">seguridad y privacidad;</w:t>
      </w:r>
    </w:p>
    <w:p>
      <w:pPr>
        <w:numPr>
          <w:ilvl w:val="0"/>
          <w:numId w:val="1001"/>
        </w:numPr>
        <w:pStyle w:val="Compact"/>
      </w:pPr>
      <w:r>
        <w:t xml:space="preserve">control de versiones;</w:t>
      </w:r>
    </w:p>
    <w:p>
      <w:pPr>
        <w:numPr>
          <w:ilvl w:val="0"/>
          <w:numId w:val="1001"/>
        </w:numPr>
        <w:pStyle w:val="Compact"/>
      </w:pPr>
      <w:r>
        <w:t xml:space="preserve">documentación;</w:t>
      </w:r>
    </w:p>
    <w:p>
      <w:pPr>
        <w:numPr>
          <w:ilvl w:val="0"/>
          <w:numId w:val="1001"/>
        </w:numPr>
        <w:pStyle w:val="Compact"/>
      </w:pPr>
      <w:r>
        <w:t xml:space="preserve">disciplina de liberación;</w:t>
      </w:r>
    </w:p>
    <w:p>
      <w:pPr>
        <w:numPr>
          <w:ilvl w:val="0"/>
          <w:numId w:val="1001"/>
        </w:numPr>
        <w:pStyle w:val="Compact"/>
      </w:pPr>
      <w:r>
        <w:t xml:space="preserve">uso responsable de automatización e IA.</w:t>
      </w:r>
    </w:p>
    <w:bookmarkEnd w:id="21"/>
    <w:bookmarkStart w:id="27" w:name="familias-de-funciones"/>
    <w:p>
      <w:pPr>
        <w:pStyle w:val="Heading2"/>
      </w:pPr>
      <w:r>
        <w:t xml:space="preserve">Familias de funciones</w:t>
      </w:r>
    </w:p>
    <w:bookmarkStart w:id="22" w:name="desarrollador-de-aplicaciones"/>
    <w:p>
      <w:pPr>
        <w:pStyle w:val="Heading3"/>
      </w:pPr>
      <w:r>
        <w:t xml:space="preserve">Desarrollador de aplicaciones</w:t>
      </w:r>
    </w:p>
    <w:p>
      <w:pPr>
        <w:pStyle w:val="FirstParagraph"/>
      </w:pPr>
      <w:r>
        <w:t xml:space="preserve">Construye aplicaciones para usuarios o procesos de negocio y puede trabajar en interfaz, servicios y datos.</w:t>
      </w:r>
    </w:p>
    <w:bookmarkEnd w:id="22"/>
    <w:bookmarkStart w:id="23" w:name="desarrollador-back-end-o-de-servicios"/>
    <w:p>
      <w:pPr>
        <w:pStyle w:val="Heading3"/>
      </w:pPr>
      <w:r>
        <w:t xml:space="preserve">Desarrollador back-end o de servicios</w:t>
      </w:r>
    </w:p>
    <w:p>
      <w:pPr>
        <w:pStyle w:val="FirstParagraph"/>
      </w:pPr>
      <w:r>
        <w:t xml:space="preserve">Se enfoca en APIs, lógica de negocio, persistencia, mensajería, caché, integración y confiabilidad.</w:t>
      </w:r>
    </w:p>
    <w:bookmarkEnd w:id="23"/>
    <w:bookmarkStart w:id="24" w:name="X05558dde721c5697a658786d22b35165a329d0d"/>
    <w:p>
      <w:pPr>
        <w:pStyle w:val="Heading3"/>
      </w:pPr>
      <w:r>
        <w:t xml:space="preserve">Desarrollador de plataforma/infraestructura</w:t>
      </w:r>
    </w:p>
    <w:p>
      <w:pPr>
        <w:pStyle w:val="FirstParagraph"/>
      </w:pPr>
      <w:r>
        <w:t xml:space="preserve">Construye tooling, plataformas internas, automatización y software cercano a infraestructura.</w:t>
      </w:r>
    </w:p>
    <w:bookmarkEnd w:id="24"/>
    <w:bookmarkStart w:id="25" w:name="desarrollador-móvil"/>
    <w:p>
      <w:pPr>
        <w:pStyle w:val="Heading3"/>
      </w:pPr>
      <w:r>
        <w:t xml:space="preserve">Desarrollador móvil</w:t>
      </w:r>
    </w:p>
    <w:p>
      <w:pPr>
        <w:pStyle w:val="FirstParagraph"/>
      </w:pPr>
      <w:r>
        <w:t xml:space="preserve">Trabaja con aplicaciones móviles nativas o multiplataforma, permisos, almacenamiento, red y ciclo de vida del dispositivo.</w:t>
      </w:r>
    </w:p>
    <w:bookmarkEnd w:id="25"/>
    <w:bookmarkStart w:id="26" w:name="desarrollador-de-sistemasembebido"/>
    <w:p>
      <w:pPr>
        <w:pStyle w:val="Heading3"/>
      </w:pPr>
      <w:r>
        <w:t xml:space="preserve">Desarrollador de sistemas/embebido</w:t>
      </w:r>
    </w:p>
    <w:p>
      <w:pPr>
        <w:pStyle w:val="FirstParagraph"/>
      </w:pPr>
      <w:r>
        <w:t xml:space="preserve">Trabaja más cerca de sistemas operativos, dispositivos, hardware, redes o código sensible al rendimiento.</w:t>
      </w:r>
    </w:p>
    <w:bookmarkEnd w:id="26"/>
    <w:bookmarkEnd w:id="27"/>
    <w:bookmarkStart w:id="28" w:name="empiece-por-los-requisitos"/>
    <w:p>
      <w:pPr>
        <w:pStyle w:val="Heading2"/>
      </w:pPr>
      <w:r>
        <w:t xml:space="preserve">Empiece por los requisitos</w:t>
      </w:r>
    </w:p>
    <w:p>
      <w:pPr>
        <w:pStyle w:val="FirstParagraph"/>
      </w:pPr>
      <w:r>
        <w:t xml:space="preserve">Antes del código, aclare:</w:t>
      </w:r>
    </w:p>
    <w:p>
      <w:pPr>
        <w:numPr>
          <w:ilvl w:val="0"/>
          <w:numId w:val="1002"/>
        </w:numPr>
        <w:pStyle w:val="Compact"/>
      </w:pPr>
      <w:r>
        <w:t xml:space="preserve">¿Qué problema resolvemos?</w:t>
      </w:r>
    </w:p>
    <w:p>
      <w:pPr>
        <w:numPr>
          <w:ilvl w:val="0"/>
          <w:numId w:val="1002"/>
        </w:numPr>
        <w:pStyle w:val="Compact"/>
      </w:pPr>
      <w:r>
        <w:t xml:space="preserve">¿Qué comportamiento se requiere?</w:t>
      </w:r>
    </w:p>
    <w:p>
      <w:pPr>
        <w:numPr>
          <w:ilvl w:val="0"/>
          <w:numId w:val="1002"/>
        </w:numPr>
        <w:pStyle w:val="Compact"/>
      </w:pPr>
      <w:r>
        <w:t xml:space="preserve">¿Qué queda fuera de alcance?</w:t>
      </w:r>
    </w:p>
    <w:p>
      <w:pPr>
        <w:numPr>
          <w:ilvl w:val="0"/>
          <w:numId w:val="1002"/>
        </w:numPr>
        <w:pStyle w:val="Compact"/>
      </w:pPr>
      <w:r>
        <w:t xml:space="preserve">¿Qué inputs/outputs existen?</w:t>
      </w:r>
    </w:p>
    <w:p>
      <w:pPr>
        <w:numPr>
          <w:ilvl w:val="0"/>
          <w:numId w:val="1002"/>
        </w:numPr>
        <w:pStyle w:val="Compact"/>
      </w:pPr>
      <w:r>
        <w:t xml:space="preserve">¿Qué requisitos de rendimiento, disponibilidad, privacidad o seguridad aplican?</w:t>
      </w:r>
    </w:p>
    <w:p>
      <w:pPr>
        <w:numPr>
          <w:ilvl w:val="0"/>
          <w:numId w:val="1002"/>
        </w:numPr>
        <w:pStyle w:val="Compact"/>
      </w:pPr>
      <w:r>
        <w:t xml:space="preserve">¿Qué sistemas e interfaces se afectan?</w:t>
      </w:r>
    </w:p>
    <w:p>
      <w:pPr>
        <w:numPr>
          <w:ilvl w:val="0"/>
          <w:numId w:val="1002"/>
        </w:numPr>
        <w:pStyle w:val="Compact"/>
      </w:pPr>
      <w:r>
        <w:t xml:space="preserve">¿Qué evidencia demostrará que funciona?</w:t>
      </w:r>
    </w:p>
    <w:p>
      <w:pPr>
        <w:numPr>
          <w:ilvl w:val="0"/>
          <w:numId w:val="1002"/>
        </w:numPr>
        <w:pStyle w:val="Compact"/>
      </w:pPr>
      <w:r>
        <w:t xml:space="preserve">¿Quién aprueba requisito y liberación?</w:t>
      </w:r>
    </w:p>
    <w:p>
      <w:pPr>
        <w:pStyle w:val="FirstParagraph"/>
      </w:pPr>
      <w:r>
        <w:t xml:space="preserve">Si los requisitos son contradictorios, documente y escale la ambigüedad. No invente silenciosamente comportamiento después de implementar.</w:t>
      </w:r>
    </w:p>
    <w:bookmarkEnd w:id="28"/>
    <w:bookmarkStart w:id="29" w:name="diseño-antes-de-implementación"/>
    <w:p>
      <w:pPr>
        <w:pStyle w:val="Heading2"/>
      </w:pPr>
      <w:r>
        <w:t xml:space="preserve">Diseño antes de implementación</w:t>
      </w:r>
    </w:p>
    <w:p>
      <w:pPr>
        <w:pStyle w:val="FirstParagraph"/>
      </w:pPr>
      <w:r>
        <w:t xml:space="preserve">Según el riesgo, piense en:</w:t>
      </w:r>
    </w:p>
    <w:p>
      <w:pPr>
        <w:numPr>
          <w:ilvl w:val="0"/>
          <w:numId w:val="1003"/>
        </w:numPr>
        <w:pStyle w:val="Compact"/>
      </w:pPr>
      <w:r>
        <w:t xml:space="preserve">componente responsable;</w:t>
      </w:r>
    </w:p>
    <w:p>
      <w:pPr>
        <w:numPr>
          <w:ilvl w:val="0"/>
          <w:numId w:val="1003"/>
        </w:numPr>
        <w:pStyle w:val="Compact"/>
      </w:pPr>
      <w:r>
        <w:t xml:space="preserve">datos a almacenar;</w:t>
      </w:r>
    </w:p>
    <w:p>
      <w:pPr>
        <w:numPr>
          <w:ilvl w:val="0"/>
          <w:numId w:val="1003"/>
        </w:numPr>
        <w:pStyle w:val="Compact"/>
      </w:pPr>
      <w:r>
        <w:t xml:space="preserve">contrato de API/interfaz;</w:t>
      </w:r>
    </w:p>
    <w:p>
      <w:pPr>
        <w:numPr>
          <w:ilvl w:val="0"/>
          <w:numId w:val="1003"/>
        </w:numPr>
        <w:pStyle w:val="Compact"/>
      </w:pPr>
      <w:r>
        <w:t xml:space="preserve">fallas de dependencias;</w:t>
      </w:r>
    </w:p>
    <w:p>
      <w:pPr>
        <w:numPr>
          <w:ilvl w:val="0"/>
          <w:numId w:val="1003"/>
        </w:numPr>
        <w:pStyle w:val="Compact"/>
      </w:pPr>
      <w:r>
        <w:t xml:space="preserve">compatibilidad;</w:t>
      </w:r>
    </w:p>
    <w:p>
      <w:pPr>
        <w:numPr>
          <w:ilvl w:val="0"/>
          <w:numId w:val="1003"/>
        </w:numPr>
        <w:pStyle w:val="Compact"/>
      </w:pPr>
      <w:r>
        <w:t xml:space="preserve">migración/rollback;</w:t>
      </w:r>
    </w:p>
    <w:p>
      <w:pPr>
        <w:numPr>
          <w:ilvl w:val="0"/>
          <w:numId w:val="1003"/>
        </w:numPr>
        <w:pStyle w:val="Compact"/>
      </w:pPr>
      <w:r>
        <w:t xml:space="preserve">controles de acceso;</w:t>
      </w:r>
    </w:p>
    <w:p>
      <w:pPr>
        <w:numPr>
          <w:ilvl w:val="0"/>
          <w:numId w:val="1003"/>
        </w:numPr>
        <w:pStyle w:val="Compact"/>
      </w:pPr>
      <w:r>
        <w:t xml:space="preserve">observabilidad;</w:t>
      </w:r>
    </w:p>
    <w:p>
      <w:pPr>
        <w:numPr>
          <w:ilvl w:val="0"/>
          <w:numId w:val="1003"/>
        </w:numPr>
        <w:pStyle w:val="Compact"/>
      </w:pPr>
      <w:r>
        <w:t xml:space="preserve">estrategia de pruebas.</w:t>
      </w:r>
    </w:p>
    <w:p>
      <w:pPr>
        <w:pStyle w:val="FirstParagraph"/>
      </w:pPr>
      <w:r>
        <w:t xml:space="preserve">Las decisiones de arquitectura pueden pertenecer a ingenieros senior, arquitectos o equipos de plataforma/seguridad. Contribuya evidencia sin asumir autoridad no asignada.</w:t>
      </w:r>
    </w:p>
    <w:bookmarkEnd w:id="29"/>
    <w:bookmarkStart w:id="30" w:name="fundamentos-de-programación"/>
    <w:p>
      <w:pPr>
        <w:pStyle w:val="Heading2"/>
      </w:pPr>
      <w:r>
        <w:t xml:space="preserve">Fundamentos de programación</w:t>
      </w:r>
    </w:p>
    <w:p>
      <w:pPr>
        <w:pStyle w:val="FirstParagraph"/>
      </w:pPr>
      <w:r>
        <w:t xml:space="preserve">Aprenda conceptos transferibles:</w:t>
      </w:r>
    </w:p>
    <w:p>
      <w:pPr>
        <w:numPr>
          <w:ilvl w:val="0"/>
          <w:numId w:val="1004"/>
        </w:numPr>
        <w:pStyle w:val="Compact"/>
      </w:pPr>
      <w:r>
        <w:t xml:space="preserve">variables y tipos;</w:t>
      </w:r>
    </w:p>
    <w:p>
      <w:pPr>
        <w:numPr>
          <w:ilvl w:val="0"/>
          <w:numId w:val="1004"/>
        </w:numPr>
        <w:pStyle w:val="Compact"/>
      </w:pPr>
      <w:r>
        <w:t xml:space="preserve">control de flujo;</w:t>
      </w:r>
    </w:p>
    <w:p>
      <w:pPr>
        <w:numPr>
          <w:ilvl w:val="0"/>
          <w:numId w:val="1004"/>
        </w:numPr>
        <w:pStyle w:val="Compact"/>
      </w:pPr>
      <w:r>
        <w:t xml:space="preserve">funciones/métodos;</w:t>
      </w:r>
    </w:p>
    <w:p>
      <w:pPr>
        <w:numPr>
          <w:ilvl w:val="0"/>
          <w:numId w:val="1004"/>
        </w:numPr>
        <w:pStyle w:val="Compact"/>
      </w:pPr>
      <w:r>
        <w:t xml:space="preserve">módulos/paquetes;</w:t>
      </w:r>
    </w:p>
    <w:p>
      <w:pPr>
        <w:numPr>
          <w:ilvl w:val="0"/>
          <w:numId w:val="1004"/>
        </w:numPr>
        <w:pStyle w:val="Compact"/>
      </w:pPr>
      <w:r>
        <w:t xml:space="preserve">colecciones;</w:t>
      </w:r>
    </w:p>
    <w:p>
      <w:pPr>
        <w:numPr>
          <w:ilvl w:val="0"/>
          <w:numId w:val="1004"/>
        </w:numPr>
        <w:pStyle w:val="Compact"/>
      </w:pPr>
      <w:r>
        <w:t xml:space="preserve">errores/excepciones;</w:t>
      </w:r>
    </w:p>
    <w:p>
      <w:pPr>
        <w:numPr>
          <w:ilvl w:val="0"/>
          <w:numId w:val="1004"/>
        </w:numPr>
        <w:pStyle w:val="Compact"/>
      </w:pPr>
      <w:r>
        <w:t xml:space="preserve">interfaces/abstracciones;</w:t>
      </w:r>
    </w:p>
    <w:p>
      <w:pPr>
        <w:numPr>
          <w:ilvl w:val="0"/>
          <w:numId w:val="1004"/>
        </w:numPr>
        <w:pStyle w:val="Compact"/>
      </w:pPr>
      <w:r>
        <w:t xml:space="preserve">conceptos orientados a objetos y funcionales cuando correspondan;</w:t>
      </w:r>
    </w:p>
    <w:p>
      <w:pPr>
        <w:numPr>
          <w:ilvl w:val="0"/>
          <w:numId w:val="1004"/>
        </w:numPr>
        <w:pStyle w:val="Compact"/>
      </w:pPr>
      <w:r>
        <w:t xml:space="preserve">comportamiento asíncrono/concurrente;</w:t>
      </w:r>
    </w:p>
    <w:p>
      <w:pPr>
        <w:numPr>
          <w:ilvl w:val="0"/>
          <w:numId w:val="1004"/>
        </w:numPr>
        <w:pStyle w:val="Compact"/>
      </w:pPr>
      <w:r>
        <w:t xml:space="preserve">pruebas y debugging.</w:t>
      </w:r>
    </w:p>
    <w:p>
      <w:pPr>
        <w:pStyle w:val="FirstParagraph"/>
      </w:pPr>
      <w:r>
        <w:t xml:space="preserve">No intente dominar todos los lenguajes al mismo tiempo. Aprenda un stack con suficiente profundidad para comprender ejecución real.</w:t>
      </w:r>
    </w:p>
    <w:bookmarkEnd w:id="30"/>
    <w:bookmarkStart w:id="31" w:name="estructuras-de-datos-y-algoritmos"/>
    <w:p>
      <w:pPr>
        <w:pStyle w:val="Heading2"/>
      </w:pPr>
      <w:r>
        <w:t xml:space="preserve">Estructuras de datos y algoritmos</w:t>
      </w:r>
    </w:p>
    <w:p>
      <w:pPr>
        <w:pStyle w:val="FirstParagraph"/>
      </w:pPr>
      <w:r>
        <w:t xml:space="preserve">Comprenda listas/arrays, mapas/diccionarios, sets, stacks/queues, árboles/grafos a nivel apropiado, búsqueda/ordenamiento, iteración y complejidad de tiempo/espacio.</w:t>
      </w:r>
    </w:p>
    <w:p>
      <w:pPr>
        <w:pStyle w:val="BodyText"/>
      </w:pPr>
      <w:r>
        <w:t xml:space="preserve">No todos los puestos requieren algoritmos avanzados, pero comprender complejidad ayuda a evitar diseños ineficientes.</w:t>
      </w:r>
    </w:p>
    <w:bookmarkEnd w:id="31"/>
    <w:bookmarkStart w:id="32" w:name="tecnologías-actuales"/>
    <w:p>
      <w:pPr>
        <w:pStyle w:val="Heading2"/>
      </w:pPr>
      <w:r>
        <w:t xml:space="preserve">Tecnologías actuales</w:t>
      </w:r>
    </w:p>
    <w:p>
      <w:pPr>
        <w:pStyle w:val="FirstParagraph"/>
      </w:pPr>
      <w:r>
        <w:t xml:space="preserve">O*NET muestra para 2025:</w:t>
      </w:r>
    </w:p>
    <w:p>
      <w:pPr>
        <w:numPr>
          <w:ilvl w:val="0"/>
          <w:numId w:val="1005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29%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26%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Java</w:t>
      </w:r>
      <w:r>
        <w:t xml:space="preserve"> </w:t>
      </w:r>
      <w:r>
        <w:rPr>
          <w:bCs/>
          <w:b/>
        </w:rPr>
        <w:t xml:space="preserve">25%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24%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Kubernetes y Git</w:t>
      </w:r>
      <w:r>
        <w:t xml:space="preserve"> </w:t>
      </w:r>
      <w:r>
        <w:rPr>
          <w:bCs/>
          <w:b/>
        </w:rPr>
        <w:t xml:space="preserve">14%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RESTful API, React y Docker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C#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C++ y Angular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CSS y Linux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Jenkins CI, HTML y TypeScript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Node.js, JIRA, GitHub y NoSQL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PostgreSQL, Terraform, Kafka y C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Spring Boot, Go y Spring Framework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Son señales de ofertas, no requisitos universales.</w:t>
      </w:r>
    </w:p>
    <w:bookmarkEnd w:id="32"/>
    <w:bookmarkStart w:id="33" w:name="apis-y-contratos"/>
    <w:p>
      <w:pPr>
        <w:pStyle w:val="Heading2"/>
      </w:pPr>
      <w:r>
        <w:t xml:space="preserve">APIs y contratos</w:t>
      </w:r>
    </w:p>
    <w:p>
      <w:pPr>
        <w:pStyle w:val="FirstParagraph"/>
      </w:pPr>
      <w:r>
        <w:t xml:space="preserve">Las interfaces deben definir inputs, outputs, errores, compatibilidad y versionado. Pueden ser REST/HTTP, RPC, mensajería/eventos, SDKs, esquemas de bases de datos o formatos de archivos.</w:t>
      </w:r>
    </w:p>
    <w:p>
      <w:pPr>
        <w:pStyle w:val="BodyText"/>
      </w:pPr>
      <w:r>
        <w:t xml:space="preserve">No cambie silenciosamente un contrato consumido por otros sistemas.</w:t>
      </w:r>
    </w:p>
    <w:bookmarkEnd w:id="33"/>
    <w:bookmarkStart w:id="34" w:name="bases-de-datos-y-persistencia"/>
    <w:p>
      <w:pPr>
        <w:pStyle w:val="Heading2"/>
      </w:pPr>
      <w:r>
        <w:t xml:space="preserve">Bases de datos y persistencia</w:t>
      </w:r>
    </w:p>
    <w:p>
      <w:pPr>
        <w:pStyle w:val="FirstParagraph"/>
      </w:pPr>
      <w:r>
        <w:t xml:space="preserve">Conceptos útiles:</w:t>
      </w:r>
    </w:p>
    <w:p>
      <w:pPr>
        <w:numPr>
          <w:ilvl w:val="0"/>
          <w:numId w:val="1006"/>
        </w:numPr>
        <w:pStyle w:val="Compact"/>
      </w:pPr>
      <w:r>
        <w:t xml:space="preserve">tablas/documentos;</w:t>
      </w:r>
    </w:p>
    <w:p>
      <w:pPr>
        <w:numPr>
          <w:ilvl w:val="0"/>
          <w:numId w:val="1006"/>
        </w:numPr>
        <w:pStyle w:val="Compact"/>
      </w:pPr>
      <w:r>
        <w:t xml:space="preserve">claves/relaciones;</w:t>
      </w:r>
    </w:p>
    <w:p>
      <w:pPr>
        <w:numPr>
          <w:ilvl w:val="0"/>
          <w:numId w:val="1006"/>
        </w:numPr>
        <w:pStyle w:val="Compact"/>
      </w:pPr>
      <w:r>
        <w:t xml:space="preserve">índices;</w:t>
      </w:r>
    </w:p>
    <w:p>
      <w:pPr>
        <w:numPr>
          <w:ilvl w:val="0"/>
          <w:numId w:val="1006"/>
        </w:numPr>
        <w:pStyle w:val="Compact"/>
      </w:pPr>
      <w:r>
        <w:t xml:space="preserve">transacciones;</w:t>
      </w:r>
    </w:p>
    <w:p>
      <w:pPr>
        <w:numPr>
          <w:ilvl w:val="0"/>
          <w:numId w:val="1006"/>
        </w:numPr>
        <w:pStyle w:val="Compact"/>
      </w:pPr>
      <w:r>
        <w:t xml:space="preserve">consistencia;</w:t>
      </w:r>
    </w:p>
    <w:p>
      <w:pPr>
        <w:numPr>
          <w:ilvl w:val="0"/>
          <w:numId w:val="1006"/>
        </w:numPr>
        <w:pStyle w:val="Compact"/>
      </w:pPr>
      <w:r>
        <w:t xml:space="preserve">migraciones;</w:t>
      </w:r>
    </w:p>
    <w:p>
      <w:pPr>
        <w:numPr>
          <w:ilvl w:val="0"/>
          <w:numId w:val="1006"/>
        </w:numPr>
        <w:pStyle w:val="Compact"/>
      </w:pPr>
      <w:r>
        <w:t xml:space="preserve">conexiones;</w:t>
      </w:r>
    </w:p>
    <w:p>
      <w:pPr>
        <w:numPr>
          <w:ilvl w:val="0"/>
          <w:numId w:val="1006"/>
        </w:numPr>
        <w:pStyle w:val="Compact"/>
      </w:pPr>
      <w:r>
        <w:t xml:space="preserve">caché;</w:t>
      </w:r>
    </w:p>
    <w:p>
      <w:pPr>
        <w:numPr>
          <w:ilvl w:val="0"/>
          <w:numId w:val="1006"/>
        </w:numPr>
        <w:pStyle w:val="Compact"/>
      </w:pPr>
      <w:r>
        <w:t xml:space="preserve">retención;</w:t>
      </w:r>
    </w:p>
    <w:p>
      <w:pPr>
        <w:numPr>
          <w:ilvl w:val="0"/>
          <w:numId w:val="1006"/>
        </w:numPr>
        <w:pStyle w:val="Compact"/>
      </w:pPr>
      <w:r>
        <w:t xml:space="preserve">responsabilidades de backup/recovery.</w:t>
      </w:r>
    </w:p>
    <w:p>
      <w:pPr>
        <w:pStyle w:val="FirstParagraph"/>
      </w:pPr>
      <w:r>
        <w:t xml:space="preserve">Use consultas parametrizadas o mecanismos ORM aprobados. No concatene input no confiable en SQL.</w:t>
      </w:r>
    </w:p>
    <w:bookmarkEnd w:id="34"/>
    <w:bookmarkStart w:id="35" w:name="autenticación-y-autorización"/>
    <w:p>
      <w:pPr>
        <w:pStyle w:val="Heading2"/>
      </w:pPr>
      <w:r>
        <w:t xml:space="preserve">Autenticación y autorización</w:t>
      </w:r>
    </w:p>
    <w:p>
      <w:pPr>
        <w:pStyle w:val="FirstParagraph"/>
      </w:pPr>
      <w:r>
        <w:t xml:space="preserve">Autenticación establece identidad. Autorización determina permisos. Siga el modelo aprobado, mínimo privilegio y autorización del lado del servidor. Ocultar controles de UI no protege un recurso.</w:t>
      </w:r>
    </w:p>
    <w:p>
      <w:pPr>
        <w:pStyle w:val="BodyText"/>
      </w:pPr>
      <w:r>
        <w:t xml:space="preserve">No debilite autorización solo para hacer que una función pase una prueba.</w:t>
      </w:r>
    </w:p>
    <w:bookmarkEnd w:id="35"/>
    <w:bookmarkStart w:id="36" w:name="git-y-code-review"/>
    <w:p>
      <w:pPr>
        <w:pStyle w:val="Heading2"/>
      </w:pPr>
      <w:r>
        <w:t xml:space="preserve">Git y code review</w:t>
      </w:r>
    </w:p>
    <w:p>
      <w:pPr>
        <w:pStyle w:val="FirstParagraph"/>
      </w:pPr>
      <w:r>
        <w:t xml:space="preserve">Use commits claros, branches según política, pull/merge requests, revisión entre pares y resolución de conflictos.</w:t>
      </w:r>
    </w:p>
    <w:p>
      <w:pPr>
        <w:pStyle w:val="BodyText"/>
      </w:pPr>
      <w:r>
        <w:t xml:space="preserve">Nunca confirme credenciales, API keys, tokens, certificados o secretos. Si un secreto entra al historial, siga rotación e incidente; borrar una línea visible no necesariamente lo elimina.</w:t>
      </w:r>
    </w:p>
    <w:bookmarkEnd w:id="36"/>
    <w:bookmarkStart w:id="37" w:name="pruebas-y-qa"/>
    <w:p>
      <w:pPr>
        <w:pStyle w:val="Heading2"/>
      </w:pPr>
      <w:r>
        <w:t xml:space="preserve">Pruebas y QA</w:t>
      </w:r>
    </w:p>
    <w:p>
      <w:pPr>
        <w:pStyle w:val="FirstParagraph"/>
      </w:pPr>
      <w:r>
        <w:t xml:space="preserve">Pueden incluir:</w:t>
      </w:r>
    </w:p>
    <w:p>
      <w:pPr>
        <w:numPr>
          <w:ilvl w:val="0"/>
          <w:numId w:val="1007"/>
        </w:numPr>
        <w:pStyle w:val="Compact"/>
      </w:pPr>
      <w:r>
        <w:t xml:space="preserve">unitarias;</w:t>
      </w:r>
    </w:p>
    <w:p>
      <w:pPr>
        <w:numPr>
          <w:ilvl w:val="0"/>
          <w:numId w:val="1007"/>
        </w:numPr>
        <w:pStyle w:val="Compact"/>
      </w:pPr>
      <w:r>
        <w:t xml:space="preserve">integración;</w:t>
      </w:r>
    </w:p>
    <w:p>
      <w:pPr>
        <w:numPr>
          <w:ilvl w:val="0"/>
          <w:numId w:val="1007"/>
        </w:numPr>
        <w:pStyle w:val="Compact"/>
      </w:pPr>
      <w:r>
        <w:t xml:space="preserve">contrato/API;</w:t>
      </w:r>
    </w:p>
    <w:p>
      <w:pPr>
        <w:numPr>
          <w:ilvl w:val="0"/>
          <w:numId w:val="1007"/>
        </w:numPr>
        <w:pStyle w:val="Compact"/>
      </w:pPr>
      <w:r>
        <w:t xml:space="preserve">componentes;</w:t>
      </w:r>
    </w:p>
    <w:p>
      <w:pPr>
        <w:numPr>
          <w:ilvl w:val="0"/>
          <w:numId w:val="1007"/>
        </w:numPr>
        <w:pStyle w:val="Compact"/>
      </w:pPr>
      <w:r>
        <w:t xml:space="preserve">end-to-end;</w:t>
      </w:r>
    </w:p>
    <w:p>
      <w:pPr>
        <w:numPr>
          <w:ilvl w:val="0"/>
          <w:numId w:val="1007"/>
        </w:numPr>
        <w:pStyle w:val="Compact"/>
      </w:pPr>
      <w:r>
        <w:t xml:space="preserve">regresión;</w:t>
      </w:r>
    </w:p>
    <w:p>
      <w:pPr>
        <w:numPr>
          <w:ilvl w:val="0"/>
          <w:numId w:val="1007"/>
        </w:numPr>
        <w:pStyle w:val="Compact"/>
      </w:pPr>
      <w:r>
        <w:t xml:space="preserve">rendimiento;</w:t>
      </w:r>
    </w:p>
    <w:p>
      <w:pPr>
        <w:numPr>
          <w:ilvl w:val="0"/>
          <w:numId w:val="1007"/>
        </w:numPr>
        <w:pStyle w:val="Compact"/>
      </w:pPr>
      <w:r>
        <w:t xml:space="preserve">accesibilidad;</w:t>
      </w:r>
    </w:p>
    <w:p>
      <w:pPr>
        <w:numPr>
          <w:ilvl w:val="0"/>
          <w:numId w:val="1007"/>
        </w:numPr>
        <w:pStyle w:val="Compact"/>
      </w:pPr>
      <w:r>
        <w:t xml:space="preserve">seguridad dentro de autorización.</w:t>
      </w:r>
    </w:p>
    <w:p>
      <w:pPr>
        <w:pStyle w:val="FirstParagraph"/>
      </w:pPr>
      <w:r>
        <w:t xml:space="preserve">Que una suite pase es evidencia, no prueba de software sin defectos o seguro.</w:t>
      </w:r>
    </w:p>
    <w:bookmarkEnd w:id="37"/>
    <w:bookmarkStart w:id="38" w:name="debugging-y-observabilidad"/>
    <w:p>
      <w:pPr>
        <w:pStyle w:val="Heading2"/>
      </w:pPr>
      <w:r>
        <w:t xml:space="preserve">Debugging y observabilidad</w:t>
      </w:r>
    </w:p>
    <w:p>
      <w:pPr>
        <w:pStyle w:val="FirstParagraph"/>
      </w:pPr>
      <w:r>
        <w:t xml:space="preserve">Flujo útil:</w:t>
      </w:r>
    </w:p>
    <w:p>
      <w:pPr>
        <w:numPr>
          <w:ilvl w:val="0"/>
          <w:numId w:val="1008"/>
        </w:numPr>
        <w:pStyle w:val="Compact"/>
      </w:pPr>
      <w:r>
        <w:t xml:space="preserve">reproducir;</w:t>
      </w:r>
    </w:p>
    <w:p>
      <w:pPr>
        <w:numPr>
          <w:ilvl w:val="0"/>
          <w:numId w:val="1008"/>
        </w:numPr>
        <w:pStyle w:val="Compact"/>
      </w:pPr>
      <w:r>
        <w:t xml:space="preserve">identificar versión/ambiente;</w:t>
      </w:r>
    </w:p>
    <w:p>
      <w:pPr>
        <w:numPr>
          <w:ilvl w:val="0"/>
          <w:numId w:val="1008"/>
        </w:numPr>
        <w:pStyle w:val="Compact"/>
      </w:pPr>
      <w:r>
        <w:t xml:space="preserve">reducir el problema;</w:t>
      </w:r>
    </w:p>
    <w:p>
      <w:pPr>
        <w:numPr>
          <w:ilvl w:val="0"/>
          <w:numId w:val="1008"/>
        </w:numPr>
        <w:pStyle w:val="Compact"/>
      </w:pPr>
      <w:r>
        <w:t xml:space="preserve">revisar logs, métricas, traces, inputs y estado;</w:t>
      </w:r>
    </w:p>
    <w:p>
      <w:pPr>
        <w:numPr>
          <w:ilvl w:val="0"/>
          <w:numId w:val="1008"/>
        </w:numPr>
        <w:pStyle w:val="Compact"/>
      </w:pPr>
      <w:r>
        <w:t xml:space="preserve">formular hipótesis;</w:t>
      </w:r>
    </w:p>
    <w:p>
      <w:pPr>
        <w:numPr>
          <w:ilvl w:val="0"/>
          <w:numId w:val="1008"/>
        </w:numPr>
        <w:pStyle w:val="Compact"/>
      </w:pPr>
      <w:r>
        <w:t xml:space="preserve">probarla;</w:t>
      </w:r>
    </w:p>
    <w:p>
      <w:pPr>
        <w:numPr>
          <w:ilvl w:val="0"/>
          <w:numId w:val="1008"/>
        </w:numPr>
        <w:pStyle w:val="Compact"/>
      </w:pPr>
      <w:r>
        <w:t xml:space="preserve">aplicar una corrección segura;</w:t>
      </w:r>
    </w:p>
    <w:p>
      <w:pPr>
        <w:numPr>
          <w:ilvl w:val="0"/>
          <w:numId w:val="1008"/>
        </w:numPr>
        <w:pStyle w:val="Compact"/>
      </w:pPr>
      <w:r>
        <w:t xml:space="preserve">agregar/ajustar pruebas;</w:t>
      </w:r>
    </w:p>
    <w:p>
      <w:pPr>
        <w:numPr>
          <w:ilvl w:val="0"/>
          <w:numId w:val="1008"/>
        </w:numPr>
        <w:pStyle w:val="Compact"/>
      </w:pPr>
      <w:r>
        <w:t xml:space="preserve">retestar y monitorear.</w:t>
      </w:r>
    </w:p>
    <w:p>
      <w:pPr>
        <w:pStyle w:val="FirstParagraph"/>
      </w:pPr>
      <w:r>
        <w:t xml:space="preserve">Use logs estructurados, métricas, tracing donde aplique, IDs de correlación, health checks y alertas. No registre passwords, tokens, datos completos de pago o información personal innecesaria.</w:t>
      </w:r>
    </w:p>
    <w:bookmarkEnd w:id="38"/>
    <w:bookmarkStart w:id="39" w:name="errores-y-resiliencia"/>
    <w:p>
      <w:pPr>
        <w:pStyle w:val="Heading2"/>
      </w:pPr>
      <w:r>
        <w:t xml:space="preserve">Errores y resiliencia</w:t>
      </w:r>
    </w:p>
    <w:p>
      <w:pPr>
        <w:pStyle w:val="FirstParagraph"/>
      </w:pPr>
      <w:r>
        <w:t xml:space="preserve">Planifique input inválido, timeouts, fallas parciales, servicios no disponibles, duplicados, retries y degradación. Use retries limitados/backoff e idempotencia cuando corresponda. Reintentar todo ciegamente puede amplificar una falla.</w:t>
      </w:r>
    </w:p>
    <w:bookmarkEnd w:id="39"/>
    <w:bookmarkStart w:id="40" w:name="concurrencia-y-asincronía"/>
    <w:p>
      <w:pPr>
        <w:pStyle w:val="Heading2"/>
      </w:pPr>
      <w:r>
        <w:t xml:space="preserve">Concurrencia y asincronía</w:t>
      </w:r>
    </w:p>
    <w:p>
      <w:pPr>
        <w:pStyle w:val="FirstParagraph"/>
      </w:pPr>
      <w:r>
        <w:t xml:space="preserve">Según el rol, comprenda race conditions, sincronización, estado compartido, colas, orden, eventual consistency, cancelación/timeouts y procesamiento duplicado.</w:t>
      </w:r>
    </w:p>
    <w:p>
      <w:pPr>
        <w:pStyle w:val="BodyText"/>
      </w:pPr>
      <w:r>
        <w:t xml:space="preserve">Código asíncrono no es automáticamente correcto solo porque compila.</w:t>
      </w:r>
    </w:p>
    <w:bookmarkEnd w:id="40"/>
    <w:bookmarkStart w:id="41" w:name="dependencias-y-supply-chain"/>
    <w:p>
      <w:pPr>
        <w:pStyle w:val="Heading2"/>
      </w:pPr>
      <w:r>
        <w:t xml:space="preserve">Dependencias y supply chain</w:t>
      </w:r>
    </w:p>
    <w:p>
      <w:pPr>
        <w:pStyle w:val="FirstParagraph"/>
      </w:pPr>
      <w:r>
        <w:t xml:space="preserve">Use dependencias necesarias y confiables, revise advisories, versiones y licencias cuando corresponda, pruebe upgrades y evite código desconocido o paquetes abandonados.</w:t>
      </w:r>
    </w:p>
    <w:bookmarkEnd w:id="41"/>
    <w:bookmarkStart w:id="42" w:name="configuración-y-secretos"/>
    <w:p>
      <w:pPr>
        <w:pStyle w:val="Heading2"/>
      </w:pPr>
      <w:r>
        <w:t xml:space="preserve">Configuración y secretos</w:t>
      </w:r>
    </w:p>
    <w:p>
      <w:pPr>
        <w:pStyle w:val="FirstParagraph"/>
      </w:pPr>
      <w:r>
        <w:t xml:space="preserve">Proteja passwords de bases de datos, API keys, credenciales cloud, OAuth secrets, signing/encryption keys y certificados. Use sistemas aprobados de secrets/configuration.</w:t>
      </w:r>
    </w:p>
    <w:bookmarkEnd w:id="42"/>
    <w:bookmarkStart w:id="43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Un pipeline confiable identifica commit/versión, dependencias, resultados de pruebas, artifacts, ambiente y approvals/gates. No evite gates obligatorios solo porque una liberación manual sea más rápida.</w:t>
      </w:r>
    </w:p>
    <w:bookmarkEnd w:id="43"/>
    <w:bookmarkStart w:id="44" w:name="deploy-cambio-y-rollback"/>
    <w:p>
      <w:pPr>
        <w:pStyle w:val="Heading2"/>
      </w:pPr>
      <w:r>
        <w:t xml:space="preserve">Deploy, cambio y rollback</w:t>
      </w:r>
    </w:p>
    <w:p>
      <w:pPr>
        <w:pStyle w:val="FirstParagraph"/>
      </w:pPr>
      <w:r>
        <w:t xml:space="preserve">Antes de producción, comprenda versión, configuración, migraciones, dependencias, monitoreo, rollback/forward-fix, compatibilidad de datos y quién tiene autoridad de release.</w:t>
      </w:r>
    </w:p>
    <w:p>
      <w:pPr>
        <w:pStyle w:val="BodyText"/>
      </w:pPr>
      <w:r>
        <w:t xml:space="preserve">Tener acceso técnico no equivale a tener autoridad de producción.</w:t>
      </w:r>
    </w:p>
    <w:bookmarkEnd w:id="44"/>
    <w:bookmarkStart w:id="45" w:name="cloud-y-responsabilidad-compartida"/>
    <w:p>
      <w:pPr>
        <w:pStyle w:val="Heading2"/>
      </w:pPr>
      <w:r>
        <w:t xml:space="preserve">Cloud y responsabilidad compartida</w:t>
      </w:r>
    </w:p>
    <w:p>
      <w:pPr>
        <w:pStyle w:val="FirstParagraph"/>
      </w:pPr>
      <w:r>
        <w:t xml:space="preserve">AWS, Azure, Docker y Kubernetes son frecuentes. Los servicios cloud no asumen automáticamente todas las responsabilidades de identidad, aplicación, configuración, secretos, datos y código. Siga el modelo del servicio y la arquitectura del empleador.</w:t>
      </w:r>
    </w:p>
    <w:bookmarkEnd w:id="45"/>
    <w:bookmarkStart w:id="46" w:name="rendimiento"/>
    <w:p>
      <w:pPr>
        <w:pStyle w:val="Heading2"/>
      </w:pPr>
      <w:r>
        <w:t xml:space="preserve">Rendimiento</w:t>
      </w:r>
    </w:p>
    <w:p>
      <w:pPr>
        <w:pStyle w:val="FirstParagraph"/>
      </w:pPr>
      <w:r>
        <w:t xml:space="preserve">Mida antes de optimizar. Revise CPU/memoria, I/O, red, queries, caché, concurrencia, pools de conexiones, payloads y dependencias. Las pruebas de carga deben realizarse dentro de límites autorizados.</w:t>
      </w:r>
    </w:p>
    <w:bookmarkEnd w:id="46"/>
    <w:bookmarkStart w:id="47" w:name="desarrollo-seguro"/>
    <w:p>
      <w:pPr>
        <w:pStyle w:val="Heading2"/>
      </w:pPr>
      <w:r>
        <w:t xml:space="preserve">Desarrollo seguro</w:t>
      </w:r>
    </w:p>
    <w:p>
      <w:pPr>
        <w:pStyle w:val="FirstParagraph"/>
      </w:pPr>
      <w:r>
        <w:t xml:space="preserve">Prácticas relevantes incluyen validación, manejo seguro de datos/output, autenticación/autorización, queries parametrizadas, defaults seguros, secrets, dependencias, logging, code review y pruebas de seguridad autorizadas.</w:t>
      </w:r>
    </w:p>
    <w:p>
      <w:pPr>
        <w:pStyle w:val="BodyText"/>
      </w:pPr>
      <w:r>
        <w:t xml:space="preserve">NIST SSDF y OWASP son referencias útiles. No otorgan permiso para atacar o hacer pentest de sistemas.</w:t>
      </w:r>
    </w:p>
    <w:bookmarkEnd w:id="47"/>
    <w:bookmarkStart w:id="48" w:name="privacidad-y-accesibilidad"/>
    <w:p>
      <w:pPr>
        <w:pStyle w:val="Heading2"/>
      </w:pPr>
      <w:r>
        <w:t xml:space="preserve">Privacidad y accesibilidad</w:t>
      </w:r>
    </w:p>
    <w:p>
      <w:pPr>
        <w:pStyle w:val="FirstParagraph"/>
      </w:pPr>
      <w:r>
        <w:t xml:space="preserve">Use solo datos necesarios para fines aprobados y siga reglas de acceso, retención, borrado, datos de prueba y logging. No invente requisitos legales; escale a la función responsable.</w:t>
      </w:r>
    </w:p>
    <w:p>
      <w:pPr>
        <w:pStyle w:val="BodyText"/>
      </w:pPr>
      <w:r>
        <w:t xml:space="preserve">Según el producto, considere teclado, estructuras semánticas, labels, foco, contraste, errores comprensibles y compatibilidad con tecnologías de asistencia. Un scanner automático no demuestra cumplimiento legal.</w:t>
      </w:r>
    </w:p>
    <w:bookmarkEnd w:id="48"/>
    <w:bookmarkStart w:id="49" w:name="ia-responsable"/>
    <w:p>
      <w:pPr>
        <w:pStyle w:val="Heading2"/>
      </w:pPr>
      <w:r>
        <w:t xml:space="preserve">IA responsable</w:t>
      </w:r>
    </w:p>
    <w:p>
      <w:pPr>
        <w:pStyle w:val="FirstParagraph"/>
      </w:pPr>
      <w:r>
        <w:t xml:space="preserve">La IA puede ayudar con explicación, scaffolding, refactoring, pruebas, datos sintéticos, documentación y debugging cuando la política lo permita.</w:t>
      </w:r>
    </w:p>
    <w:p>
      <w:pPr>
        <w:pStyle w:val="BodyText"/>
      </w:pPr>
      <w:r>
        <w:t xml:space="preserve">No cargue código propietario, datos de clientes, secretos, credenciales o información no publicada en herramientas no aprobadas. Revise y pruebe el código generado. Verifique APIs/paquetes, seguridad y licencias. No permita deploy autónomo fuera de gobernanza. El output de IA no es evidencia de ejecución.</w:t>
      </w:r>
    </w:p>
    <w:bookmarkEnd w:id="49"/>
    <w:bookmarkStart w:id="50" w:name="documentación-y-mantenibilidad"/>
    <w:p>
      <w:pPr>
        <w:pStyle w:val="Heading2"/>
      </w:pPr>
      <w:r>
        <w:t xml:space="preserve">Documentación y mantenibilidad</w:t>
      </w:r>
    </w:p>
    <w:p>
      <w:pPr>
        <w:pStyle w:val="FirstParagraph"/>
      </w:pPr>
      <w:r>
        <w:t xml:space="preserve">Documente propósito, decisiones, setup, configuración, APIs, modelos de datos, deployment, runbooks, límites, troubleshooting y ownership cuando sea útil. Prefiera cambios pequeños y revisables frente a complejidad innecesaria.</w:t>
      </w:r>
    </w:p>
    <w:bookmarkEnd w:id="50"/>
    <w:bookmarkStart w:id="51" w:name="límites-éticos-y-profesionales"/>
    <w:p>
      <w:pPr>
        <w:pStyle w:val="Heading2"/>
      </w:pPr>
      <w:r>
        <w:t xml:space="preserve">Límites éticos y profesionales</w:t>
      </w:r>
    </w:p>
    <w:p>
      <w:pPr>
        <w:pStyle w:val="FirstParagraph"/>
      </w:pPr>
      <w:r>
        <w:t xml:space="preserve">No se debe:</w:t>
      </w:r>
    </w:p>
    <w:p>
      <w:pPr>
        <w:numPr>
          <w:ilvl w:val="0"/>
          <w:numId w:val="1009"/>
        </w:numPr>
        <w:pStyle w:val="Compact"/>
      </w:pPr>
      <w:r>
        <w:t xml:space="preserve">fabricar resultados de pruebas o rendimiento;</w:t>
      </w:r>
    </w:p>
    <w:p>
      <w:pPr>
        <w:numPr>
          <w:ilvl w:val="0"/>
          <w:numId w:val="1009"/>
        </w:numPr>
        <w:pStyle w:val="Compact"/>
      </w:pPr>
      <w:r>
        <w:t xml:space="preserve">ocultar defectos de alto impacto;</w:t>
      </w:r>
    </w:p>
    <w:p>
      <w:pPr>
        <w:numPr>
          <w:ilvl w:val="0"/>
          <w:numId w:val="1009"/>
        </w:numPr>
        <w:pStyle w:val="Compact"/>
      </w:pPr>
      <w:r>
        <w:t xml:space="preserve">desplegar sin autoridad;</w:t>
      </w:r>
    </w:p>
    <w:p>
      <w:pPr>
        <w:numPr>
          <w:ilvl w:val="0"/>
          <w:numId w:val="1009"/>
        </w:numPr>
        <w:pStyle w:val="Compact"/>
      </w:pPr>
      <w:r>
        <w:t xml:space="preserve">evitar reviews o controles de seguridad;</w:t>
      </w:r>
    </w:p>
    <w:p>
      <w:pPr>
        <w:numPr>
          <w:ilvl w:val="0"/>
          <w:numId w:val="1009"/>
        </w:numPr>
        <w:pStyle w:val="Compact"/>
      </w:pPr>
      <w:r>
        <w:t xml:space="preserve">confirmar secretos;</w:t>
      </w:r>
    </w:p>
    <w:p>
      <w:pPr>
        <w:numPr>
          <w:ilvl w:val="0"/>
          <w:numId w:val="1009"/>
        </w:numPr>
        <w:pStyle w:val="Compact"/>
      </w:pPr>
      <w:r>
        <w:t xml:space="preserve">usar datos de producción en demos personales;</w:t>
      </w:r>
    </w:p>
    <w:p>
      <w:pPr>
        <w:numPr>
          <w:ilvl w:val="0"/>
          <w:numId w:val="1009"/>
        </w:numPr>
        <w:pStyle w:val="Compact"/>
      </w:pPr>
      <w:r>
        <w:t xml:space="preserve">debilitar autorización sin requisitos aprobados;</w:t>
      </w:r>
    </w:p>
    <w:p>
      <w:pPr>
        <w:numPr>
          <w:ilvl w:val="0"/>
          <w:numId w:val="1009"/>
        </w:numPr>
        <w:pStyle w:val="Compact"/>
      </w:pPr>
      <w:r>
        <w:t xml:space="preserve">explotar sistemas fuera de permiso;</w:t>
      </w:r>
    </w:p>
    <w:p>
      <w:pPr>
        <w:numPr>
          <w:ilvl w:val="0"/>
          <w:numId w:val="1009"/>
        </w:numPr>
        <w:pStyle w:val="Compact"/>
      </w:pPr>
      <w:r>
        <w:t xml:space="preserve">afirmar que un sistema es seguro/sin bugs solo porque las pruebas pasaron;</w:t>
      </w:r>
    </w:p>
    <w:p>
      <w:pPr>
        <w:numPr>
          <w:ilvl w:val="0"/>
          <w:numId w:val="1009"/>
        </w:numPr>
        <w:pStyle w:val="Compact"/>
      </w:pPr>
      <w:r>
        <w:t xml:space="preserve">publicar código o arquitectura privada del empleador.</w:t>
      </w:r>
    </w:p>
    <w:bookmarkEnd w:id="51"/>
    <w:bookmarkStart w:id="52" w:name="educación-y-entrada--estados-unidos"/>
    <w:p>
      <w:pPr>
        <w:pStyle w:val="Heading2"/>
      </w:pPr>
      <w:r>
        <w:t xml:space="preserve">Educación y entrada — Estados Unidos</w:t>
      </w:r>
    </w:p>
    <w:p>
      <w:pPr>
        <w:pStyle w:val="FirstParagraph"/>
      </w:pPr>
      <w:r>
        <w:t xml:space="preserve">O*NET ubica la ocupación 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Las respuestas actuales de nuevas contrataciones son aproximadamente</w:t>
      </w:r>
      <w:r>
        <w:t xml:space="preserve"> </w:t>
      </w:r>
      <w:r>
        <w:rPr>
          <w:bCs/>
          <w:b/>
        </w:rPr>
        <w:t xml:space="preserve">85% bachelor’s degree</w:t>
      </w:r>
      <w:r>
        <w:t xml:space="preserve">,</w:t>
      </w:r>
      <w:r>
        <w:t xml:space="preserve"> </w:t>
      </w:r>
      <w:r>
        <w:rPr>
          <w:bCs/>
          <w:b/>
        </w:rPr>
        <w:t xml:space="preserve">5% associate degree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5% master’s degree</w:t>
      </w:r>
      <w:r>
        <w:t xml:space="preserve">. No son reglas universales para cada vacante.</w:t>
      </w:r>
    </w:p>
    <w:p>
      <w:pPr>
        <w:pStyle w:val="BodyText"/>
      </w:pPr>
      <w:r>
        <w:t xml:space="preserve">CareerOneStop/American Job Centers ayudan a localizar WIOA y otras rutas. Elegibilidad y financiamiento varían.</w:t>
      </w:r>
    </w:p>
    <w:p>
      <w:pPr>
        <w:pStyle w:val="BodyText"/>
      </w:pPr>
      <w:r>
        <w:t xml:space="preserve">O*NET lista títulos de Registered Apprenticeship como</w:t>
      </w:r>
      <w:r>
        <w:t xml:space="preserve"> </w:t>
      </w:r>
      <w:r>
        <w:rPr>
          <w:bCs/>
          <w:b/>
        </w:rPr>
        <w:t xml:space="preserve">Application Developer</w:t>
      </w:r>
      <w:r>
        <w:t xml:space="preserve">,</w:t>
      </w:r>
      <w:r>
        <w:t xml:space="preserve"> </w:t>
      </w:r>
      <w:r>
        <w:rPr>
          <w:bCs/>
          <w:b/>
        </w:rPr>
        <w:t xml:space="preserve">Commercial Drone Software Developer</w:t>
      </w:r>
      <w:r>
        <w:t xml:space="preserve">,</w:t>
      </w:r>
      <w:r>
        <w:t xml:space="preserve"> </w:t>
      </w:r>
      <w:r>
        <w:rPr>
          <w:bCs/>
          <w:b/>
        </w:rPr>
        <w:t xml:space="preserve">Devops Engineer (Nof)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Software Developer (Nof)</w:t>
      </w:r>
      <w:r>
        <w:t xml:space="preserve">. Verifique aperturas reales en Apprenticeship.gov.</w:t>
      </w:r>
    </w:p>
    <w:bookmarkEnd w:id="52"/>
    <w:bookmarkStart w:id="55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usa</w:t>
      </w:r>
      <w:r>
        <w:t xml:space="preserve"> </w:t>
      </w:r>
      <w:r>
        <w:rPr>
          <w:bCs/>
          <w:b/>
        </w:rPr>
        <w:t xml:space="preserve">NOC 21232 — Software developers and programmers</w:t>
      </w:r>
      <w:r>
        <w:t xml:space="preserve">. Suele requerirse bachelor’s degree en informática/software engineering u otra disciplina con programación significativa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college program relacionado.</w:t>
      </w:r>
    </w:p>
    <w:p>
      <w:pPr>
        <w:pStyle w:val="BodyText"/>
      </w:pPr>
      <w:r>
        <w:t xml:space="preserve">Job Bank identifica actualmente la ocupación como</w:t>
      </w:r>
      <w:r>
        <w:t xml:space="preserve"> </w:t>
      </w:r>
      <w:r>
        <w:rPr>
          <w:bCs/>
          <w:b/>
        </w:rPr>
        <w:t xml:space="preserve">no regulada en Canadá</w:t>
      </w:r>
      <w:r>
        <w:t xml:space="preserve">.</w:t>
      </w:r>
    </w:p>
    <w:bookmarkStart w:id="53" w:name="salarios-canadá"/>
    <w:p>
      <w:pPr>
        <w:pStyle w:val="Heading3"/>
      </w:pPr>
      <w:r>
        <w:t xml:space="preserve">Salarios Canadá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C$30.00/hora</w:t>
      </w:r>
      <w:r>
        <w:t xml:space="preserve"> </w:t>
      </w:r>
      <w:r>
        <w:t xml:space="preserve">bajo;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C$48.08/hora</w:t>
      </w:r>
      <w:r>
        <w:t xml:space="preserve"> </w:t>
      </w:r>
      <w:r>
        <w:t xml:space="preserve">mediano;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C$76.92/hora</w:t>
      </w:r>
      <w:r>
        <w:t xml:space="preserve"> </w:t>
      </w:r>
      <w:r>
        <w:t xml:space="preserve">alto.</w:t>
      </w:r>
    </w:p>
    <w:bookmarkEnd w:id="53"/>
    <w:bookmarkStart w:id="54" w:name="perspectiva-canadá"/>
    <w:p>
      <w:pPr>
        <w:pStyle w:val="Heading3"/>
      </w:pPr>
      <w:r>
        <w:t xml:space="preserve">Perspectiva Canadá</w:t>
      </w:r>
    </w:p>
    <w:p>
      <w:pPr>
        <w:pStyle w:val="FirstParagraph"/>
      </w:pPr>
      <w:r>
        <w:t xml:space="preserve">La demanda y oferta nacionales 2024–2033 se esperan ampliamente en equilibrio. Las perspectivas provinciales a tres años varían; verifique la ubicación.</w:t>
      </w:r>
    </w:p>
    <w:bookmarkEnd w:id="54"/>
    <w:bookmarkEnd w:id="55"/>
    <w:bookmarkStart w:id="57" w:name="colombia"/>
    <w:p>
      <w:pPr>
        <w:pStyle w:val="Heading2"/>
      </w:pPr>
      <w:r>
        <w:t xml:space="preserve">Colombia</w:t>
      </w:r>
    </w:p>
    <w:p>
      <w:pPr>
        <w:pStyle w:val="FirstParagraph"/>
      </w:pPr>
      <w:r>
        <w:rPr>
          <w:bCs/>
          <w:b/>
        </w:rPr>
        <w:t xml:space="preserve">CUOC 25120 — Desarrolladores de software</w:t>
      </w:r>
      <w:r>
        <w:t xml:space="preserve"> </w:t>
      </w:r>
      <w:r>
        <w:t xml:space="preserve">es correspondencia directa, nivel de competencia 4, e incluye análisis, diseño, desarrollo, pruebas, mantenimiento e implementación de soluciones.</w:t>
      </w:r>
    </w:p>
    <w:p>
      <w:pPr>
        <w:pStyle w:val="BodyText"/>
      </w:pPr>
      <w:r>
        <w:t xml:space="preserve">No se fabrica un salario nacional representativo a partir de indicadores históricos/no representativos.</w:t>
      </w:r>
    </w:p>
    <w:bookmarkStart w:id="56" w:name="sena"/>
    <w:p>
      <w:pPr>
        <w:pStyle w:val="Heading3"/>
      </w:pPr>
      <w:r>
        <w:t xml:space="preserve">SENA</w:t>
      </w:r>
    </w:p>
    <w:p>
      <w:pPr>
        <w:pStyle w:val="FirstParagraph"/>
      </w:pPr>
      <w:r>
        <w:rPr>
          <w:bCs/>
          <w:b/>
        </w:rPr>
        <w:t xml:space="preserve">Análisis y desarrollo de software</w:t>
      </w:r>
    </w:p>
    <w:p>
      <w:pPr>
        <w:numPr>
          <w:ilvl w:val="0"/>
          <w:numId w:val="1011"/>
        </w:numPr>
        <w:pStyle w:val="Compact"/>
      </w:pPr>
      <w:r>
        <w:t xml:space="preserve">Tecnólogo;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3.984 horas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formación titulada;</w:t>
      </w:r>
    </w:p>
    <w:p>
      <w:pPr>
        <w:numPr>
          <w:ilvl w:val="0"/>
          <w:numId w:val="1011"/>
        </w:numPr>
        <w:pStyle w:val="Compact"/>
      </w:pPr>
      <w:r>
        <w:t xml:space="preserve">requisitos, análisis, diseño, desarrollo, implementación y calidad;</w:t>
      </w:r>
    </w:p>
    <w:p>
      <w:pPr>
        <w:numPr>
          <w:ilvl w:val="0"/>
          <w:numId w:val="1011"/>
        </w:numPr>
        <w:pStyle w:val="Compact"/>
      </w:pPr>
      <w:r>
        <w:t xml:space="preserve">verifique cohorte, modalidad, cupos y admisión.</w:t>
      </w:r>
    </w:p>
    <w:bookmarkEnd w:id="56"/>
    <w:bookmarkEnd w:id="57"/>
    <w:bookmarkStart w:id="58" w:name="américa-latina-y-caribe"/>
    <w:p>
      <w:pPr>
        <w:pStyle w:val="Heading2"/>
      </w:pPr>
      <w:r>
        <w:t xml:space="preserve">América Latina y Caribe</w:t>
      </w:r>
    </w:p>
    <w:p>
      <w:pPr>
        <w:pStyle w:val="FirstParagraph"/>
      </w:pPr>
      <w:r>
        <w:t xml:space="preserve">OIT/Cinterfor permite localizar instituciones nacionales de formación profesional. No garantiza cursos, becas, cupos o financiamiento.</w:t>
      </w:r>
    </w:p>
    <w:bookmarkEnd w:id="58"/>
    <w:bookmarkStart w:id="61" w:name="salarios-y-perspectiva"/>
    <w:p>
      <w:pPr>
        <w:pStyle w:val="Heading2"/>
      </w:pPr>
      <w:r>
        <w:t xml:space="preserve">Salarios y perspectiva</w:t>
      </w:r>
    </w:p>
    <w:bookmarkStart w:id="59" w:name="estados-unidos-oficial"/>
    <w:p>
      <w:pPr>
        <w:pStyle w:val="Heading3"/>
      </w:pPr>
      <w:r>
        <w:t xml:space="preserve">Estados Unidos oficial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$105,210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$135,980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$171,980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$214,670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$103.21</w:t>
            </w:r>
          </w:p>
        </w:tc>
      </w:tr>
    </w:tbl>
    <w:p>
      <w:pPr>
        <w:pStyle w:val="BodyText"/>
      </w:pPr>
      <w:r>
        <w:t xml:space="preserve">2024–2034:</w:t>
      </w:r>
    </w:p>
    <w:p>
      <w:pPr>
        <w:numPr>
          <w:ilvl w:val="0"/>
          <w:numId w:val="1012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1,693,800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proyectado 2034:</w:t>
      </w:r>
      <w:r>
        <w:t xml:space="preserve"> </w:t>
      </w:r>
      <w:r>
        <w:rPr>
          <w:bCs/>
          <w:b/>
        </w:rPr>
        <w:t xml:space="preserve">1,961,400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crecimiento: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vacantes anuales:</w:t>
      </w:r>
      <w:r>
        <w:t xml:space="preserve"> </w:t>
      </w:r>
      <w:r>
        <w:rPr>
          <w:bCs/>
          <w:b/>
        </w:rPr>
        <w:t xml:space="preserve">115,200</w:t>
      </w:r>
      <w:r>
        <w:t xml:space="preserve">.</w:t>
      </w:r>
    </w:p>
    <w:bookmarkEnd w:id="59"/>
    <w:bookmarkStart w:id="60" w:name="contexto-no-gubernamental-adyacente"/>
    <w:p>
      <w:pPr>
        <w:pStyle w:val="Heading3"/>
      </w:pPr>
      <w:r>
        <w:t xml:space="preserve">Contexto no gubernamental adyacente</w:t>
      </w:r>
    </w:p>
    <w:p>
      <w:pPr>
        <w:pStyle w:val="FirstParagraph"/>
      </w:pPr>
      <w:r>
        <w:t xml:space="preserve">La URL de Indeed para Software Developer redirige actualmente a</w:t>
      </w:r>
      <w:r>
        <w:t xml:space="preserve"> </w:t>
      </w:r>
      <w:r>
        <w:rPr>
          <w:bCs/>
          <w:b/>
        </w:rPr>
        <w:t xml:space="preserve">Software Engineer</w:t>
      </w:r>
      <w:r>
        <w:t xml:space="preserve">. La página, actualizada</w:t>
      </w:r>
      <w:r>
        <w:t xml:space="preserve"> </w:t>
      </w:r>
      <w:r>
        <w:rPr>
          <w:bCs/>
          <w:b/>
        </w:rPr>
        <w:t xml:space="preserve">10 de agosto de 2026</w:t>
      </w:r>
      <w:r>
        <w:t xml:space="preserve">, muestra aproximadamente:</w:t>
      </w:r>
    </w:p>
    <w:p>
      <w:pPr>
        <w:numPr>
          <w:ilvl w:val="0"/>
          <w:numId w:val="1013"/>
        </w:numPr>
        <w:pStyle w:val="Compact"/>
      </w:pPr>
      <w:r>
        <w:t xml:space="preserve">promedio</w:t>
      </w:r>
      <w:r>
        <w:t xml:space="preserve"> </w:t>
      </w:r>
      <w:r>
        <w:rPr>
          <w:bCs/>
          <w:b/>
        </w:rPr>
        <w:t xml:space="preserve">$135,356/año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bajo</w:t>
      </w:r>
      <w:r>
        <w:t xml:space="preserve"> </w:t>
      </w:r>
      <w:r>
        <w:rPr>
          <w:bCs/>
          <w:b/>
        </w:rPr>
        <w:t xml:space="preserve">$80,008/año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alto</w:t>
      </w:r>
      <w:r>
        <w:t xml:space="preserve"> </w:t>
      </w:r>
      <w:r>
        <w:rPr>
          <w:bCs/>
          <w:b/>
        </w:rPr>
        <w:t xml:space="preserve">$228,992/año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39.3 mil</w:t>
      </w:r>
      <w:r>
        <w:t xml:space="preserve"> </w:t>
      </w:r>
      <w:r>
        <w:t xml:space="preserve">observaciones;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36 meses</w:t>
      </w:r>
      <w:r>
        <w:t xml:space="preserve"> </w:t>
      </w:r>
      <w:r>
        <w:t xml:space="preserve">de ofertas;</w:t>
      </w:r>
    </w:p>
    <w:p>
      <w:pPr>
        <w:numPr>
          <w:ilvl w:val="0"/>
          <w:numId w:val="1013"/>
        </w:numPr>
        <w:pStyle w:val="Compact"/>
      </w:pPr>
      <w:r>
        <w:t xml:space="preserve">bonus en efectivo</w:t>
      </w:r>
      <w:r>
        <w:t xml:space="preserve"> </w:t>
      </w:r>
      <w:r>
        <w:rPr>
          <w:bCs/>
          <w:b/>
        </w:rPr>
        <w:t xml:space="preserve">$5,000/año</w:t>
      </w:r>
      <w:r>
        <w:t xml:space="preserve">.</w:t>
      </w:r>
    </w:p>
    <w:p>
      <w:pPr>
        <w:pStyle w:val="FirstParagraph"/>
      </w:pPr>
      <w:r>
        <w:t xml:space="preserve">Por la redirección, estos valores son solo contexto de mercado adyacente, no estadística exacta del título Software Developer ni fuente oficial.</w:t>
      </w:r>
    </w:p>
    <w:bookmarkEnd w:id="60"/>
    <w:bookmarkEnd w:id="61"/>
    <w:bookmarkStart w:id="62" w:name="secuencia-práctica"/>
    <w:p>
      <w:pPr>
        <w:pStyle w:val="Heading2"/>
      </w:pPr>
      <w:r>
        <w:t xml:space="preserve">Secuencia práctica</w:t>
      </w:r>
    </w:p>
    <w:p>
      <w:pPr>
        <w:numPr>
          <w:ilvl w:val="0"/>
          <w:numId w:val="1014"/>
        </w:numPr>
        <w:pStyle w:val="Compact"/>
      </w:pPr>
      <w:r>
        <w:t xml:space="preserve">Fundamentos: un lenguaje, Git, debugging, pruebas y estructuras básicas.</w:t>
      </w:r>
    </w:p>
    <w:p>
      <w:pPr>
        <w:numPr>
          <w:ilvl w:val="0"/>
          <w:numId w:val="1014"/>
        </w:numPr>
        <w:pStyle w:val="Compact"/>
      </w:pPr>
      <w:r>
        <w:t xml:space="preserve">Aplicaciones/datos: API o interfaz, persistencia, validación y errores.</w:t>
      </w:r>
    </w:p>
    <w:p>
      <w:pPr>
        <w:numPr>
          <w:ilvl w:val="0"/>
          <w:numId w:val="1014"/>
        </w:numPr>
        <w:pStyle w:val="Compact"/>
      </w:pPr>
      <w:r>
        <w:t xml:space="preserve">Ingeniería: review, CI, logging, configuración/secrets y dependencias.</w:t>
      </w:r>
    </w:p>
    <w:p>
      <w:pPr>
        <w:numPr>
          <w:ilvl w:val="0"/>
          <w:numId w:val="1014"/>
        </w:numPr>
        <w:pStyle w:val="Compact"/>
      </w:pPr>
      <w:r>
        <w:t xml:space="preserve">Producción: deployment, rollback, observabilidad, cloud, seguridad y rendimiento.</w:t>
      </w:r>
    </w:p>
    <w:p>
      <w:pPr>
        <w:numPr>
          <w:ilvl w:val="0"/>
          <w:numId w:val="1014"/>
        </w:numPr>
        <w:pStyle w:val="Compact"/>
      </w:pPr>
      <w:r>
        <w:t xml:space="preserve">Especialización: aplicaciones, back end, móvil, plataforma, cloud, embebido, datos u otro dominio.</w:t>
      </w:r>
    </w:p>
    <w:bookmarkEnd w:id="62"/>
    <w:bookmarkStart w:id="63" w:name="portafolio-seguro"/>
    <w:p>
      <w:pPr>
        <w:pStyle w:val="Heading2"/>
      </w:pPr>
      <w:r>
        <w:t xml:space="preserve">Portafolio seguro</w:t>
      </w:r>
    </w:p>
    <w:p>
      <w:pPr>
        <w:pStyle w:val="FirstParagraph"/>
      </w:pPr>
      <w:r>
        <w:t xml:space="preserve">Use software propio, open source, con licencia o demo y datos sintéticos/públicos. Muestre requisitos, decisiones de diseño, historial Git, APIs/datos, pruebas, configuración segura, CI, documentación y un deployment demo controlado.</w:t>
      </w:r>
    </w:p>
    <w:p>
      <w:pPr>
        <w:pStyle w:val="BodyText"/>
      </w:pPr>
      <w:r>
        <w:t xml:space="preserve">No publique código del empleador, datos de clientes, credenciales, infraestructura privada, endpoints internos o vulnerabilidades sin autorización.</w:t>
      </w:r>
    </w:p>
    <w:bookmarkEnd w:id="63"/>
    <w:bookmarkStart w:id="68" w:name="plan-de-cuatro-semanas"/>
    <w:p>
      <w:pPr>
        <w:pStyle w:val="Heading2"/>
      </w:pPr>
      <w:r>
        <w:t xml:space="preserve">Plan de cuatro semanas</w:t>
      </w:r>
    </w:p>
    <w:bookmarkStart w:id="64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Elija un lenguaje, cree programas pequeños y use Git y unit tests.</w:t>
      </w:r>
    </w:p>
    <w:bookmarkEnd w:id="64"/>
    <w:bookmarkStart w:id="65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Construya una aplicación/servicio con API/interfaz, persistencia, validación y manejo de errores.</w:t>
      </w:r>
    </w:p>
    <w:bookmarkEnd w:id="65"/>
    <w:bookmarkStart w:id="66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Agregue integration tests, logging estructurado, configuración de ambientes y un pipeline CI simple.</w:t>
      </w:r>
    </w:p>
    <w:bookmarkEnd w:id="66"/>
    <w:bookmarkStart w:id="67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Documente arquitectura, supuestos de seguridad y límites; cree una release demo controlada y bullets de currículum precisos.</w:t>
      </w:r>
    </w:p>
    <w:bookmarkEnd w:id="67"/>
    <w:bookmarkEnd w:id="68"/>
    <w:bookmarkStart w:id="69" w:name="títulos-de-búsqueda"/>
    <w:p>
      <w:pPr>
        <w:pStyle w:val="Heading2"/>
      </w:pPr>
      <w:r>
        <w:t xml:space="preserve">Títulos de búsqueda</w:t>
      </w:r>
    </w:p>
    <w:p>
      <w:pPr>
        <w:numPr>
          <w:ilvl w:val="0"/>
          <w:numId w:val="1015"/>
        </w:numPr>
        <w:pStyle w:val="Compact"/>
      </w:pPr>
      <w:r>
        <w:t xml:space="preserve">Software Developer;</w:t>
      </w:r>
    </w:p>
    <w:p>
      <w:pPr>
        <w:numPr>
          <w:ilvl w:val="0"/>
          <w:numId w:val="1015"/>
        </w:numPr>
        <w:pStyle w:val="Compact"/>
      </w:pPr>
      <w:r>
        <w:t xml:space="preserve">Junior Software Developer;</w:t>
      </w:r>
    </w:p>
    <w:p>
      <w:pPr>
        <w:numPr>
          <w:ilvl w:val="0"/>
          <w:numId w:val="1015"/>
        </w:numPr>
        <w:pStyle w:val="Compact"/>
      </w:pPr>
      <w:r>
        <w:t xml:space="preserve">Software Engineer;</w:t>
      </w:r>
    </w:p>
    <w:p>
      <w:pPr>
        <w:numPr>
          <w:ilvl w:val="0"/>
          <w:numId w:val="1015"/>
        </w:numPr>
        <w:pStyle w:val="Compact"/>
      </w:pPr>
      <w:r>
        <w:t xml:space="preserve">Application Developer;</w:t>
      </w:r>
    </w:p>
    <w:p>
      <w:pPr>
        <w:numPr>
          <w:ilvl w:val="0"/>
          <w:numId w:val="1015"/>
        </w:numPr>
        <w:pStyle w:val="Compact"/>
      </w:pPr>
      <w:r>
        <w:t xml:space="preserve">Back-End Developer;</w:t>
      </w:r>
    </w:p>
    <w:p>
      <w:pPr>
        <w:numPr>
          <w:ilvl w:val="0"/>
          <w:numId w:val="1015"/>
        </w:numPr>
        <w:pStyle w:val="Compact"/>
      </w:pPr>
      <w:r>
        <w:t xml:space="preserve">Platform Developer;</w:t>
      </w:r>
    </w:p>
    <w:p>
      <w:pPr>
        <w:numPr>
          <w:ilvl w:val="0"/>
          <w:numId w:val="1015"/>
        </w:numPr>
        <w:pStyle w:val="Compact"/>
      </w:pPr>
      <w:r>
        <w:t xml:space="preserve">Cloud Developer;</w:t>
      </w:r>
    </w:p>
    <w:p>
      <w:pPr>
        <w:numPr>
          <w:ilvl w:val="0"/>
          <w:numId w:val="1015"/>
        </w:numPr>
        <w:pStyle w:val="Compact"/>
      </w:pPr>
      <w:r>
        <w:t xml:space="preserve">Systems Developer;</w:t>
      </w:r>
    </w:p>
    <w:p>
      <w:pPr>
        <w:numPr>
          <w:ilvl w:val="0"/>
          <w:numId w:val="1015"/>
        </w:numPr>
        <w:pStyle w:val="Compact"/>
      </w:pPr>
      <w:r>
        <w:t xml:space="preserve">Integration Developer;</w:t>
      </w:r>
    </w:p>
    <w:p>
      <w:pPr>
        <w:numPr>
          <w:ilvl w:val="0"/>
          <w:numId w:val="1015"/>
        </w:numPr>
        <w:pStyle w:val="Compact"/>
      </w:pPr>
      <w:r>
        <w:t xml:space="preserve">Java Developer;</w:t>
      </w:r>
    </w:p>
    <w:p>
      <w:pPr>
        <w:numPr>
          <w:ilvl w:val="0"/>
          <w:numId w:val="1015"/>
        </w:numPr>
        <w:pStyle w:val="Compact"/>
      </w:pPr>
      <w:r>
        <w:t xml:space="preserve">Python Developer;</w:t>
      </w:r>
    </w:p>
    <w:p>
      <w:pPr>
        <w:numPr>
          <w:ilvl w:val="0"/>
          <w:numId w:val="1015"/>
        </w:numPr>
        <w:pStyle w:val="Compact"/>
      </w:pPr>
      <w:r>
        <w:t xml:space="preserve">.NET Developer;</w:t>
      </w:r>
    </w:p>
    <w:p>
      <w:pPr>
        <w:numPr>
          <w:ilvl w:val="0"/>
          <w:numId w:val="1015"/>
        </w:numPr>
        <w:pStyle w:val="Compact"/>
      </w:pPr>
      <w:r>
        <w:t xml:space="preserve">Mobile Developer;</w:t>
      </w:r>
    </w:p>
    <w:p>
      <w:pPr>
        <w:numPr>
          <w:ilvl w:val="0"/>
          <w:numId w:val="1015"/>
        </w:numPr>
        <w:pStyle w:val="Compact"/>
      </w:pPr>
      <w:r>
        <w:t xml:space="preserve">DevOps Engineer cuando el desarrollo sea central.</w:t>
      </w:r>
    </w:p>
    <w:bookmarkEnd w:id="69"/>
    <w:bookmarkStart w:id="70" w:name="preguntas-antes-de-aceptar-un-puesto"/>
    <w:p>
      <w:pPr>
        <w:pStyle w:val="Heading2"/>
      </w:pPr>
      <w:r>
        <w:t xml:space="preserve">Preguntas antes de aceptar un puesto</w:t>
      </w:r>
    </w:p>
    <w:p>
      <w:pPr>
        <w:numPr>
          <w:ilvl w:val="0"/>
          <w:numId w:val="1016"/>
        </w:numPr>
        <w:pStyle w:val="Compact"/>
      </w:pPr>
      <w:r>
        <w:t xml:space="preserve">¿Qué software posee el equipo?</w:t>
      </w:r>
    </w:p>
    <w:p>
      <w:pPr>
        <w:numPr>
          <w:ilvl w:val="0"/>
          <w:numId w:val="1016"/>
        </w:numPr>
        <w:pStyle w:val="Compact"/>
      </w:pPr>
      <w:r>
        <w:t xml:space="preserve">¿Qué lenguajes/frameworks se usan realmente?</w:t>
      </w:r>
    </w:p>
    <w:p>
      <w:pPr>
        <w:numPr>
          <w:ilvl w:val="0"/>
          <w:numId w:val="1016"/>
        </w:numPr>
        <w:pStyle w:val="Compact"/>
      </w:pPr>
      <w:r>
        <w:t xml:space="preserve">¿Cómo se toman decisiones de requisitos y arquitectura?</w:t>
      </w:r>
    </w:p>
    <w:p>
      <w:pPr>
        <w:numPr>
          <w:ilvl w:val="0"/>
          <w:numId w:val="1016"/>
        </w:numPr>
        <w:pStyle w:val="Compact"/>
      </w:pPr>
      <w:r>
        <w:t xml:space="preserve">¿Cómo funcionan code review y pruebas?</w:t>
      </w:r>
    </w:p>
    <w:p>
      <w:pPr>
        <w:numPr>
          <w:ilvl w:val="0"/>
          <w:numId w:val="1016"/>
        </w:numPr>
        <w:pStyle w:val="Compact"/>
      </w:pPr>
      <w:r>
        <w:t xml:space="preserve">¿Cómo se aprueban y revierten releases?</w:t>
      </w:r>
    </w:p>
    <w:p>
      <w:pPr>
        <w:numPr>
          <w:ilvl w:val="0"/>
          <w:numId w:val="1016"/>
        </w:numPr>
        <w:pStyle w:val="Compact"/>
      </w:pPr>
      <w:r>
        <w:t xml:space="preserve">¿Quién atiende incidentes/on-call?</w:t>
      </w:r>
    </w:p>
    <w:p>
      <w:pPr>
        <w:numPr>
          <w:ilvl w:val="0"/>
          <w:numId w:val="1016"/>
        </w:numPr>
        <w:pStyle w:val="Compact"/>
      </w:pPr>
      <w:r>
        <w:t xml:space="preserve">¿Cómo gestionan secretos y dependencias?</w:t>
      </w:r>
    </w:p>
    <w:p>
      <w:pPr>
        <w:numPr>
          <w:ilvl w:val="0"/>
          <w:numId w:val="1016"/>
        </w:numPr>
        <w:pStyle w:val="Compact"/>
      </w:pPr>
      <w:r>
        <w:t xml:space="preserve">¿Qué responsabilidades de seguridad/privacidad tiene desarrollo?</w:t>
      </w:r>
    </w:p>
    <w:p>
      <w:pPr>
        <w:numPr>
          <w:ilvl w:val="0"/>
          <w:numId w:val="1016"/>
        </w:numPr>
        <w:pStyle w:val="Compact"/>
      </w:pPr>
      <w:r>
        <w:t xml:space="preserve">¿Cómo priorizan deuda técnica?</w:t>
      </w:r>
    </w:p>
    <w:p>
      <w:pPr>
        <w:numPr>
          <w:ilvl w:val="0"/>
          <w:numId w:val="1016"/>
        </w:numPr>
        <w:pStyle w:val="Compact"/>
      </w:pPr>
      <w:r>
        <w:t xml:space="preserve">¿Qué distingue junior de senior?</w:t>
      </w:r>
    </w:p>
    <w:bookmarkEnd w:id="70"/>
    <w:bookmarkStart w:id="97" w:name="fuentes-y-enlaces-de-verificación"/>
    <w:p>
      <w:pPr>
        <w:pStyle w:val="Heading2"/>
      </w:pPr>
      <w:r>
        <w:t xml:space="preserve">Fuentes y enlaces de verificación</w:t>
      </w:r>
    </w:p>
    <w:bookmarkStart w:id="80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7"/>
        </w:numPr>
        <w:pStyle w:val="Compact"/>
      </w:pPr>
      <w:r>
        <w:t xml:space="preserve">O*NET details: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O*NET summary: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O*NET Job Zone: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O*NET wages: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O*NET outlook: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O*NET technologies: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CareerOneStop WIOA: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Apprenticeship.gov:</w:t>
      </w:r>
      <w:r>
        <w:t xml:space="preserve"> </w:t>
      </w:r>
      <w:hyperlink r:id="rId78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7"/>
        </w:numPr>
        <w:pStyle w:val="Compact"/>
      </w:pPr>
      <w:r>
        <w:t xml:space="preserve">Indeed contexto adyacente: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bookmarkEnd w:id="80"/>
    <w:bookmarkStart w:id="86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8"/>
        </w:numPr>
        <w:pStyle w:val="Compact"/>
      </w:pPr>
      <w:r>
        <w:t xml:space="preserve">Job Bank summary: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Job Bank requirements: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Job Bank wages: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Job Bank outlook: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Canada training: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bookmarkEnd w:id="86"/>
    <w:bookmarkStart w:id="90" w:name="colombia-y-américa-latina"/>
    <w:p>
      <w:pPr>
        <w:pStyle w:val="Heading3"/>
      </w:pPr>
      <w:r>
        <w:t xml:space="preserve">Colombia y América Latina</w:t>
      </w:r>
    </w:p>
    <w:p>
      <w:pPr>
        <w:numPr>
          <w:ilvl w:val="0"/>
          <w:numId w:val="1019"/>
        </w:numPr>
        <w:pStyle w:val="Compact"/>
      </w:pPr>
      <w:r>
        <w:t xml:space="preserve">CUOC 25120: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9"/>
        </w:numPr>
        <w:pStyle w:val="Compact"/>
      </w:pPr>
      <w:r>
        <w:t xml:space="preserve">SENA Análisis y desarrollo de software: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9"/>
        </w:numPr>
        <w:pStyle w:val="Compact"/>
      </w:pPr>
      <w:r>
        <w:t xml:space="preserve">OIT/Cinterfor:</w:t>
      </w:r>
      <w:r>
        <w:t xml:space="preserve"> </w:t>
      </w:r>
      <w:hyperlink r:id="rId89">
        <w:r>
          <w:rPr>
            <w:rStyle w:val="Hyperlink"/>
          </w:rPr>
          <w:t xml:space="preserve">https://www.oitcinterfor.org/statsfp/paises</w:t>
        </w:r>
      </w:hyperlink>
    </w:p>
    <w:bookmarkEnd w:id="90"/>
    <w:bookmarkStart w:id="96" w:name="seguridad-ia-y-accesibilidad"/>
    <w:p>
      <w:pPr>
        <w:pStyle w:val="Heading3"/>
      </w:pPr>
      <w:r>
        <w:t xml:space="preserve">Seguridad, IA y accesibilidad</w:t>
      </w:r>
    </w:p>
    <w:p>
      <w:pPr>
        <w:numPr>
          <w:ilvl w:val="0"/>
          <w:numId w:val="1020"/>
        </w:numPr>
        <w:pStyle w:val="Compact"/>
      </w:pPr>
      <w:r>
        <w:t xml:space="preserve">NIST SSDF:</w:t>
      </w:r>
      <w:r>
        <w:t xml:space="preserve"> </w:t>
      </w:r>
      <w:hyperlink r:id="rId91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20"/>
        </w:numPr>
        <w:pStyle w:val="Compact"/>
      </w:pPr>
      <w:r>
        <w:t xml:space="preserve">OWASP WSTG: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0"/>
        </w:numPr>
        <w:pStyle w:val="Compact"/>
      </w:pPr>
      <w:r>
        <w:t xml:space="preserve">NIST AI RMF: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0"/>
        </w:numPr>
        <w:pStyle w:val="Compact"/>
      </w:pPr>
      <w:r>
        <w:t xml:space="preserve">Section 508:</w:t>
      </w:r>
      <w:r>
        <w:t xml:space="preserve"> </w:t>
      </w:r>
      <w:hyperlink r:id="rId94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20"/>
        </w:numPr>
        <w:pStyle w:val="Compact"/>
      </w:pPr>
      <w:r>
        <w:t xml:space="preserve">WCAG 2.2:</w:t>
      </w:r>
      <w:r>
        <w:t xml:space="preserve"> </w:t>
      </w:r>
      <w:hyperlink r:id="rId95">
        <w:r>
          <w:rPr>
            <w:rStyle w:val="Hyperlink"/>
          </w:rPr>
          <w:t xml:space="preserve">https://www.w3.org/TR/WCAG22/</w:t>
        </w:r>
      </w:hyperlink>
    </w:p>
    <w:bookmarkEnd w:id="96"/>
    <w:bookmarkEnd w:id="97"/>
    <w:bookmarkStart w:id="98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Esta guía ofrece información general educativa y profesional. No garantiza empleo, ingresos, admisión, financiamiento, apprenticeship, certificación, ascenso, seguridad, accesibilidad ni otro resultado.</w:t>
      </w:r>
    </w:p>
    <w:p>
      <w:pPr>
        <w:pStyle w:val="BodyText"/>
      </w:pPr>
      <w:r>
        <w:t xml:space="preserve">No se afirma certificación humana independiente, acreditación profesional, revisión legal, evaluación de seguridad, certificación de accesibilidad, certificación cloud/vendor ni traducción certificada salvo documentación separada.</w:t>
      </w:r>
    </w:p>
    <w:bookmarkEnd w:id="98"/>
    <w:bookmarkStart w:id="99" w:name="autor-y-asistencia-de-ia"/>
    <w:p>
      <w:pPr>
        <w:pStyle w:val="Heading2"/>
      </w:pPr>
      <w:r>
        <w:t xml:space="preserve">Autor y asistencia de IA</w:t>
      </w:r>
    </w:p>
    <w:p>
      <w:pPr>
        <w:pStyle w:val="FirstParagraph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investigación, organización, edición, traducción y preparación documental bajo la dirección del autor. El autor conserva la responsabilidad editorial y de publicación.</w:t>
      </w:r>
    </w:p>
    <w:bookmarkEnd w:id="99"/>
    <w:bookmarkStart w:id="100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Salvo indicación contraria, este material está licenciado bajo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8" Target="https://betowa.sena.edu.co/oferta/analisis-y-desarrollo-de-software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7" Target="https://ocupacol.mintrabajo.gov.co/Profile/OccupationalProfile/2512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8" Target="https://www.apprenticeship.gov/" TargetMode="External" /><Relationship Type="http://schemas.openxmlformats.org/officeDocument/2006/relationships/hyperlink" Id="rId85" Target="https://www.canada.ca/en/services/jobs/training.html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79" Target="https://www.indeed.com/career/software-developer/salaries" TargetMode="External" /><Relationship Type="http://schemas.openxmlformats.org/officeDocument/2006/relationships/hyperlink" Id="rId84" Target="https://www.jobbank.gc.ca/marketreport/outlook-occupation/22548/ca" TargetMode="External" /><Relationship Type="http://schemas.openxmlformats.org/officeDocument/2006/relationships/hyperlink" Id="rId82" Target="https://www.jobbank.gc.ca/marketreport/requirements/22548/ca" TargetMode="External" /><Relationship Type="http://schemas.openxmlformats.org/officeDocument/2006/relationships/hyperlink" Id="rId81" Target="https://www.jobbank.gc.ca/marketreport/summary-occupation/22548/ca" TargetMode="External" /><Relationship Type="http://schemas.openxmlformats.org/officeDocument/2006/relationships/hyperlink" Id="rId83" Target="https://www.jobbank.gc.ca/marketreport/wages-occupation/22548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6" Target="https://www.onetonline.org/link/demand/15-1252.00" TargetMode="External" /><Relationship Type="http://schemas.openxmlformats.org/officeDocument/2006/relationships/hyperlink" Id="rId71" Target="https://www.onetonline.org/link/details/15-1252.00" TargetMode="External" /><Relationship Type="http://schemas.openxmlformats.org/officeDocument/2006/relationships/hyperlink" Id="rId75" Target="https://www.onetonline.org/link/localtrends/15-1252.00" TargetMode="External" /><Relationship Type="http://schemas.openxmlformats.org/officeDocument/2006/relationships/hyperlink" Id="rId74" Target="https://www.onetonline.org/link/localwages/15-1252.00" TargetMode="External" /><Relationship Type="http://schemas.openxmlformats.org/officeDocument/2006/relationships/hyperlink" Id="rId72" Target="https://www.onetonline.org/link/summary/15-1252.00" TargetMode="External" /><Relationship Type="http://schemas.openxmlformats.org/officeDocument/2006/relationships/hyperlink" Id="rId73" Target="https://www.onetonline.org/skills/zone/15-1252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betowa.sena.edu.co/oferta/analisis-y-desarrollo-de-software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7" Target="https://ocupacol.mintrabajo.gov.co/Profile/OccupationalProfile/2512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8" Target="https://www.apprenticeship.gov/" TargetMode="External" /><Relationship Type="http://schemas.openxmlformats.org/officeDocument/2006/relationships/hyperlink" Id="rId85" Target="https://www.canada.ca/en/services/jobs/training.html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79" Target="https://www.indeed.com/career/software-developer/salaries" TargetMode="External" /><Relationship Type="http://schemas.openxmlformats.org/officeDocument/2006/relationships/hyperlink" Id="rId84" Target="https://www.jobbank.gc.ca/marketreport/outlook-occupation/22548/ca" TargetMode="External" /><Relationship Type="http://schemas.openxmlformats.org/officeDocument/2006/relationships/hyperlink" Id="rId82" Target="https://www.jobbank.gc.ca/marketreport/requirements/22548/ca" TargetMode="External" /><Relationship Type="http://schemas.openxmlformats.org/officeDocument/2006/relationships/hyperlink" Id="rId81" Target="https://www.jobbank.gc.ca/marketreport/summary-occupation/22548/ca" TargetMode="External" /><Relationship Type="http://schemas.openxmlformats.org/officeDocument/2006/relationships/hyperlink" Id="rId83" Target="https://www.jobbank.gc.ca/marketreport/wages-occupation/22548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6" Target="https://www.onetonline.org/link/demand/15-1252.00" TargetMode="External" /><Relationship Type="http://schemas.openxmlformats.org/officeDocument/2006/relationships/hyperlink" Id="rId71" Target="https://www.onetonline.org/link/details/15-1252.00" TargetMode="External" /><Relationship Type="http://schemas.openxmlformats.org/officeDocument/2006/relationships/hyperlink" Id="rId75" Target="https://www.onetonline.org/link/localtrends/15-1252.00" TargetMode="External" /><Relationship Type="http://schemas.openxmlformats.org/officeDocument/2006/relationships/hyperlink" Id="rId74" Target="https://www.onetonline.org/link/localwages/15-1252.00" TargetMode="External" /><Relationship Type="http://schemas.openxmlformats.org/officeDocument/2006/relationships/hyperlink" Id="rId72" Target="https://www.onetonline.org/link/summary/15-1252.00" TargetMode="External" /><Relationship Type="http://schemas.openxmlformats.org/officeDocument/2006/relationships/hyperlink" Id="rId73" Target="https://www.onetonline.org/skills/zone/15-1252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2026-08-22T07:39:19Z</dcterms:created>
  <dcterms:modified xsi:type="dcterms:W3CDTF">2026-08-22T07:39:19Z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