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78741d99f0eb831903c0ecba29d314df1a497af"/>
    <w:p>
      <w:pPr>
        <w:pStyle w:val="Heading1"/>
      </w:pPr>
      <w:r>
        <w:t xml:space="preserve">Guía de Oportunidades para Toda la Vida 90 — Coordinador de Proyectos de Tecnología de la Información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maestra de trabajo controlada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funcional principal de EE. UU.:</w:t>
      </w:r>
      <w:r>
        <w:t xml:space="preserve"> </w:t>
      </w:r>
      <w:r>
        <w:t xml:space="preserve">O*NET-SOC 15-1299.09 — Information Technology Project Managers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21222 — Information systems specialists</w:t>
      </w:r>
      <w:r>
        <w:br/>
      </w:r>
      <w:r>
        <w:rPr>
          <w:bCs/>
          <w:b/>
        </w:rPr>
        <w:t xml:space="preserve">Comparación principal de Colombia:</w:t>
      </w:r>
      <w:r>
        <w:t xml:space="preserve"> </w:t>
      </w:r>
      <w:r>
        <w:t xml:space="preserve">CUOC 25190 — incluye Coordinador de proyecto informático</w:t>
      </w:r>
      <w:r>
        <w:br/>
      </w:r>
      <w:r>
        <w:rPr>
          <w:bCs/>
          <w:b/>
        </w:rPr>
        <w:t xml:space="preserve">Comparación adyacente de Colombia:</w:t>
      </w:r>
      <w:r>
        <w:t xml:space="preserve"> </w:t>
      </w:r>
      <w:r>
        <w:t xml:space="preserve">CUOC 25110 — incluye Analista de proyecto TI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856d4fa00b0f62ca89791b486953fff7f343c888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Coordinador de Proyectos de Tecnología de la Información ayuda a que el trabajo tecnológico avance desde la planificación hasta la entrega. El puesto suele apoyar cronogramas, hitos, reuniones, acciones, dependencias, documentación, reportes de estado, riesgos, problemas, requisitos, preparación para pruebas/liberación, proveedores y comunicación con partes interesadas.</w:t>
      </w:r>
    </w:p>
    <w:p>
      <w:pPr>
        <w:pStyle w:val="BodyText"/>
      </w:pPr>
      <w:r>
        <w:t xml:space="preserve">La palabra</w:t>
      </w:r>
      <w:r>
        <w:t xml:space="preserve"> </w:t>
      </w:r>
      <w:r>
        <w:rPr>
          <w:bCs/>
          <w:b/>
        </w:rPr>
        <w:t xml:space="preserve">coordinador</w:t>
      </w:r>
      <w:r>
        <w:t xml:space="preserve"> </w:t>
      </w:r>
      <w:r>
        <w:t xml:space="preserve">importa. Algunas organizaciones asignan responsabilidades amplias; otras usan el título como función inicial de soporte de entrega. Coordinar controles del proyecto no implica automáticamente autoridad sobre presupuesto, contratación, arquitectura, compras, excepciones de seguridad o liberaciones a producción.</w:t>
      </w:r>
    </w:p>
    <w:p>
      <w:pPr>
        <w:pStyle w:val="BodyText"/>
      </w:pPr>
      <w:r>
        <w:t xml:space="preserve">Estados Unidos tiene como mejor referencia funcional</w:t>
      </w:r>
      <w:r>
        <w:t xml:space="preserve"> </w:t>
      </w:r>
      <w:r>
        <w:rPr>
          <w:bCs/>
          <w:b/>
        </w:rPr>
        <w:t xml:space="preserve">O*NET-SOC 15-1299.09 — Information Technology Project Managers</w:t>
      </w:r>
      <w:r>
        <w:t xml:space="preserve">, Bright Outlook y actualizada en 2026. Job Bank de Canadá mapea directamente</w:t>
      </w:r>
      <w:r>
        <w:t xml:space="preserve"> </w:t>
      </w:r>
      <w:r>
        <w:rPr>
          <w:iCs/>
          <w:i/>
        </w:rPr>
        <w:t xml:space="preserve">project coordinator - information technology (IT)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NOC 21222 — Information systems specialists</w:t>
      </w:r>
      <w:r>
        <w:t xml:space="preserve">. En Colombia,</w:t>
      </w:r>
      <w:r>
        <w:t xml:space="preserve"> </w:t>
      </w:r>
      <w:r>
        <w:rPr>
          <w:bCs/>
          <w:b/>
        </w:rPr>
        <w:t xml:space="preserve">CUOC 25190</w:t>
      </w:r>
      <w:r>
        <w:t xml:space="preserve"> </w:t>
      </w:r>
      <w:r>
        <w:t xml:space="preserve">incluye explícitamente</w:t>
      </w:r>
      <w:r>
        <w:t xml:space="preserve"> </w:t>
      </w:r>
      <w:r>
        <w:rPr>
          <w:iCs/>
          <w:i/>
        </w:rPr>
        <w:t xml:space="preserve">Coordinador de proyecto informático</w:t>
      </w:r>
      <w:r>
        <w:t xml:space="preserve">;</w:t>
      </w:r>
      <w:r>
        <w:t xml:space="preserve"> </w:t>
      </w:r>
      <w:r>
        <w:rPr>
          <w:bCs/>
          <w:b/>
        </w:rPr>
        <w:t xml:space="preserve">CUOC 25110</w:t>
      </w:r>
      <w:r>
        <w:t xml:space="preserve"> </w:t>
      </w:r>
      <w:r>
        <w:t xml:space="preserve">incluye el título adyacente</w:t>
      </w:r>
      <w:r>
        <w:t xml:space="preserve"> </w:t>
      </w:r>
      <w:r>
        <w:rPr>
          <w:iCs/>
          <w:i/>
        </w:rPr>
        <w:t xml:space="preserve">Analista de proyecto TI</w:t>
      </w:r>
      <w:r>
        <w:t xml:space="preserve">.</w:t>
      </w:r>
    </w:p>
    <w:bookmarkEnd w:id="20"/>
    <w:bookmarkStart w:id="26" w:name="diferencia-frente-a-puestos-relacionados"/>
    <w:p>
      <w:pPr>
        <w:pStyle w:val="Heading2"/>
      </w:pPr>
      <w:r>
        <w:t xml:space="preserve">Diferencia frente a puestos relacionados</w:t>
      </w:r>
    </w:p>
    <w:bookmarkStart w:id="21" w:name="coordinador-de-proyecto-ti"/>
    <w:p>
      <w:pPr>
        <w:pStyle w:val="Heading3"/>
      </w:pPr>
      <w:r>
        <w:t xml:space="preserve">Coordinador de Proyecto TI</w:t>
      </w:r>
    </w:p>
    <w:p>
      <w:pPr>
        <w:pStyle w:val="FirstParagraph"/>
      </w:pPr>
      <w:r>
        <w:t xml:space="preserve">Apoya o coordina planes, fechas, acciones, dependencias, evidencia, comunicaciones, reuniones y reportes dentro de la autoridad asignada.</w:t>
      </w:r>
    </w:p>
    <w:bookmarkEnd w:id="21"/>
    <w:bookmarkStart w:id="22" w:name="gerentejefe-de-proyecto-ti"/>
    <w:p>
      <w:pPr>
        <w:pStyle w:val="Heading3"/>
      </w:pPr>
      <w:r>
        <w:t xml:space="preserve">Gerente/Jefe de Proyecto TI</w:t>
      </w:r>
    </w:p>
    <w:p>
      <w:pPr>
        <w:pStyle w:val="FirstParagraph"/>
      </w:pPr>
      <w:r>
        <w:t xml:space="preserve">Suele tener mayor responsabilidad sobre alcance, cronograma, presupuesto, riesgos, partes interesadas, recursos y decisiones de entrega.</w:t>
      </w:r>
    </w:p>
    <w:bookmarkEnd w:id="22"/>
    <w:bookmarkStart w:id="23" w:name="program-manager"/>
    <w:p>
      <w:pPr>
        <w:pStyle w:val="Heading3"/>
      </w:pPr>
      <w:r>
        <w:t xml:space="preserve">Program Manager</w:t>
      </w:r>
    </w:p>
    <w:p>
      <w:pPr>
        <w:pStyle w:val="FirstParagraph"/>
      </w:pPr>
      <w:r>
        <w:t xml:space="preserve">Coordina varios proyectos o workstreams relacionados hacia resultados más amplios.</w:t>
      </w:r>
    </w:p>
    <w:bookmarkEnd w:id="23"/>
    <w:bookmarkStart w:id="24" w:name="scrum-master"/>
    <w:p>
      <w:pPr>
        <w:pStyle w:val="Heading3"/>
      </w:pPr>
      <w:r>
        <w:t xml:space="preserve">Scrum Master</w:t>
      </w:r>
    </w:p>
    <w:p>
      <w:pPr>
        <w:pStyle w:val="FirstParagraph"/>
      </w:pPr>
      <w:r>
        <w:t xml:space="preserve">Facilita prácticas Scrum y el flujo del equipo cuando Scrum realmente se utiliza. No posee automáticamente presupuesto, prioridad de producto ni todas las decisiones del proyecto.</w:t>
      </w:r>
    </w:p>
    <w:bookmarkEnd w:id="24"/>
    <w:bookmarkStart w:id="25" w:name="product-manager--product-owner"/>
    <w:p>
      <w:pPr>
        <w:pStyle w:val="Heading3"/>
      </w:pPr>
      <w:r>
        <w:t xml:space="preserve">Product Manager / Product Owner</w:t>
      </w:r>
    </w:p>
    <w:p>
      <w:pPr>
        <w:pStyle w:val="FirstParagraph"/>
      </w:pPr>
      <w:r>
        <w:t xml:space="preserve">Se enfoca en valor de producto, prioridades, requisitos/backlog y resultados para usuarios según el modelo de la organización.</w:t>
      </w:r>
    </w:p>
    <w:p>
      <w:pPr>
        <w:pStyle w:val="BodyText"/>
      </w:pPr>
      <w:r>
        <w:t xml:space="preserve">Los títulos cambian entre empleadores. Revise funciones y derechos de decisión reales.</w:t>
      </w:r>
    </w:p>
    <w:bookmarkEnd w:id="25"/>
    <w:bookmarkEnd w:id="26"/>
    <w:bookmarkStart w:id="27" w:name="defina-el-proyecto-antes-de-controlarlo"/>
    <w:p>
      <w:pPr>
        <w:pStyle w:val="Heading2"/>
      </w:pPr>
      <w:r>
        <w:t xml:space="preserve">Defina el proyecto antes de controlarlo</w:t>
      </w:r>
    </w:p>
    <w:p>
      <w:pPr>
        <w:pStyle w:val="FirstParagraph"/>
      </w:pPr>
      <w:r>
        <w:t xml:space="preserve">Confirme o documente:</w:t>
      </w:r>
    </w:p>
    <w:p>
      <w:pPr>
        <w:numPr>
          <w:ilvl w:val="0"/>
          <w:numId w:val="1001"/>
        </w:numPr>
        <w:pStyle w:val="Compact"/>
      </w:pPr>
      <w:r>
        <w:t xml:space="preserve">objetivo y resultado esperado;</w:t>
      </w:r>
    </w:p>
    <w:p>
      <w:pPr>
        <w:numPr>
          <w:ilvl w:val="0"/>
          <w:numId w:val="1001"/>
        </w:numPr>
        <w:pStyle w:val="Compact"/>
      </w:pPr>
      <w:r>
        <w:t xml:space="preserve">patrocinador o responsable;</w:t>
      </w:r>
    </w:p>
    <w:p>
      <w:pPr>
        <w:numPr>
          <w:ilvl w:val="0"/>
          <w:numId w:val="1001"/>
        </w:numPr>
        <w:pStyle w:val="Compact"/>
      </w:pPr>
      <w:r>
        <w:t xml:space="preserve">alcance y exclusiones;</w:t>
      </w:r>
    </w:p>
    <w:p>
      <w:pPr>
        <w:numPr>
          <w:ilvl w:val="0"/>
          <w:numId w:val="1001"/>
        </w:numPr>
        <w:pStyle w:val="Compact"/>
      </w:pPr>
      <w:r>
        <w:t xml:space="preserve">entregables principales;</w:t>
      </w:r>
    </w:p>
    <w:p>
      <w:pPr>
        <w:numPr>
          <w:ilvl w:val="0"/>
          <w:numId w:val="1001"/>
        </w:numPr>
        <w:pStyle w:val="Compact"/>
      </w:pPr>
      <w:r>
        <w:t xml:space="preserve">hitos y fechas objetivo;</w:t>
      </w:r>
    </w:p>
    <w:p>
      <w:pPr>
        <w:numPr>
          <w:ilvl w:val="0"/>
          <w:numId w:val="1001"/>
        </w:numPr>
        <w:pStyle w:val="Compact"/>
      </w:pPr>
      <w:r>
        <w:t xml:space="preserve">dependencias y restricciones;</w:t>
      </w:r>
    </w:p>
    <w:p>
      <w:pPr>
        <w:numPr>
          <w:ilvl w:val="0"/>
          <w:numId w:val="1001"/>
        </w:numPr>
        <w:pStyle w:val="Compact"/>
      </w:pPr>
      <w:r>
        <w:t xml:space="preserve">supuestos de presupuesto/recursos cuando correspondan al rol;</w:t>
      </w:r>
    </w:p>
    <w:p>
      <w:pPr>
        <w:numPr>
          <w:ilvl w:val="0"/>
          <w:numId w:val="1001"/>
        </w:numPr>
        <w:pStyle w:val="Compact"/>
      </w:pPr>
      <w:r>
        <w:t xml:space="preserve">criterios de calidad y aceptación;</w:t>
      </w:r>
    </w:p>
    <w:p>
      <w:pPr>
        <w:numPr>
          <w:ilvl w:val="0"/>
          <w:numId w:val="1001"/>
        </w:numPr>
        <w:pStyle w:val="Compact"/>
      </w:pPr>
      <w:r>
        <w:t xml:space="preserve">gobernanza y derechos de decisión;</w:t>
      </w:r>
    </w:p>
    <w:p>
      <w:pPr>
        <w:numPr>
          <w:ilvl w:val="0"/>
          <w:numId w:val="1001"/>
        </w:numPr>
        <w:pStyle w:val="Compact"/>
      </w:pPr>
      <w:r>
        <w:t xml:space="preserve">requisitos de seguridad, privacidad, accesibilidad o cumplimiento;</w:t>
      </w:r>
    </w:p>
    <w:p>
      <w:pPr>
        <w:numPr>
          <w:ilvl w:val="0"/>
          <w:numId w:val="1001"/>
        </w:numPr>
        <w:pStyle w:val="Compact"/>
      </w:pPr>
      <w:r>
        <w:t xml:space="preserve">frecuencia y audiencia de reportes;</w:t>
      </w:r>
    </w:p>
    <w:p>
      <w:pPr>
        <w:numPr>
          <w:ilvl w:val="0"/>
          <w:numId w:val="1001"/>
        </w:numPr>
        <w:pStyle w:val="Compact"/>
      </w:pPr>
      <w:r>
        <w:t xml:space="preserve">definición de terminado.</w:t>
      </w:r>
    </w:p>
    <w:p>
      <w:pPr>
        <w:pStyle w:val="FirstParagraph"/>
      </w:pPr>
      <w:r>
        <w:t xml:space="preserve">Si algo es ambiguo, documente y escale. No invente alcance o aprobación.</w:t>
      </w:r>
    </w:p>
    <w:bookmarkEnd w:id="27"/>
    <w:bookmarkStart w:id="28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Controle objetivos aprobados, entregables, sistemas/equipos incluidos, exclusiones, supuestos, restricciones, criterios de aceptación e historial de cambios.</w:t>
      </w:r>
    </w:p>
    <w:p>
      <w:pPr>
        <w:pStyle w:val="BodyText"/>
      </w:pPr>
      <w:r>
        <w:t xml:space="preserve">No agregue trabajo, elimine requisitos ni redefina “terminado” silenciosamente para que el proyecto parezca más avanzado.</w:t>
      </w:r>
    </w:p>
    <w:bookmarkEnd w:id="28"/>
    <w:bookmarkStart w:id="29" w:name="cronograma-hitos-y-dependencias"/>
    <w:p>
      <w:pPr>
        <w:pStyle w:val="Heading2"/>
      </w:pPr>
      <w:r>
        <w:t xml:space="preserve">Cronograma, hitos y dependencias</w:t>
      </w:r>
    </w:p>
    <w:p>
      <w:pPr>
        <w:pStyle w:val="FirstParagraph"/>
      </w:pPr>
      <w:r>
        <w:t xml:space="preserve">Un cronograma útil puede mostrar:</w:t>
      </w:r>
    </w:p>
    <w:p>
      <w:pPr>
        <w:numPr>
          <w:ilvl w:val="0"/>
          <w:numId w:val="1002"/>
        </w:numPr>
        <w:pStyle w:val="Compact"/>
      </w:pPr>
      <w:r>
        <w:t xml:space="preserve">actividad o entregable;</w:t>
      </w:r>
    </w:p>
    <w:p>
      <w:pPr>
        <w:numPr>
          <w:ilvl w:val="0"/>
          <w:numId w:val="1002"/>
        </w:numPr>
        <w:pStyle w:val="Compact"/>
      </w:pPr>
      <w:r>
        <w:t xml:space="preserve">responsable;</w:t>
      </w:r>
    </w:p>
    <w:p>
      <w:pPr>
        <w:numPr>
          <w:ilvl w:val="0"/>
          <w:numId w:val="1002"/>
        </w:numPr>
        <w:pStyle w:val="Compact"/>
      </w:pPr>
      <w:r>
        <w:t xml:space="preserve">inicio/fin planificado cuando aplique;</w:t>
      </w:r>
    </w:p>
    <w:p>
      <w:pPr>
        <w:numPr>
          <w:ilvl w:val="0"/>
          <w:numId w:val="1002"/>
        </w:numPr>
        <w:pStyle w:val="Compact"/>
      </w:pPr>
      <w:r>
        <w:t xml:space="preserve">pronóstico actual;</w:t>
      </w:r>
    </w:p>
    <w:p>
      <w:pPr>
        <w:numPr>
          <w:ilvl w:val="0"/>
          <w:numId w:val="1002"/>
        </w:numPr>
        <w:pStyle w:val="Compact"/>
      </w:pPr>
      <w:r>
        <w:t xml:space="preserve">predecesor/dependencia;</w:t>
      </w:r>
    </w:p>
    <w:p>
      <w:pPr>
        <w:numPr>
          <w:ilvl w:val="0"/>
          <w:numId w:val="1002"/>
        </w:numPr>
        <w:pStyle w:val="Compact"/>
      </w:pPr>
      <w:r>
        <w:t xml:space="preserve">hito;</w:t>
      </w:r>
    </w:p>
    <w:p>
      <w:pPr>
        <w:numPr>
          <w:ilvl w:val="0"/>
          <w:numId w:val="1002"/>
        </w:numPr>
        <w:pStyle w:val="Compact"/>
      </w:pPr>
      <w:r>
        <w:t xml:space="preserve">estado;</w:t>
      </w:r>
    </w:p>
    <w:p>
      <w:pPr>
        <w:numPr>
          <w:ilvl w:val="0"/>
          <w:numId w:val="1002"/>
        </w:numPr>
        <w:pStyle w:val="Compact"/>
      </w:pPr>
      <w:r>
        <w:t xml:space="preserve">bloqueo;</w:t>
      </w:r>
    </w:p>
    <w:p>
      <w:pPr>
        <w:numPr>
          <w:ilvl w:val="0"/>
          <w:numId w:val="1002"/>
        </w:numPr>
        <w:pStyle w:val="Compact"/>
      </w:pPr>
      <w:r>
        <w:t xml:space="preserve">aprobación o handoff requerido.</w:t>
      </w:r>
    </w:p>
    <w:p>
      <w:pPr>
        <w:pStyle w:val="FirstParagraph"/>
      </w:pPr>
      <w:r>
        <w:t xml:space="preserve">Fecha objetivo y pronóstico actual no son lo mismo. Si la evidencia indica retraso probable, reporte el pronóstico y la causa en lugar de alterar la línea base sin autorización.</w:t>
      </w:r>
    </w:p>
    <w:bookmarkEnd w:id="29"/>
    <w:bookmarkStart w:id="30" w:name="wbs-backlog-y-flujo"/>
    <w:p>
      <w:pPr>
        <w:pStyle w:val="Heading2"/>
      </w:pPr>
      <w:r>
        <w:t xml:space="preserve">WBS, backlog y flujo</w:t>
      </w:r>
    </w:p>
    <w:p>
      <w:pPr>
        <w:pStyle w:val="FirstParagraph"/>
      </w:pPr>
      <w:r>
        <w:t xml:space="preserve">Según el método, el equipo puede usar WBS, épicas/features/stories/tasks, Kanban, sprint backlog, planes de hitos, stage gates, release trains o mapas de dependencias.</w:t>
      </w:r>
    </w:p>
    <w:p>
      <w:pPr>
        <w:pStyle w:val="BodyText"/>
      </w:pPr>
      <w:r>
        <w:t xml:space="preserve">El coordinador debe comprender el método elegido sin asumir que un marco es universal.</w:t>
      </w:r>
    </w:p>
    <w:bookmarkEnd w:id="30"/>
    <w:bookmarkStart w:id="31" w:name="X5a667854fb0b6d2fa7e2cef55e1e1628b631973"/>
    <w:p>
      <w:pPr>
        <w:pStyle w:val="Heading2"/>
      </w:pPr>
      <w:r>
        <w:t xml:space="preserve">RAID: riesgos, supuestos, problemas y dependencias</w:t>
      </w:r>
    </w:p>
    <w:p>
      <w:pPr>
        <w:pStyle w:val="FirstParagraph"/>
      </w:pPr>
      <w:r>
        <w:t xml:space="preserve">Un registro práctico puede incluir ID, tipo, descripción, impacto, probabilidad cuando aplique, responsable, respuesta/acción, fecha objetivo/revisión, estado y escalamiento.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evento futuro posible que puede afectar objetivos.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condición que ya ocurrió o está ocurriendo.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Supuesto:</w:t>
      </w:r>
      <w:r>
        <w:t xml:space="preserve"> </w:t>
      </w:r>
      <w:r>
        <w:t xml:space="preserve">condición utilizada para planificar y que puede requerir validación.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Dependencia:</w:t>
      </w:r>
      <w:r>
        <w:t xml:space="preserve"> </w:t>
      </w:r>
      <w:r>
        <w:t xml:space="preserve">algo que el proyecto necesita de otro actor/sistema o que otros necesitan del proyecto.</w:t>
      </w:r>
    </w:p>
    <w:p>
      <w:pPr>
        <w:pStyle w:val="FirstParagraph"/>
      </w:pPr>
      <w:r>
        <w:t xml:space="preserve">No oculte riesgos graves para evitar una conversación difícil.</w:t>
      </w:r>
    </w:p>
    <w:bookmarkEnd w:id="31"/>
    <w:bookmarkStart w:id="32" w:name="registros-de-acciones-y-decisiones"/>
    <w:p>
      <w:pPr>
        <w:pStyle w:val="Heading2"/>
      </w:pPr>
      <w:r>
        <w:t xml:space="preserve">Registros de acciones y decisiones</w:t>
      </w:r>
    </w:p>
    <w:p>
      <w:pPr>
        <w:pStyle w:val="FirstParagraph"/>
      </w:pPr>
      <w:r>
        <w:t xml:space="preserve">Una acción debe tener responsable, fecha y estado. Una decisión debe identificar decisión, fecha y autoridad/foro correspondiente, además de impacto cuando sea útil.</w:t>
      </w:r>
    </w:p>
    <w:p>
      <w:pPr>
        <w:pStyle w:val="BodyText"/>
      </w:pPr>
      <w:r>
        <w:t xml:space="preserve">No registre una propuesta como decisión aprobada.</w:t>
      </w:r>
    </w:p>
    <w:bookmarkEnd w:id="32"/>
    <w:bookmarkStart w:id="33" w:name="reuniones-útiles"/>
    <w:p>
      <w:pPr>
        <w:pStyle w:val="Heading2"/>
      </w:pPr>
      <w:r>
        <w:t xml:space="preserve">Reuniones útiles</w:t>
      </w:r>
    </w:p>
    <w:p>
      <w:pPr>
        <w:pStyle w:val="FirstParagraph"/>
      </w:pPr>
      <w:r>
        <w:t xml:space="preserve">Use propósito claro, asistentes necesarios, agenda, prelectura cuando sea útil, tiempo limitado, decisiones, acciones con responsable/fecha, preguntas abiertas y escalaciones.</w:t>
      </w:r>
    </w:p>
    <w:p>
      <w:pPr>
        <w:pStyle w:val="BodyText"/>
      </w:pPr>
      <w:r>
        <w:t xml:space="preserve">La cantidad de reuniones no demuestra avance.</w:t>
      </w:r>
    </w:p>
    <w:bookmarkEnd w:id="33"/>
    <w:bookmarkStart w:id="34" w:name="estado-basado-en-evidencia"/>
    <w:p>
      <w:pPr>
        <w:pStyle w:val="Heading2"/>
      </w:pPr>
      <w:r>
        <w:t xml:space="preserve">Estado basado en evidencia</w:t>
      </w:r>
    </w:p>
    <w:p>
      <w:pPr>
        <w:pStyle w:val="FirstParagraph"/>
      </w:pPr>
      <w:r>
        <w:t xml:space="preserve">Un reporte debe apoyarse en información real como:</w:t>
      </w:r>
    </w:p>
    <w:p>
      <w:pPr>
        <w:numPr>
          <w:ilvl w:val="0"/>
          <w:numId w:val="1004"/>
        </w:numPr>
        <w:pStyle w:val="Compact"/>
      </w:pPr>
      <w:r>
        <w:t xml:space="preserve">entregables terminados/aceptados;</w:t>
      </w:r>
    </w:p>
    <w:p>
      <w:pPr>
        <w:numPr>
          <w:ilvl w:val="0"/>
          <w:numId w:val="1004"/>
        </w:numPr>
        <w:pStyle w:val="Compact"/>
      </w:pPr>
      <w:r>
        <w:t xml:space="preserve">progreso de hitos;</w:t>
      </w:r>
    </w:p>
    <w:p>
      <w:pPr>
        <w:numPr>
          <w:ilvl w:val="0"/>
          <w:numId w:val="1004"/>
        </w:numPr>
        <w:pStyle w:val="Compact"/>
      </w:pPr>
      <w:r>
        <w:t xml:space="preserve">pronóstico de fechas;</w:t>
      </w:r>
    </w:p>
    <w:p>
      <w:pPr>
        <w:numPr>
          <w:ilvl w:val="0"/>
          <w:numId w:val="1004"/>
        </w:numPr>
        <w:pStyle w:val="Compact"/>
      </w:pPr>
      <w:r>
        <w:t xml:space="preserve">costos si corresponde al rol;</w:t>
      </w:r>
    </w:p>
    <w:p>
      <w:pPr>
        <w:numPr>
          <w:ilvl w:val="0"/>
          <w:numId w:val="1004"/>
        </w:numPr>
        <w:pStyle w:val="Compact"/>
      </w:pPr>
      <w:r>
        <w:t xml:space="preserve">riesgos y problemas;</w:t>
      </w:r>
    </w:p>
    <w:p>
      <w:pPr>
        <w:numPr>
          <w:ilvl w:val="0"/>
          <w:numId w:val="1004"/>
        </w:numPr>
        <w:pStyle w:val="Compact"/>
      </w:pPr>
      <w:r>
        <w:t xml:space="preserve">dependencias;</w:t>
      </w:r>
    </w:p>
    <w:p>
      <w:pPr>
        <w:numPr>
          <w:ilvl w:val="0"/>
          <w:numId w:val="1004"/>
        </w:numPr>
        <w:pStyle w:val="Compact"/>
      </w:pPr>
      <w:r>
        <w:t xml:space="preserve">resultados de pruebas/calidad;</w:t>
      </w:r>
    </w:p>
    <w:p>
      <w:pPr>
        <w:numPr>
          <w:ilvl w:val="0"/>
          <w:numId w:val="1004"/>
        </w:numPr>
        <w:pStyle w:val="Compact"/>
      </w:pPr>
      <w:r>
        <w:t xml:space="preserve">aprobaciones;</w:t>
      </w:r>
    </w:p>
    <w:p>
      <w:pPr>
        <w:numPr>
          <w:ilvl w:val="0"/>
          <w:numId w:val="1004"/>
        </w:numPr>
        <w:pStyle w:val="Compact"/>
      </w:pPr>
      <w:r>
        <w:t xml:space="preserve">compromisos de proveedores;</w:t>
      </w:r>
    </w:p>
    <w:p>
      <w:pPr>
        <w:numPr>
          <w:ilvl w:val="0"/>
          <w:numId w:val="1004"/>
        </w:numPr>
        <w:pStyle w:val="Compact"/>
      </w:pPr>
      <w:r>
        <w:t xml:space="preserve">incidentes o restricciones operativas;</w:t>
      </w:r>
    </w:p>
    <w:p>
      <w:pPr>
        <w:numPr>
          <w:ilvl w:val="0"/>
          <w:numId w:val="1004"/>
        </w:numPr>
        <w:pStyle w:val="Compact"/>
      </w:pPr>
      <w:r>
        <w:t xml:space="preserve">decisiones requeridas.</w:t>
      </w:r>
    </w:p>
    <w:p>
      <w:pPr>
        <w:pStyle w:val="FirstParagraph"/>
      </w:pPr>
      <w:r>
        <w:t xml:space="preserve">Evite el</w:t>
      </w:r>
      <w:r>
        <w:t xml:space="preserve"> </w:t>
      </w:r>
      <w:r>
        <w:rPr>
          <w:bCs/>
          <w:b/>
        </w:rPr>
        <w:t xml:space="preserve">greenwashing del estado</w:t>
      </w:r>
      <w:r>
        <w:t xml:space="preserve">: no esconda riesgos materiales ni cambie métricas para que un proyecto problemático parezca saludable.</w:t>
      </w:r>
    </w:p>
    <w:bookmarkEnd w:id="34"/>
    <w:bookmarkStart w:id="35" w:name="rag"/>
    <w:p>
      <w:pPr>
        <w:pStyle w:val="Heading2"/>
      </w:pPr>
      <w:r>
        <w:t xml:space="preserve">RAG</w:t>
      </w:r>
    </w:p>
    <w:p>
      <w:pPr>
        <w:pStyle w:val="FirstParagraph"/>
      </w:pPr>
      <w:r>
        <w:t xml:space="preserve">Si la organización usa rojo/ámbar/verde, siga definiciones verificables. “Verde” no significa ausencia de riesgos.</w:t>
      </w:r>
    </w:p>
    <w:bookmarkEnd w:id="35"/>
    <w:bookmarkStart w:id="36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Un cambio puede afectar alcance, requisitos, cronograma, costo, recursos, arquitectura, seguridad/privacidad, pruebas, contratos, despliegue o criterios de aceptación.</w:t>
      </w:r>
    </w:p>
    <w:p>
      <w:pPr>
        <w:pStyle w:val="BodyText"/>
      </w:pPr>
      <w:r>
        <w:t xml:space="preserve">Registre solicitud, razón, impacto, opciones, líneas base afectadas, decisión/aprobación, implementación y seguimiento.</w:t>
      </w:r>
    </w:p>
    <w:p>
      <w:pPr>
        <w:pStyle w:val="BodyText"/>
      </w:pPr>
      <w:r>
        <w:t xml:space="preserve">El coordinador puede preparar y enrutar el cambio sin ser la autoridad que lo aprueba.</w:t>
      </w:r>
    </w:p>
    <w:bookmarkEnd w:id="36"/>
    <w:bookmarkStart w:id="37" w:name="requisitos-trazabilidad-y-aceptación"/>
    <w:p>
      <w:pPr>
        <w:pStyle w:val="Heading2"/>
      </w:pPr>
      <w:r>
        <w:t xml:space="preserve">Requisitos, trazabilidad y aceptación</w:t>
      </w:r>
    </w:p>
    <w:p>
      <w:pPr>
        <w:pStyle w:val="FirstParagraph"/>
      </w:pPr>
      <w:r>
        <w:t xml:space="preserve">Cuando sea útil conecte:</w:t>
      </w:r>
    </w:p>
    <w:p>
      <w:pPr>
        <w:pStyle w:val="BodyText"/>
      </w:pPr>
      <w:r>
        <w:rPr>
          <w:bCs/>
          <w:b/>
        </w:rPr>
        <w:t xml:space="preserve">requisito → responsable → diseño/work item → prueba/evidencia → aceptación</w:t>
      </w:r>
    </w:p>
    <w:p>
      <w:pPr>
        <w:pStyle w:val="BodyText"/>
      </w:pPr>
      <w:r>
        <w:t xml:space="preserve">No marque un requisito como completado solo porque terminó el desarrollo. No declare aceptación si la persona o proceso autorizado no la otorgó.</w:t>
      </w:r>
    </w:p>
    <w:bookmarkEnd w:id="37"/>
    <w:bookmarkStart w:id="38" w:name="calidad-y-pruebas"/>
    <w:p>
      <w:pPr>
        <w:pStyle w:val="Heading2"/>
      </w:pPr>
      <w:r>
        <w:t xml:space="preserve">Calidad y pruebas</w:t>
      </w:r>
    </w:p>
    <w:p>
      <w:pPr>
        <w:pStyle w:val="FirstParagraph"/>
      </w:pPr>
      <w:r>
        <w:t xml:space="preserve">Puede coordinar plan de pruebas, ambientes, datos de prueba, defectos, retesting, rendimiento, accesibilidad, seguridad, UAT y criterios de salida.</w:t>
      </w:r>
    </w:p>
    <w:p>
      <w:pPr>
        <w:pStyle w:val="BodyText"/>
      </w:pPr>
      <w:r>
        <w:t xml:space="preserve">Que las pruebas pasen es evidencia, no autorización automática de liberación.</w:t>
      </w:r>
    </w:p>
    <w:bookmarkEnd w:id="38"/>
    <w:bookmarkStart w:id="39" w:name="liberación-y-autoridad-de-producción"/>
    <w:p>
      <w:pPr>
        <w:pStyle w:val="Heading2"/>
      </w:pPr>
      <w:r>
        <w:t xml:space="preserve">Liberación y autoridad de producción</w:t>
      </w:r>
    </w:p>
    <w:p>
      <w:pPr>
        <w:pStyle w:val="FirstParagraph"/>
      </w:pPr>
      <w:r>
        <w:t xml:space="preserve">La preparación puede incluir versión aprobada, pruebas, defectos conocidos, revisiones de seguridad/privacidad, plan de despliegue, rollback/forward-fix, monitoreo, soporte, comunicaciones y decisión go/no-go.</w:t>
      </w:r>
    </w:p>
    <w:p>
      <w:pPr>
        <w:pStyle w:val="BodyText"/>
      </w:pPr>
      <w:r>
        <w:t xml:space="preserve">Reunir evidencia no otorga autoridad para desplegar, eximir controles fallidos, aceptar riesgo cibernético o aprobar producción.</w:t>
      </w:r>
    </w:p>
    <w:bookmarkEnd w:id="39"/>
    <w:bookmarkStart w:id="40" w:name="proveedores-y-compras"/>
    <w:p>
      <w:pPr>
        <w:pStyle w:val="Heading2"/>
      </w:pPr>
      <w:r>
        <w:t xml:space="preserve">Proveedores y compras</w:t>
      </w:r>
    </w:p>
    <w:p>
      <w:pPr>
        <w:pStyle w:val="FirstParagraph"/>
      </w:pPr>
      <w:r>
        <w:t xml:space="preserve">Puede apoyar requisitos, SOW, comparación de cotizaciones, fechas, entregables, accesos, evidencia de hitos, riesgos y desempeño.</w:t>
      </w:r>
    </w:p>
    <w:p>
      <w:pPr>
        <w:pStyle w:val="BodyText"/>
      </w:pPr>
      <w:r>
        <w:t xml:space="preserve">No haga compromisos contractuales ni autorice compras fuera de la autoridad asignada.</w:t>
      </w:r>
    </w:p>
    <w:bookmarkEnd w:id="40"/>
    <w:bookmarkStart w:id="41" w:name="recursos"/>
    <w:p>
      <w:pPr>
        <w:pStyle w:val="Heading2"/>
      </w:pPr>
      <w:r>
        <w:t xml:space="preserve">Recursos</w:t>
      </w:r>
    </w:p>
    <w:p>
      <w:pPr>
        <w:pStyle w:val="FirstParagraph"/>
      </w:pPr>
      <w:r>
        <w:t xml:space="preserve">Controle habilidades/personas/ambientes/accesos necesarios, capacidad, prioridades en conflicto, especialistas no disponibles, retrasos de onboarding y dependencias compartidas.</w:t>
      </w:r>
    </w:p>
    <w:p>
      <w:pPr>
        <w:pStyle w:val="BodyText"/>
      </w:pPr>
      <w:r>
        <w:t xml:space="preserve">No invente compromisos de recursos.</w:t>
      </w:r>
    </w:p>
    <w:bookmarkEnd w:id="41"/>
    <w:bookmarkStart w:id="42" w:name="agile-predictivo-e-híbrido"/>
    <w:p>
      <w:pPr>
        <w:pStyle w:val="Heading2"/>
      </w:pPr>
      <w:r>
        <w:t xml:space="preserve">Agile, predictivo e híbrido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Predictivo:</w:t>
      </w:r>
      <w:r>
        <w:t xml:space="preserve"> </w:t>
      </w:r>
      <w:r>
        <w:t xml:space="preserve">puede usar WBS, líneas base, hitos y stage gates.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Agile/iterativo:</w:t>
      </w:r>
      <w:r>
        <w:t xml:space="preserve"> </w:t>
      </w:r>
      <w:r>
        <w:t xml:space="preserve">puede usar backlog, sprints, Kanban e incrementos.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Híbrido:</w:t>
      </w:r>
      <w:r>
        <w:t xml:space="preserve"> </w:t>
      </w:r>
      <w:r>
        <w:t xml:space="preserve">combina prácticas según riesgo y gobernanza.</w:t>
      </w:r>
    </w:p>
    <w:p>
      <w:pPr>
        <w:pStyle w:val="FirstParagraph"/>
      </w:pPr>
      <w:r>
        <w:t xml:space="preserve">Agile no significa ausencia de planificación, documentación, controles o responsabilidad.</w:t>
      </w:r>
    </w:p>
    <w:bookmarkEnd w:id="42"/>
    <w:bookmarkStart w:id="43" w:name="alfabetización-técnica"/>
    <w:p>
      <w:pPr>
        <w:pStyle w:val="Heading2"/>
      </w:pPr>
      <w:r>
        <w:t xml:space="preserve">Alfabetización técnica</w:t>
      </w:r>
    </w:p>
    <w:p>
      <w:pPr>
        <w:pStyle w:val="FirstParagraph"/>
      </w:pPr>
      <w:r>
        <w:t xml:space="preserve">No necesita ser el ingeniero más profundo, pero debe comprender conceptos de aplicaciones/APIs, infraestructura/redes, cloud, bases de datos/migración, identidad, ciberseguridad, ambientes, pruebas, CI/CD, monitoreo, cambios/liberaciones e integraciones.</w:t>
      </w:r>
    </w:p>
    <w:bookmarkEnd w:id="43"/>
    <w:bookmarkStart w:id="44" w:name="señales-tecnológicas-actuales"/>
    <w:p>
      <w:pPr>
        <w:pStyle w:val="Heading2"/>
      </w:pPr>
      <w:r>
        <w:t xml:space="preserve">Señales tecnológicas actuales</w:t>
      </w:r>
    </w:p>
    <w:p>
      <w:pPr>
        <w:pStyle w:val="FirstParagraph"/>
      </w:pPr>
      <w:r>
        <w:t xml:space="preserve">O*NET/Lightcast 2025 muestra:</w:t>
      </w:r>
    </w:p>
    <w:p>
      <w:pPr>
        <w:numPr>
          <w:ilvl w:val="0"/>
          <w:numId w:val="1006"/>
        </w:numPr>
        <w:pStyle w:val="Compact"/>
      </w:pPr>
      <w:r>
        <w:t xml:space="preserve">JIRA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SAP</w:t>
      </w:r>
      <w:r>
        <w:t xml:space="preserve"> </w:t>
      </w:r>
      <w:r>
        <w:rPr>
          <w:bCs/>
          <w:b/>
        </w:rPr>
        <w:t xml:space="preserve">11%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Microsoft Office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Excel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Confluence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Azure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PowerPoint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ServiceNow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Microsoft Project</w:t>
      </w:r>
      <w:r>
        <w:t xml:space="preserve"> </w:t>
      </w:r>
      <w:r>
        <w:rPr>
          <w:bCs/>
          <w:b/>
        </w:rPr>
        <w:t xml:space="preserve">4%</w:t>
      </w:r>
      <w:r>
        <w:t xml:space="preserve">.</w:t>
      </w:r>
    </w:p>
    <w:p>
      <w:pPr>
        <w:pStyle w:val="FirstParagraph"/>
      </w:pPr>
      <w:r>
        <w:t xml:space="preserve">Son señales de ofertas, no requisitos universales.</w:t>
      </w:r>
    </w:p>
    <w:bookmarkEnd w:id="44"/>
    <w:bookmarkStart w:id="45" w:name="ciberseguridad"/>
    <w:p>
      <w:pPr>
        <w:pStyle w:val="Heading2"/>
      </w:pPr>
      <w:r>
        <w:t xml:space="preserve">Ciberseguridad</w:t>
      </w:r>
    </w:p>
    <w:p>
      <w:pPr>
        <w:pStyle w:val="FirstParagraph"/>
      </w:pPr>
      <w:r>
        <w:t xml:space="preserve">Identifique el dueño/revisor de seguridad, controle hitos de revisión, aprobaciones de acceso, hallazgos y remediaciones/excepciones, y proteja la evidencia.</w:t>
      </w:r>
    </w:p>
    <w:p>
      <w:pPr>
        <w:pStyle w:val="BodyText"/>
      </w:pPr>
      <w:r>
        <w:t xml:space="preserve">No realice pruebas intrusivas ni apruebe excepciones de seguridad sin autorización explícita.</w:t>
      </w:r>
    </w:p>
    <w:bookmarkEnd w:id="45"/>
    <w:bookmarkStart w:id="46" w:name="privacidad-y-manejo-de-información"/>
    <w:p>
      <w:pPr>
        <w:pStyle w:val="Heading2"/>
      </w:pPr>
      <w:r>
        <w:t xml:space="preserve">Privacidad y manejo de información</w:t>
      </w:r>
    </w:p>
    <w:p>
      <w:pPr>
        <w:pStyle w:val="FirstParagraph"/>
      </w:pPr>
      <w:r>
        <w:t xml:space="preserve">Siga clasificación, mínimo necesario, repositorios aprobados, control de acceso, retención/eliminación y reglas sobre grabaciones, screenshots, logs, datos de clientes/empleados y contratos.</w:t>
      </w:r>
    </w:p>
    <w:p>
      <w:pPr>
        <w:pStyle w:val="BodyText"/>
      </w:pPr>
      <w:r>
        <w:t xml:space="preserve">No pegue contenido protegido en herramientas públicas de colaboración o IA.</w:t>
      </w:r>
    </w:p>
    <w:bookmarkEnd w:id="46"/>
    <w:bookmarkStart w:id="47" w:name="accesibilidad"/>
    <w:p>
      <w:pPr>
        <w:pStyle w:val="Heading2"/>
      </w:pPr>
      <w:r>
        <w:t xml:space="preserve">Accesibilidad</w:t>
      </w:r>
    </w:p>
    <w:p>
      <w:pPr>
        <w:pStyle w:val="FirstParagraph"/>
      </w:pPr>
      <w:r>
        <w:t xml:space="preserve">Incluya requisitos de accesibilidad temprano en diseño, desarrollo, pruebas y aceptación cuando apliquen. La evidencia puede incluir teclado, semántica, labels, foco, contraste, errores, reflow y tecnologías de asistencia.</w:t>
      </w:r>
    </w:p>
    <w:p>
      <w:pPr>
        <w:pStyle w:val="BodyText"/>
      </w:pPr>
      <w:r>
        <w:t xml:space="preserve">Un scanner automático no prueba cumplimiento legal.</w:t>
      </w:r>
    </w:p>
    <w:bookmarkEnd w:id="47"/>
    <w:bookmarkStart w:id="48" w:name="ia-responsable"/>
    <w:p>
      <w:pPr>
        <w:pStyle w:val="Heading2"/>
      </w:pPr>
      <w:r>
        <w:t xml:space="preserve">IA responsable</w:t>
      </w:r>
    </w:p>
    <w:p>
      <w:pPr>
        <w:pStyle w:val="FirstParagraph"/>
      </w:pPr>
      <w:r>
        <w:t xml:space="preserve">La IA aprobada puede ayudar con borradores de agendas, resúmenes, listas de acciones, ideas de riesgos, redacción de estado, escenarios sintéticos y plantillas.</w:t>
      </w:r>
    </w:p>
    <w:p>
      <w:pPr>
        <w:pStyle w:val="BodyText"/>
      </w:pPr>
      <w:r>
        <w:t xml:space="preserve">Controles:</w:t>
      </w:r>
    </w:p>
    <w:p>
      <w:pPr>
        <w:numPr>
          <w:ilvl w:val="0"/>
          <w:numId w:val="1007"/>
        </w:numPr>
        <w:pStyle w:val="Compact"/>
      </w:pPr>
      <w:r>
        <w:t xml:space="preserve">no enviar planes confidenciales, código fuente, datos de clientes, credenciales, contratos, incidentes privados o información no publicada a herramientas no aprobadas;</w:t>
      </w:r>
    </w:p>
    <w:p>
      <w:pPr>
        <w:numPr>
          <w:ilvl w:val="0"/>
          <w:numId w:val="1007"/>
        </w:numPr>
        <w:pStyle w:val="Compact"/>
      </w:pPr>
      <w:r>
        <w:t xml:space="preserve">validar fechas, nombres, responsables, decisiones, requisitos y riesgos contra registros autoritativos;</w:t>
      </w:r>
    </w:p>
    <w:p>
      <w:pPr>
        <w:numPr>
          <w:ilvl w:val="0"/>
          <w:numId w:val="1007"/>
        </w:numPr>
        <w:pStyle w:val="Compact"/>
      </w:pPr>
      <w:r>
        <w:t xml:space="preserve">no permitir que IA invente aprobaciones, compromisos, decisiones o salud del proyecto;</w:t>
      </w:r>
    </w:p>
    <w:p>
      <w:pPr>
        <w:numPr>
          <w:ilvl w:val="0"/>
          <w:numId w:val="1007"/>
        </w:numPr>
        <w:pStyle w:val="Compact"/>
      </w:pPr>
      <w:r>
        <w:t xml:space="preserve">IA no aprueba cambios, presupuesto, liberaciones ni excepciones;</w:t>
      </w:r>
    </w:p>
    <w:p>
      <w:pPr>
        <w:numPr>
          <w:ilvl w:val="0"/>
          <w:numId w:val="1007"/>
        </w:numPr>
        <w:pStyle w:val="Compact"/>
      </w:pPr>
      <w:r>
        <w:t xml:space="preserve">la responsabilidad humana permanece.</w:t>
      </w:r>
    </w:p>
    <w:bookmarkEnd w:id="48"/>
    <w:bookmarkStart w:id="49" w:name="límites-éticos"/>
    <w:p>
      <w:pPr>
        <w:pStyle w:val="Heading2"/>
      </w:pPr>
      <w:r>
        <w:t xml:space="preserve">Límites éticos</w:t>
      </w:r>
    </w:p>
    <w:p>
      <w:pPr>
        <w:pStyle w:val="FirstParagraph"/>
      </w:pPr>
      <w:r>
        <w:t xml:space="preserve">No se debe fabricar progreso, esconder riesgos críticos, alterar líneas base sin control, registrar propuestas como decisiones, marcar aceptación sin autorización, comprometer recursos fuera de autoridad, divulgar información protegida, evitar controles o manipular métricas.</w:t>
      </w:r>
    </w:p>
    <w:bookmarkEnd w:id="49"/>
    <w:bookmarkStart w:id="53" w:name="estados-unidos--referencia-ocupacional"/>
    <w:p>
      <w:pPr>
        <w:pStyle w:val="Heading2"/>
      </w:pPr>
      <w:r>
        <w:t xml:space="preserve">Estados Unidos — referencia ocupacional</w:t>
      </w:r>
    </w:p>
    <w:p>
      <w:pPr>
        <w:pStyle w:val="FirstParagraph"/>
      </w:pPr>
      <w:r>
        <w:t xml:space="preserve">O*NET-SOC</w:t>
      </w:r>
      <w:r>
        <w:t xml:space="preserve"> </w:t>
      </w:r>
      <w:r>
        <w:rPr>
          <w:bCs/>
          <w:b/>
        </w:rPr>
        <w:t xml:space="preserve">15-1299.09 — Information Technology Project Managers</w:t>
      </w:r>
      <w:r>
        <w:t xml:space="preserve"> </w:t>
      </w:r>
      <w:r>
        <w:t xml:space="preserve">es Bright Outlook y está actualizada en 2026.</w:t>
      </w:r>
    </w:p>
    <w:bookmarkStart w:id="50" w:name="límite-estadístico-obligatorio"/>
    <w:p>
      <w:pPr>
        <w:pStyle w:val="Heading3"/>
      </w:pPr>
      <w:r>
        <w:t xml:space="preserve">Límite estadístico obligatorio</w:t>
      </w:r>
    </w:p>
    <w:p>
      <w:pPr>
        <w:pStyle w:val="FirstParagraph"/>
      </w:pPr>
      <w:r>
        <w:t xml:space="preserve">O*NET indica que los salarios y datos de empleo provienen de</w:t>
      </w:r>
      <w:r>
        <w:t xml:space="preserve"> </w:t>
      </w:r>
      <w:r>
        <w:rPr>
          <w:bCs/>
          <w:b/>
        </w:rPr>
        <w:t xml:space="preserve">Computer Occupations, All Other</w:t>
      </w:r>
      <w:r>
        <w:t xml:space="preserve">. Son referencias oficiales BLS, pero</w:t>
      </w:r>
      <w:r>
        <w:t xml:space="preserve"> </w:t>
      </w:r>
      <w:r>
        <w:rPr>
          <w:bCs/>
          <w:b/>
        </w:rPr>
        <w:t xml:space="preserve">no una población pura de Coordinador de Proyecto TI</w:t>
      </w:r>
      <w:r>
        <w:t xml:space="preserve">.</w:t>
      </w:r>
    </w:p>
    <w:bookmarkEnd w:id="50"/>
    <w:bookmarkStart w:id="51" w:name="salarios-oficiales-2025"/>
    <w:p>
      <w:pPr>
        <w:pStyle w:val="Heading3"/>
      </w:pPr>
      <w:r>
        <w:t xml:space="preserve">Salarios oficiales 2025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$55,940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$116,580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$188,470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$90.61</w:t>
            </w:r>
          </w:p>
        </w:tc>
      </w:tr>
    </w:tbl>
    <w:bookmarkEnd w:id="51"/>
    <w:bookmarkStart w:id="52" w:name="perspectiva-oficial-20242034"/>
    <w:p>
      <w:pPr>
        <w:pStyle w:val="Heading3"/>
      </w:pPr>
      <w:r>
        <w:t xml:space="preserve">Perspectiva oficial 2024–2034</w:t>
      </w:r>
    </w:p>
    <w:p>
      <w:pPr>
        <w:numPr>
          <w:ilvl w:val="0"/>
          <w:numId w:val="1008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472,000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proyectado 2034:</w:t>
      </w:r>
      <w:r>
        <w:t xml:space="preserve"> </w:t>
      </w:r>
      <w:r>
        <w:rPr>
          <w:bCs/>
          <w:b/>
        </w:rPr>
        <w:t xml:space="preserve">510,500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crecimiento: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vacantes anuales:</w:t>
      </w:r>
      <w:r>
        <w:t xml:space="preserve"> </w:t>
      </w:r>
      <w:r>
        <w:rPr>
          <w:bCs/>
          <w:b/>
        </w:rPr>
        <w:t xml:space="preserve">31,300</w:t>
      </w:r>
      <w:r>
        <w:t xml:space="preserve">.</w:t>
      </w:r>
    </w:p>
    <w:p>
      <w:pPr>
        <w:pStyle w:val="FirstParagraph"/>
      </w:pPr>
      <w:r>
        <w:t xml:space="preserve">Estas cifras también son de la serie crosswalk</w:t>
      </w:r>
      <w:r>
        <w:t xml:space="preserve"> </w:t>
      </w:r>
      <w:r>
        <w:rPr>
          <w:bCs/>
          <w:b/>
        </w:rPr>
        <w:t xml:space="preserve">Computer Occupations, All Other</w:t>
      </w:r>
      <w:r>
        <w:t xml:space="preserve">.</w:t>
      </w:r>
    </w:p>
    <w:bookmarkEnd w:id="52"/>
    <w:bookmarkEnd w:id="53"/>
    <w:bookmarkStart w:id="54" w:name="Xfb076c63d541ea365d39964c80c36dd6ecae0dc"/>
    <w:p>
      <w:pPr>
        <w:pStyle w:val="Heading2"/>
      </w:pPr>
      <w:r>
        <w:t xml:space="preserve">Contexto actual no gubernamental de EE. UU.</w:t>
      </w:r>
    </w:p>
    <w:p>
      <w:pPr>
        <w:pStyle w:val="FirstParagraph"/>
      </w:pPr>
      <w:r>
        <w:t xml:space="preserve">Indeed para</w:t>
      </w:r>
      <w:r>
        <w:t xml:space="preserve"> </w:t>
      </w:r>
      <w:r>
        <w:rPr>
          <w:bCs/>
          <w:b/>
        </w:rPr>
        <w:t xml:space="preserve">IT Project Coordinator</w:t>
      </w:r>
      <w:r>
        <w:t xml:space="preserve"> </w:t>
      </w:r>
      <w:r>
        <w:t xml:space="preserve">muestra aproximadamente:</w:t>
      </w:r>
    </w:p>
    <w:p>
      <w:pPr>
        <w:numPr>
          <w:ilvl w:val="0"/>
          <w:numId w:val="1009"/>
        </w:numPr>
        <w:pStyle w:val="Compact"/>
      </w:pPr>
      <w:r>
        <w:t xml:space="preserve">promedio</w:t>
      </w:r>
      <w:r>
        <w:t xml:space="preserve"> </w:t>
      </w:r>
      <w:r>
        <w:rPr>
          <w:bCs/>
          <w:b/>
        </w:rPr>
        <w:t xml:space="preserve">$68,763/año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bajo</w:t>
      </w:r>
      <w:r>
        <w:t xml:space="preserve"> </w:t>
      </w:r>
      <w:r>
        <w:rPr>
          <w:bCs/>
          <w:b/>
        </w:rPr>
        <w:t xml:space="preserve">$45,903/año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alto</w:t>
      </w:r>
      <w:r>
        <w:t xml:space="preserve"> </w:t>
      </w:r>
      <w:r>
        <w:rPr>
          <w:bCs/>
          <w:b/>
        </w:rPr>
        <w:t xml:space="preserve">$103,010/año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162</w:t>
      </w:r>
      <w:r>
        <w:t xml:space="preserve"> </w:t>
      </w:r>
      <w:r>
        <w:t xml:space="preserve">observaciones;</w:t>
      </w:r>
    </w:p>
    <w:p>
      <w:pPr>
        <w:numPr>
          <w:ilvl w:val="0"/>
          <w:numId w:val="1009"/>
        </w:numPr>
        <w:pStyle w:val="Compact"/>
      </w:pPr>
      <w:r>
        <w:t xml:space="preserve">ofertas de los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anteriores;</w:t>
      </w:r>
    </w:p>
    <w:p>
      <w:pPr>
        <w:numPr>
          <w:ilvl w:val="0"/>
          <w:numId w:val="1009"/>
        </w:numPr>
        <w:pStyle w:val="Compact"/>
      </w:pPr>
      <w:r>
        <w:t xml:space="preserve">página principal actualizada</w:t>
      </w:r>
      <w:r>
        <w:t xml:space="preserve"> </w:t>
      </w:r>
      <w:r>
        <w:rPr>
          <w:bCs/>
          <w:b/>
        </w:rPr>
        <w:t xml:space="preserve">8 de agosto de 2026</w:t>
      </w:r>
      <w:r>
        <w:t xml:space="preserve">.</w:t>
      </w:r>
    </w:p>
    <w:p>
      <w:pPr>
        <w:pStyle w:val="FirstParagraph"/>
      </w:pPr>
      <w:r>
        <w:t xml:space="preserve">La sección FAQ puede mostrar otra muestra/rango por actualización interna. Use este conjunto coherente de la página principal solo como estimación de mercado no gubernamental y cambiante.</w:t>
      </w:r>
    </w:p>
    <w:bookmarkEnd w:id="54"/>
    <w:bookmarkStart w:id="55" w:name="formación-y-aprendizaje--ee-uu"/>
    <w:p>
      <w:pPr>
        <w:pStyle w:val="Heading2"/>
      </w:pPr>
      <w:r>
        <w:t xml:space="preserve">Formación y aprendizaje — EE. UU.</w:t>
      </w:r>
    </w:p>
    <w:p>
      <w:pPr>
        <w:pStyle w:val="FirstParagraph"/>
      </w:pPr>
      <w:r>
        <w:t xml:space="preserve">O*NET lista títulos de Registered Apprenticeship</w:t>
      </w:r>
      <w:r>
        <w:t xml:space="preserve"> </w:t>
      </w:r>
      <w:r>
        <w:rPr>
          <w:bCs/>
          <w:b/>
        </w:rPr>
        <w:t xml:space="preserve">IT Project Manager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IT Project Manager (Nof)</w:t>
      </w:r>
      <w:r>
        <w:t xml:space="preserve">. Eso no garantiza una vacante local.</w:t>
      </w:r>
    </w:p>
    <w:p>
      <w:pPr>
        <w:pStyle w:val="BodyText"/>
      </w:pPr>
      <w:r>
        <w:t xml:space="preserve">CareerOneStop/American Job Centers pueden ayudar a investigar WIOA; Apprenticeship.gov permite buscar oportunidades activas. Elegibilidad, financiamiento y disponibilidad varían.</w:t>
      </w:r>
    </w:p>
    <w:bookmarkEnd w:id="55"/>
    <w:bookmarkStart w:id="60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Job Bank mapea directamente</w:t>
      </w:r>
      <w:r>
        <w:t xml:space="preserve"> </w:t>
      </w:r>
      <w:r>
        <w:rPr>
          <w:bCs/>
          <w:b/>
        </w:rPr>
        <w:t xml:space="preserve">project coordinator - information technology (IT)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NOC 21222 — Information systems specialists</w:t>
      </w:r>
      <w:r>
        <w:t xml:space="preserve">.</w:t>
      </w:r>
    </w:p>
    <w:bookmarkStart w:id="56" w:name="salarios-nacionales"/>
    <w:p>
      <w:pPr>
        <w:pStyle w:val="Heading3"/>
      </w:pPr>
      <w:r>
        <w:t xml:space="preserve">Salarios nacionales</w:t>
      </w:r>
    </w:p>
    <w:p>
      <w:pPr>
        <w:numPr>
          <w:ilvl w:val="0"/>
          <w:numId w:val="1010"/>
        </w:numPr>
        <w:pStyle w:val="Compact"/>
      </w:pPr>
      <w:r>
        <w:t xml:space="preserve">bajo</w:t>
      </w:r>
      <w:r>
        <w:t xml:space="preserve"> </w:t>
      </w:r>
      <w:r>
        <w:rPr>
          <w:bCs/>
          <w:b/>
        </w:rPr>
        <w:t xml:space="preserve">C$28.85/hora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mediana</w:t>
      </w:r>
      <w:r>
        <w:t xml:space="preserve"> </w:t>
      </w:r>
      <w:r>
        <w:rPr>
          <w:bCs/>
          <w:b/>
        </w:rPr>
        <w:t xml:space="preserve">C$46.15/hora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alto</w:t>
      </w:r>
      <w:r>
        <w:t xml:space="preserve"> </w:t>
      </w:r>
      <w:r>
        <w:rPr>
          <w:bCs/>
          <w:b/>
        </w:rPr>
        <w:t xml:space="preserve">C$68.68/hora</w:t>
      </w:r>
      <w:r>
        <w:t xml:space="preserve">.</w:t>
      </w:r>
    </w:p>
    <w:bookmarkEnd w:id="56"/>
    <w:bookmarkStart w:id="57" w:name="perspectiva"/>
    <w:p>
      <w:pPr>
        <w:pStyle w:val="Heading3"/>
      </w:pPr>
      <w:r>
        <w:t xml:space="preserve">Perspectiva</w:t>
      </w:r>
    </w:p>
    <w:p>
      <w:pPr>
        <w:pStyle w:val="FirstParagraph"/>
      </w:pPr>
      <w:r>
        <w:t xml:space="preserve">Demanda y oferta nacionales 2024–2033 se esperan ampliamente equilibradas. La perspectiva a tres años varía por provincia/territorio.</w:t>
      </w:r>
    </w:p>
    <w:bookmarkEnd w:id="57"/>
    <w:bookmarkStart w:id="58" w:name="requisitos-típicos"/>
    <w:p>
      <w:pPr>
        <w:pStyle w:val="Heading3"/>
      </w:pPr>
      <w:r>
        <w:t xml:space="preserve">Requisitos típicos</w:t>
      </w:r>
    </w:p>
    <w:p>
      <w:pPr>
        <w:pStyle w:val="FirstParagraph"/>
      </w:pPr>
      <w:r>
        <w:t xml:space="preserve">Job Bank indica normalmente bachelor’s en computer science, computer systems engineering, software engineering, business administration o disciplina relacionada,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college program en computer science; experiencia de programación suele requerirse y algunos empleadores pueden pedir certificación TI relacionada.</w:t>
      </w:r>
    </w:p>
    <w:p>
      <w:pPr>
        <w:pStyle w:val="BodyText"/>
      </w:pPr>
      <w:r>
        <w:t xml:space="preserve">Son requisitos del grupo ocupacional, no regla absoluta para cada vacante.</w:t>
      </w:r>
    </w:p>
    <w:bookmarkEnd w:id="58"/>
    <w:bookmarkStart w:id="59" w:name="regulación"/>
    <w:p>
      <w:pPr>
        <w:pStyle w:val="Heading3"/>
      </w:pPr>
      <w:r>
        <w:t xml:space="preserve">Regulación</w:t>
      </w:r>
    </w:p>
    <w:p>
      <w:pPr>
        <w:pStyle w:val="FirstParagraph"/>
      </w:pPr>
      <w:r>
        <w:t xml:space="preserve">Algunas designaciones profesionales asociadas con NOC 21222 están reguladas en ciertas provincias, por ejemplo Information Systems Professionals (certified) en Alberta e Information Technology Professional en Saskatchewan. Esto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significa que todo puesto de coordinador TI sea regulado. Verifique título, funciones y provincia.</w:t>
      </w:r>
    </w:p>
    <w:bookmarkEnd w:id="59"/>
    <w:bookmarkEnd w:id="60"/>
    <w:bookmarkStart w:id="63" w:name="colombia"/>
    <w:p>
      <w:pPr>
        <w:pStyle w:val="Heading2"/>
      </w:pPr>
      <w:r>
        <w:t xml:space="preserve">Colombia</w:t>
      </w:r>
    </w:p>
    <w:bookmarkStart w:id="61" w:name="cuoc-25190--comparación-principal"/>
    <w:p>
      <w:pPr>
        <w:pStyle w:val="Heading3"/>
      </w:pPr>
      <w:r>
        <w:t xml:space="preserve">CUOC 25190 — comparación principal</w:t>
      </w:r>
    </w:p>
    <w:p>
      <w:pPr>
        <w:pStyle w:val="FirstParagraph"/>
      </w:pPr>
      <w:r>
        <w:rPr>
          <w:bCs/>
          <w:b/>
        </w:rPr>
        <w:t xml:space="preserve">CUOC 25190</w:t>
      </w:r>
      <w:r>
        <w:t xml:space="preserve"> </w:t>
      </w:r>
      <w:r>
        <w:t xml:space="preserve">incluye explícitamente</w:t>
      </w:r>
      <w:r>
        <w:t xml:space="preserve"> </w:t>
      </w:r>
      <w:r>
        <w:rPr>
          <w:bCs/>
          <w:b/>
        </w:rPr>
        <w:t xml:space="preserve">Coordinador de proyecto informático</w:t>
      </w:r>
      <w:r>
        <w:t xml:space="preserve"> </w:t>
      </w:r>
      <w:r>
        <w:t xml:space="preserve">y funciones de requisitos, propuesta técnica, coordinación de implementación TIC, riesgo de solución y calidad.</w:t>
      </w:r>
    </w:p>
    <w:p>
      <w:pPr>
        <w:pStyle w:val="BodyText"/>
      </w:pPr>
      <w:r>
        <w:t xml:space="preserve">OCUPACOL advierte que sus indicadores históricos de mercado no tienen representatividad estadística; por ello no se presenta su rango salarial como salario nacional representativo.</w:t>
      </w:r>
    </w:p>
    <w:bookmarkEnd w:id="61"/>
    <w:bookmarkStart w:id="62" w:name="cuoc-25110--comparación-adyacente"/>
    <w:p>
      <w:pPr>
        <w:pStyle w:val="Heading3"/>
      </w:pPr>
      <w:r>
        <w:t xml:space="preserve">CUOC 25110 — comparación adyacente</w:t>
      </w:r>
    </w:p>
    <w:p>
      <w:pPr>
        <w:pStyle w:val="FirstParagraph"/>
      </w:pPr>
      <w:r>
        <w:t xml:space="preserve">Incluye</w:t>
      </w:r>
      <w:r>
        <w:t xml:space="preserve"> </w:t>
      </w:r>
      <w:r>
        <w:rPr>
          <w:bCs/>
          <w:b/>
        </w:rPr>
        <w:t xml:space="preserve">Analista de proyecto TI (Tecnologías de la Información)</w:t>
      </w:r>
      <w:r>
        <w:t xml:space="preserve"> </w:t>
      </w:r>
      <w:r>
        <w:t xml:space="preserve">y puede ser relevante para puestos muy centrados en requisitos/análisis.</w:t>
      </w:r>
    </w:p>
    <w:bookmarkEnd w:id="62"/>
    <w:bookmarkEnd w:id="63"/>
    <w:bookmarkStart w:id="66" w:name="sena--habilidades-de-proyectos"/>
    <w:p>
      <w:pPr>
        <w:pStyle w:val="Heading2"/>
      </w:pPr>
      <w:r>
        <w:t xml:space="preserve">SENA — habilidades de proyectos</w:t>
      </w:r>
    </w:p>
    <w:bookmarkStart w:id="64" w:name="formulación-de-proyectos-en-mi-profesión"/>
    <w:p>
      <w:pPr>
        <w:pStyle w:val="Heading3"/>
      </w:pPr>
      <w:r>
        <w:t xml:space="preserve">Formulación de Proyectos en mi Profesión</w:t>
      </w:r>
    </w:p>
    <w:p>
      <w:pPr>
        <w:numPr>
          <w:ilvl w:val="0"/>
          <w:numId w:val="1011"/>
        </w:numPr>
        <w:pStyle w:val="Compact"/>
      </w:pPr>
      <w:r>
        <w:t xml:space="preserve">formación complementaria;</w:t>
      </w:r>
    </w:p>
    <w:p>
      <w:pPr>
        <w:numPr>
          <w:ilvl w:val="0"/>
          <w:numId w:val="1011"/>
        </w:numPr>
        <w:pStyle w:val="Compact"/>
      </w:pPr>
      <w:r>
        <w:t xml:space="preserve">material 2026 muestra</w:t>
      </w:r>
      <w:r>
        <w:t xml:space="preserve"> </w:t>
      </w:r>
      <w:r>
        <w:rPr>
          <w:bCs/>
          <w:b/>
        </w:rPr>
        <w:t xml:space="preserve">40 horas</w:t>
      </w:r>
      <w:r>
        <w:t xml:space="preserve"> </w:t>
      </w:r>
      <w:r>
        <w:t xml:space="preserve">en ofertas virtuales relevantes;</w:t>
      </w:r>
    </w:p>
    <w:p>
      <w:pPr>
        <w:numPr>
          <w:ilvl w:val="0"/>
          <w:numId w:val="1011"/>
        </w:numPr>
        <w:pStyle w:val="Compact"/>
      </w:pPr>
      <w:r>
        <w:t xml:space="preserve">problemas/objetivos, fases, requisitos y conceptos de financiación/lanzamiento.</w:t>
      </w:r>
    </w:p>
    <w:bookmarkEnd w:id="64"/>
    <w:bookmarkStart w:id="65" w:name="formulación-y-evaluación-de-proyectos"/>
    <w:p>
      <w:pPr>
        <w:pStyle w:val="Heading3"/>
      </w:pPr>
      <w:r>
        <w:t xml:space="preserve">Formulación y Evaluación de Proyectos</w:t>
      </w:r>
    </w:p>
    <w:p>
      <w:pPr>
        <w:numPr>
          <w:ilvl w:val="0"/>
          <w:numId w:val="1012"/>
        </w:numPr>
        <w:pStyle w:val="Compact"/>
      </w:pPr>
      <w:r>
        <w:t xml:space="preserve">complementaria;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Curso especial;</w:t>
      </w:r>
    </w:p>
    <w:p>
      <w:pPr>
        <w:numPr>
          <w:ilvl w:val="0"/>
          <w:numId w:val="1012"/>
        </w:numPr>
        <w:pStyle w:val="Compact"/>
      </w:pPr>
      <w:r>
        <w:t xml:space="preserve">formulación con métodos/técnicas de investigación.</w:t>
      </w:r>
    </w:p>
    <w:p>
      <w:pPr>
        <w:pStyle w:val="FirstParagraph"/>
      </w:pPr>
      <w:r>
        <w:t xml:space="preserve">Son rutas complementarias, no equivalentes a título universitario ni certificación profesional de project management.</w:t>
      </w:r>
    </w:p>
    <w:bookmarkEnd w:id="65"/>
    <w:bookmarkEnd w:id="66"/>
    <w:bookmarkStart w:id="67" w:name="américa-latina-y-caribe"/>
    <w:p>
      <w:pPr>
        <w:pStyle w:val="Heading2"/>
      </w:pPr>
      <w:r>
        <w:t xml:space="preserve">América Latina y Caribe</w:t>
      </w:r>
    </w:p>
    <w:p>
      <w:pPr>
        <w:pStyle w:val="FirstParagraph"/>
      </w:pPr>
      <w:r>
        <w:t xml:space="preserve">OIT/Cinterfor ayuda a localizar instituciones nacionales de formación profesional. Verifique programa, costo, modalidad, reconocimiento y financiamiento con la institución correspondiente.</w:t>
      </w:r>
    </w:p>
    <w:bookmarkEnd w:id="67"/>
    <w:bookmarkStart w:id="68" w:name="portafolio-seguro"/>
    <w:p>
      <w:pPr>
        <w:pStyle w:val="Heading2"/>
      </w:pPr>
      <w:r>
        <w:t xml:space="preserve">Portafolio seguro</w:t>
      </w:r>
    </w:p>
    <w:p>
      <w:pPr>
        <w:pStyle w:val="FirstParagraph"/>
      </w:pPr>
      <w:r>
        <w:t xml:space="preserve">Use escenarios públicos o sintéticos. Puede crear charter, stakeholder map, plan de hitos, RAID, action/decision log, change request, status report, trazabilidad, checklist de release y lessons learned.</w:t>
      </w:r>
    </w:p>
    <w:p>
      <w:pPr>
        <w:pStyle w:val="BodyText"/>
      </w:pPr>
      <w:r>
        <w:t xml:space="preserve">No publique roadmaps, contratos, credenciales, datos de clientes, diagramas internos, incidentes ni evidencia confidencial de un empleador.</w:t>
      </w:r>
    </w:p>
    <w:bookmarkEnd w:id="68"/>
    <w:bookmarkStart w:id="73" w:name="plan-inicial-de-cuatro-semanas"/>
    <w:p>
      <w:pPr>
        <w:pStyle w:val="Heading2"/>
      </w:pPr>
      <w:r>
        <w:t xml:space="preserve">Plan inicial de cuatro semanas</w:t>
      </w:r>
    </w:p>
    <w:bookmarkStart w:id="69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Charter sintético con objetivo, alcance, entregables, supuestos, restricciones y stakeholders.</w:t>
      </w:r>
    </w:p>
    <w:bookmarkEnd w:id="69"/>
    <w:bookmarkStart w:id="70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Plan de hitos/dependencias y RAID con responsables/fechas.</w:t>
      </w:r>
    </w:p>
    <w:bookmarkEnd w:id="70"/>
    <w:bookmarkStart w:id="71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Minutas, action/decision log, change request y reporte de estado basado en evidencia.</w:t>
      </w:r>
    </w:p>
    <w:bookmarkEnd w:id="71"/>
    <w:bookmarkStart w:id="72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Trazabilidad de requisitos/aceptación, checkpoints de seguridad/privacidad/accesibilidad, readiness de release y README.</w:t>
      </w:r>
    </w:p>
    <w:bookmarkEnd w:id="72"/>
    <w:bookmarkEnd w:id="73"/>
    <w:bookmarkStart w:id="74" w:name="títulos-para-buscar"/>
    <w:p>
      <w:pPr>
        <w:pStyle w:val="Heading2"/>
      </w:pPr>
      <w:r>
        <w:t xml:space="preserve">Títulos para buscar</w:t>
      </w:r>
    </w:p>
    <w:p>
      <w:pPr>
        <w:numPr>
          <w:ilvl w:val="0"/>
          <w:numId w:val="1013"/>
        </w:numPr>
        <w:pStyle w:val="Compact"/>
      </w:pPr>
      <w:r>
        <w:t xml:space="preserve">IT Project Coordinator;</w:t>
      </w:r>
    </w:p>
    <w:p>
      <w:pPr>
        <w:numPr>
          <w:ilvl w:val="0"/>
          <w:numId w:val="1013"/>
        </w:numPr>
        <w:pStyle w:val="Compact"/>
      </w:pPr>
      <w:r>
        <w:t xml:space="preserve">Technology Project Coordinator;</w:t>
      </w:r>
    </w:p>
    <w:p>
      <w:pPr>
        <w:numPr>
          <w:ilvl w:val="0"/>
          <w:numId w:val="1013"/>
        </w:numPr>
        <w:pStyle w:val="Compact"/>
      </w:pPr>
      <w:r>
        <w:t xml:space="preserve">Technical Project Coordinator;</w:t>
      </w:r>
    </w:p>
    <w:p>
      <w:pPr>
        <w:numPr>
          <w:ilvl w:val="0"/>
          <w:numId w:val="1013"/>
        </w:numPr>
        <w:pStyle w:val="Compact"/>
      </w:pPr>
      <w:r>
        <w:t xml:space="preserve">Project Coordinator — Information Technology;</w:t>
      </w:r>
    </w:p>
    <w:p>
      <w:pPr>
        <w:numPr>
          <w:ilvl w:val="0"/>
          <w:numId w:val="1013"/>
        </w:numPr>
        <w:pStyle w:val="Compact"/>
      </w:pPr>
      <w:r>
        <w:t xml:space="preserve">PMO Coordinator;</w:t>
      </w:r>
    </w:p>
    <w:p>
      <w:pPr>
        <w:numPr>
          <w:ilvl w:val="0"/>
          <w:numId w:val="1013"/>
        </w:numPr>
        <w:pStyle w:val="Compact"/>
      </w:pPr>
      <w:r>
        <w:t xml:space="preserve">IT PMO Analyst;</w:t>
      </w:r>
    </w:p>
    <w:p>
      <w:pPr>
        <w:numPr>
          <w:ilvl w:val="0"/>
          <w:numId w:val="1013"/>
        </w:numPr>
        <w:pStyle w:val="Compact"/>
      </w:pPr>
      <w:r>
        <w:t xml:space="preserve">Project Analyst — IT;</w:t>
      </w:r>
    </w:p>
    <w:p>
      <w:pPr>
        <w:numPr>
          <w:ilvl w:val="0"/>
          <w:numId w:val="1013"/>
        </w:numPr>
        <w:pStyle w:val="Compact"/>
      </w:pPr>
      <w:r>
        <w:t xml:space="preserve">Implementation Coordinator;</w:t>
      </w:r>
    </w:p>
    <w:p>
      <w:pPr>
        <w:numPr>
          <w:ilvl w:val="0"/>
          <w:numId w:val="1013"/>
        </w:numPr>
        <w:pStyle w:val="Compact"/>
      </w:pPr>
      <w:r>
        <w:t xml:space="preserve">Technology Program Coordinator;</w:t>
      </w:r>
    </w:p>
    <w:p>
      <w:pPr>
        <w:numPr>
          <w:ilvl w:val="0"/>
          <w:numId w:val="1013"/>
        </w:numPr>
        <w:pStyle w:val="Compact"/>
      </w:pPr>
      <w:r>
        <w:t xml:space="preserve">Junior IT Project Manager;</w:t>
      </w:r>
    </w:p>
    <w:p>
      <w:pPr>
        <w:numPr>
          <w:ilvl w:val="0"/>
          <w:numId w:val="1013"/>
        </w:numPr>
        <w:pStyle w:val="Compact"/>
      </w:pPr>
      <w:r>
        <w:t xml:space="preserve">Delivery Coordinator;</w:t>
      </w:r>
    </w:p>
    <w:p>
      <w:pPr>
        <w:numPr>
          <w:ilvl w:val="0"/>
          <w:numId w:val="1013"/>
        </w:numPr>
        <w:pStyle w:val="Compact"/>
      </w:pPr>
      <w:r>
        <w:t xml:space="preserve">Release Coordinator.</w:t>
      </w:r>
    </w:p>
    <w:bookmarkEnd w:id="74"/>
    <w:bookmarkStart w:id="75" w:name="preguntas-antes-de-aceptar-un-puesto"/>
    <w:p>
      <w:pPr>
        <w:pStyle w:val="Heading2"/>
      </w:pPr>
      <w:r>
        <w:t xml:space="preserve">Preguntas antes de aceptar un puesto</w:t>
      </w:r>
    </w:p>
    <w:p>
      <w:pPr>
        <w:pStyle w:val="FirstParagraph"/>
      </w:pPr>
      <w:r>
        <w:t xml:space="preserve">Pregunte qué decisiones puede tomar, quién posee alcance/presupuesto/cronograma, método de entrega, herramienta autoritativa, dueño de requisitos/aceptación, proceso de escalamiento, autoridad de cambios/liberación, revisiones de seguridad/privacidad/accesibilidad, responsabilidad con proveedores, cantidad de workstreams, soporte fuera de horario y diferencia interna entre coordinador y project manager.</w:t>
      </w:r>
    </w:p>
    <w:bookmarkEnd w:id="75"/>
    <w:bookmarkStart w:id="101" w:name="fuentes-y-enlaces-de-verificación"/>
    <w:p>
      <w:pPr>
        <w:pStyle w:val="Heading2"/>
      </w:pPr>
      <w:r>
        <w:t xml:space="preserve">Fuentes y enlaces de verificación</w:t>
      </w:r>
    </w:p>
    <w:bookmarkStart w:id="82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14"/>
        </w:numPr>
        <w:pStyle w:val="Compact"/>
      </w:pPr>
      <w:r>
        <w:t xml:space="preserve">O*NET: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4"/>
        </w:numPr>
        <w:pStyle w:val="Compact"/>
      </w:pPr>
      <w:r>
        <w:t xml:space="preserve">O*NET tendencias: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4"/>
        </w:numPr>
        <w:pStyle w:val="Compact"/>
      </w:pPr>
      <w:r>
        <w:t xml:space="preserve">O*NET tecnología: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4"/>
        </w:numPr>
        <w:pStyle w:val="Compact"/>
      </w:pPr>
      <w:r>
        <w:t xml:space="preserve">CareerOneStop WIOA: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4"/>
        </w:numPr>
        <w:pStyle w:val="Compact"/>
      </w:pPr>
      <w:r>
        <w:t xml:space="preserve">Apprenticeship.gov:</w:t>
      </w:r>
      <w:r>
        <w:t xml:space="preserve"> </w:t>
      </w:r>
      <w:hyperlink r:id="rId80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14"/>
        </w:numPr>
        <w:pStyle w:val="Compact"/>
      </w:pPr>
      <w:r>
        <w:t xml:space="preserve">Indeed IT Project Coordinator: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bookmarkEnd w:id="82"/>
    <w:bookmarkStart w:id="88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15"/>
        </w:numPr>
        <w:pStyle w:val="Compact"/>
      </w:pPr>
      <w:r>
        <w:t xml:space="preserve">Job Bank resumen: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Job Bank salarios: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Job Bank requisitos: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Job Bank perspectiva: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Canada training:</w:t>
      </w:r>
      <w:r>
        <w:t xml:space="preserve"> </w:t>
      </w: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bookmarkEnd w:id="88"/>
    <w:bookmarkStart w:id="93" w:name="colombia-1"/>
    <w:p>
      <w:pPr>
        <w:pStyle w:val="Heading3"/>
      </w:pPr>
      <w:r>
        <w:t xml:space="preserve">Colombia</w:t>
      </w:r>
    </w:p>
    <w:p>
      <w:pPr>
        <w:numPr>
          <w:ilvl w:val="0"/>
          <w:numId w:val="1016"/>
        </w:numPr>
        <w:pStyle w:val="Compact"/>
      </w:pPr>
      <w:r>
        <w:t xml:space="preserve">OCUPACOL 25190:</w:t>
      </w:r>
      <w:r>
        <w:t xml:space="preserve"> </w:t>
      </w:r>
      <w:hyperlink r:id="rId89">
        <w:hyperlink r:id="rId8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OCUPACOL 25110:</w:t>
      </w:r>
      <w:r>
        <w:t xml:space="preserve"> </w:t>
      </w:r>
      <w:hyperlink r:id="rId90">
        <w:hyperlink r:id="rId9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SENA Formulación de Proyectos en mi Profesión:</w:t>
      </w:r>
      <w:r>
        <w:t xml:space="preserve"> </w:t>
      </w:r>
      <w:hyperlink r:id="rId91">
        <w:hyperlink r:id="rId9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SENA Formulación y Evaluación: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bookmarkEnd w:id="93"/>
    <w:bookmarkStart w:id="100" w:name="regional-seguridad-ia-y-accesibilidad"/>
    <w:p>
      <w:pPr>
        <w:pStyle w:val="Heading3"/>
      </w:pPr>
      <w:r>
        <w:t xml:space="preserve">Regional, seguridad, IA y accesibilidad</w:t>
      </w:r>
    </w:p>
    <w:p>
      <w:pPr>
        <w:numPr>
          <w:ilvl w:val="0"/>
          <w:numId w:val="1017"/>
        </w:numPr>
        <w:pStyle w:val="Compact"/>
      </w:pPr>
      <w:r>
        <w:t xml:space="preserve">OIT/Cinterfor:</w:t>
      </w:r>
      <w:r>
        <w:t xml:space="preserve"> </w:t>
      </w:r>
      <w:hyperlink r:id="rId94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17"/>
        </w:numPr>
        <w:pStyle w:val="Compact"/>
      </w:pPr>
      <w:r>
        <w:t xml:space="preserve">NIST CSF:</w:t>
      </w:r>
      <w:r>
        <w:t xml:space="preserve"> </w:t>
      </w:r>
      <w:hyperlink r:id="rId95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17"/>
        </w:numPr>
        <w:pStyle w:val="Compact"/>
      </w:pPr>
      <w:r>
        <w:t xml:space="preserve">NIST Privacy Framework:</w:t>
      </w:r>
      <w:r>
        <w:t xml:space="preserve"> </w:t>
      </w:r>
      <w:hyperlink r:id="rId96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17"/>
        </w:numPr>
        <w:pStyle w:val="Compact"/>
      </w:pPr>
      <w:r>
        <w:t xml:space="preserve">NIST AI RMF:</w:t>
      </w:r>
      <w:r>
        <w:t xml:space="preserve"> </w:t>
      </w:r>
      <w:hyperlink r:id="rId97">
        <w:hyperlink r:id="rId9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Section 508:</w:t>
      </w:r>
      <w:r>
        <w:t xml:space="preserve"> </w:t>
      </w:r>
      <w:hyperlink r:id="rId98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17"/>
        </w:numPr>
        <w:pStyle w:val="Compact"/>
      </w:pPr>
      <w:r>
        <w:t xml:space="preserve">WCAG 2.2:</w:t>
      </w:r>
      <w:r>
        <w:t xml:space="preserve"> </w:t>
      </w:r>
      <w:hyperlink r:id="rId99">
        <w:r>
          <w:rPr>
            <w:rStyle w:val="Hyperlink"/>
          </w:rPr>
          <w:t xml:space="preserve">https://www.w3.org/TR/WCAG22/</w:t>
        </w:r>
      </w:hyperlink>
    </w:p>
    <w:bookmarkEnd w:id="100"/>
    <w:bookmarkEnd w:id="101"/>
    <w:bookmarkStart w:id="102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Esta guía ofrece información general de carrera y educación. No garantiza empleo, ingresos, admisión, financiación, apprenticeship, certificación, ascenso ni resultado del proyecto. Las correspondencias ocupacionales no son necesariamente equivalencias exactas.</w:t>
      </w:r>
    </w:p>
    <w:p>
      <w:pPr>
        <w:pStyle w:val="BodyText"/>
      </w:pPr>
      <w:r>
        <w:t xml:space="preserve">Los datos oficiales de salarios/empleo de EE. UU. mostrados están</w:t>
      </w:r>
      <w:r>
        <w:t xml:space="preserve"> </w:t>
      </w:r>
      <w:r>
        <w:rPr>
          <w:bCs/>
          <w:b/>
        </w:rPr>
        <w:t xml:space="preserve">crosswalked desde Computer Occupations, All Other</w:t>
      </w:r>
      <w:r>
        <w:t xml:space="preserve">, no constituyen una población estadística pura de Coordinador de Proyecto TI.</w:t>
      </w:r>
    </w:p>
    <w:p>
      <w:pPr>
        <w:pStyle w:val="BodyText"/>
      </w:pPr>
      <w:r>
        <w:t xml:space="preserve">No se afirma certificación humana independiente, revisión legal/de seguridad/privacidad/accesibilidad, certificación profesional de project management, acreditación ni traducción certificada.</w:t>
      </w:r>
    </w:p>
    <w:bookmarkEnd w:id="102"/>
    <w:bookmarkStart w:id="103" w:name="autor-y-asistencia-de-ia"/>
    <w:p>
      <w:pPr>
        <w:pStyle w:val="Heading2"/>
      </w:pPr>
      <w:r>
        <w:t xml:space="preserve">Autor y asistencia de IA</w:t>
      </w:r>
    </w:p>
    <w:p>
      <w:pPr>
        <w:pStyle w:val="FirstParagraph"/>
      </w:pPr>
      <w:r>
        <w:t xml:space="preserve">Creada y dirigida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apoyó investigación, organización, edición, traducción y preparación documental bajo la dirección del autor. El autor conserva responsabilidad editorial y de publicación.</w:t>
      </w:r>
    </w:p>
    <w:bookmarkEnd w:id="103"/>
    <w:bookmarkStart w:id="104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Salvo indicación contraria, este material se distribuye bajo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1" Target="https://betowa.sena.edu.co/oferta/formulacion-de-proyectos-en-mi-profesion?offertype=company&amp;programId=6653&amp;modality=V" TargetMode="External" /><Relationship Type="http://schemas.openxmlformats.org/officeDocument/2006/relationships/hyperlink" Id="rId92" Target="https://betowa.sena.edu.co/oferta/formulacion-y-evaluacion-de-proyectos?programId=144816" TargetMode="External" /><Relationship Type="http://schemas.openxmlformats.org/officeDocument/2006/relationships/hyperlink" Id="rId90" Target="https://ocupacol.mintrabajo.gov.co/Profile/OccupationalProfile/25110" TargetMode="External" /><Relationship Type="http://schemas.openxmlformats.org/officeDocument/2006/relationships/hyperlink" Id="rId89" Target="https://ocupacol.mintrabajo.gov.co/Profile/OccupationalProfile/2519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7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81" Target="https://www.indeed.com/career/it-project-coordinator/salaries" TargetMode="External" /><Relationship Type="http://schemas.openxmlformats.org/officeDocument/2006/relationships/hyperlink" Id="rId86" Target="https://www.jobbank.gc.ca/marketreport/outlook-occupation/297771/ca" TargetMode="External" /><Relationship Type="http://schemas.openxmlformats.org/officeDocument/2006/relationships/hyperlink" Id="rId85" Target="https://www.jobbank.gc.ca/marketreport/requirements/297771/ca" TargetMode="External" /><Relationship Type="http://schemas.openxmlformats.org/officeDocument/2006/relationships/hyperlink" Id="rId83" Target="https://www.jobbank.gc.ca/marketreport/summary-occupation/297771/ca" TargetMode="External" /><Relationship Type="http://schemas.openxmlformats.org/officeDocument/2006/relationships/hyperlink" Id="rId84" Target="https://www.jobbank.gc.ca/marketreport/wages-occupation/297771/ca" TargetMode="External" /><Relationship Type="http://schemas.openxmlformats.org/officeDocument/2006/relationships/hyperlink" Id="rId95" Target="https://www.nist.gov/cyberframework" TargetMode="External" /><Relationship Type="http://schemas.openxmlformats.org/officeDocument/2006/relationships/hyperlink" Id="rId97" Target="https://www.nist.gov/itl/ai-risk-management-framework" TargetMode="External" /><Relationship Type="http://schemas.openxmlformats.org/officeDocument/2006/relationships/hyperlink" Id="rId96" Target="https://www.nist.gov/privacy-framework" TargetMode="External" /><Relationship Type="http://schemas.openxmlformats.org/officeDocument/2006/relationships/hyperlink" Id="rId94" Target="https://www.oitcinterfor.org/statsfp/paises" TargetMode="External" /><Relationship Type="http://schemas.openxmlformats.org/officeDocument/2006/relationships/hyperlink" Id="rId78" Target="https://www.onetonline.org/link/demand/15-1299.09" TargetMode="External" /><Relationship Type="http://schemas.openxmlformats.org/officeDocument/2006/relationships/hyperlink" Id="rId76" Target="https://www.onetonline.org/link/details/15-1299.09" TargetMode="External" /><Relationship Type="http://schemas.openxmlformats.org/officeDocument/2006/relationships/hyperlink" Id="rId77" Target="https://www.onetonline.org/link/localtrends/15-1299.09" TargetMode="External" /><Relationship Type="http://schemas.openxmlformats.org/officeDocument/2006/relationships/hyperlink" Id="rId98" Target="https://www.section508.gov/create/" TargetMode="External" /><Relationship Type="http://schemas.openxmlformats.org/officeDocument/2006/relationships/hyperlink" Id="rId99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betowa.sena.edu.co/oferta/formulacion-de-proyectos-en-mi-profesion?offertype=company&amp;programId=6653&amp;modality=V" TargetMode="External" /><Relationship Type="http://schemas.openxmlformats.org/officeDocument/2006/relationships/hyperlink" Id="rId92" Target="https://betowa.sena.edu.co/oferta/formulacion-y-evaluacion-de-proyectos?programId=144816" TargetMode="External" /><Relationship Type="http://schemas.openxmlformats.org/officeDocument/2006/relationships/hyperlink" Id="rId90" Target="https://ocupacol.mintrabajo.gov.co/Profile/OccupationalProfile/25110" TargetMode="External" /><Relationship Type="http://schemas.openxmlformats.org/officeDocument/2006/relationships/hyperlink" Id="rId89" Target="https://ocupacol.mintrabajo.gov.co/Profile/OccupationalProfile/2519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7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81" Target="https://www.indeed.com/career/it-project-coordinator/salaries" TargetMode="External" /><Relationship Type="http://schemas.openxmlformats.org/officeDocument/2006/relationships/hyperlink" Id="rId86" Target="https://www.jobbank.gc.ca/marketreport/outlook-occupation/297771/ca" TargetMode="External" /><Relationship Type="http://schemas.openxmlformats.org/officeDocument/2006/relationships/hyperlink" Id="rId85" Target="https://www.jobbank.gc.ca/marketreport/requirements/297771/ca" TargetMode="External" /><Relationship Type="http://schemas.openxmlformats.org/officeDocument/2006/relationships/hyperlink" Id="rId83" Target="https://www.jobbank.gc.ca/marketreport/summary-occupation/297771/ca" TargetMode="External" /><Relationship Type="http://schemas.openxmlformats.org/officeDocument/2006/relationships/hyperlink" Id="rId84" Target="https://www.jobbank.gc.ca/marketreport/wages-occupation/297771/ca" TargetMode="External" /><Relationship Type="http://schemas.openxmlformats.org/officeDocument/2006/relationships/hyperlink" Id="rId95" Target="https://www.nist.gov/cyberframework" TargetMode="External" /><Relationship Type="http://schemas.openxmlformats.org/officeDocument/2006/relationships/hyperlink" Id="rId97" Target="https://www.nist.gov/itl/ai-risk-management-framework" TargetMode="External" /><Relationship Type="http://schemas.openxmlformats.org/officeDocument/2006/relationships/hyperlink" Id="rId96" Target="https://www.nist.gov/privacy-framework" TargetMode="External" /><Relationship Type="http://schemas.openxmlformats.org/officeDocument/2006/relationships/hyperlink" Id="rId94" Target="https://www.oitcinterfor.org/statsfp/paises" TargetMode="External" /><Relationship Type="http://schemas.openxmlformats.org/officeDocument/2006/relationships/hyperlink" Id="rId78" Target="https://www.onetonline.org/link/demand/15-1299.09" TargetMode="External" /><Relationship Type="http://schemas.openxmlformats.org/officeDocument/2006/relationships/hyperlink" Id="rId76" Target="https://www.onetonline.org/link/details/15-1299.09" TargetMode="External" /><Relationship Type="http://schemas.openxmlformats.org/officeDocument/2006/relationships/hyperlink" Id="rId77" Target="https://www.onetonline.org/link/localtrends/15-1299.09" TargetMode="External" /><Relationship Type="http://schemas.openxmlformats.org/officeDocument/2006/relationships/hyperlink" Id="rId98" Target="https://www.section508.gov/create/" TargetMode="External" /><Relationship Type="http://schemas.openxmlformats.org/officeDocument/2006/relationships/hyperlink" Id="rId99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2026-08-22T07:53:06Z</dcterms:created>
  <dcterms:modified xsi:type="dcterms:W3CDTF">2026-08-22T07:53:06Z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