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0a4b04f29ad5fa69d2defc74809fd49d422a2f7"/>
    <w:p>
      <w:pPr>
        <w:pStyle w:val="Heading1"/>
      </w:pPr>
      <w:r>
        <w:t xml:space="preserve">Guia de Oportunidades para Toda a Vida 91 — Especialista em Suporte de Nuvem</w:t>
      </w:r>
    </w:p>
    <w:p>
      <w:pPr>
        <w:pStyle w:val="FirstParagraph"/>
      </w:pPr>
      <w:r>
        <w:rPr>
          <w:bCs/>
          <w:b/>
        </w:rPr>
        <w:t xml:space="preserve">Versão:</w:t>
      </w:r>
      <w:r>
        <w:t xml:space="preserve"> </w:t>
      </w:r>
      <w:r>
        <w:t xml:space="preserve">2.0 — mestre de trabalho controlado</w:t>
      </w:r>
      <w:r>
        <w:br/>
      </w:r>
      <w:r>
        <w:rPr>
          <w:bCs/>
          <w:b/>
        </w:rPr>
        <w:t xml:space="preserve">Idioma:</w:t>
      </w:r>
      <w:r>
        <w:t xml:space="preserve"> </w:t>
      </w:r>
      <w:r>
        <w:t xml:space="preserve">Português do Brasil (</w:t>
      </w:r>
      <w:r>
        <w:rPr>
          <w:rStyle w:val="VerbatimChar"/>
        </w:rPr>
        <w:t xml:space="preserve">pt-BR</w:t>
      </w:r>
      <w:r>
        <w:t xml:space="preserve">)</w:t>
      </w:r>
      <w:r>
        <w:br/>
      </w:r>
      <w:r>
        <w:rPr>
          <w:bCs/>
          <w:b/>
        </w:rPr>
        <w:t xml:space="preserve">Referência principal dos EUA:</w:t>
      </w:r>
      <w:r>
        <w:t xml:space="preserve"> </w:t>
      </w:r>
      <w:r>
        <w:t xml:space="preserve">O*NET-SOC 15-1231.00 — Computer Network Support Specialists</w:t>
      </w:r>
      <w:r>
        <w:br/>
      </w:r>
      <w:r>
        <w:rPr>
          <w:bCs/>
          <w:b/>
        </w:rPr>
        <w:t xml:space="preserve">Comparações do Canadá:</w:t>
      </w:r>
      <w:r>
        <w:t xml:space="preserve"> </w:t>
      </w:r>
      <w:r>
        <w:t xml:space="preserve">NOC 22220 — Computer network and web technicians; NOC 22221 — User support technicians</w:t>
      </w:r>
      <w:r>
        <w:br/>
      </w:r>
      <w:r>
        <w:rPr>
          <w:bCs/>
          <w:b/>
        </w:rPr>
        <w:t xml:space="preserve">Comparações da Colômbia:</w:t>
      </w:r>
      <w:r>
        <w:t xml:space="preserve"> </w:t>
      </w:r>
      <w:r>
        <w:t xml:space="preserve">CUOC 35130 — Técnicos en redes y tecnologías de la información; CUOC 35121 — Técnicos en asistencia y soporte de tecnologías de la información</w:t>
      </w:r>
      <w:r>
        <w:br/>
      </w:r>
      <w:r>
        <w:rPr>
          <w:bCs/>
          <w:b/>
        </w:rPr>
        <w:t xml:space="preserve">Data de revisão:</w:t>
      </w:r>
      <w:r>
        <w:t xml:space="preserve"> </w:t>
      </w:r>
      <w:r>
        <w:t xml:space="preserve">2026-08-22</w:t>
      </w:r>
      <w:r>
        <w:br/>
      </w:r>
      <w:r>
        <w:rPr>
          <w:bCs/>
          <w:b/>
        </w:rPr>
        <w:t xml:space="preserve">Fonte inglesa congelada:</w:t>
      </w:r>
      <w:r>
        <w:t xml:space="preserve"> </w:t>
      </w:r>
      <w:r>
        <w:t xml:space="preserve">blob</w:t>
      </w:r>
      <w:r>
        <w:t xml:space="preserve"> </w:t>
      </w:r>
      <w:r>
        <w:rPr>
          <w:rStyle w:val="VerbatimChar"/>
        </w:rPr>
        <w:t xml:space="preserve">499172975884310af740796bd38f304b07ae0b62</w:t>
      </w:r>
    </w:p>
    <w:bookmarkStart w:id="20" w:name="o-que-é-esta-carreira"/>
    <w:p>
      <w:pPr>
        <w:pStyle w:val="Heading2"/>
      </w:pPr>
      <w:r>
        <w:t xml:space="preserve">O que é esta carreira</w:t>
      </w:r>
    </w:p>
    <w:p>
      <w:pPr>
        <w:pStyle w:val="FirstParagraph"/>
      </w:pPr>
      <w:r>
        <w:t xml:space="preserve">Um Especialista em Suporte de Nuvem ajuda a manter sistemas e serviços cloud disponíveis, utilizáveis, seguros e suportáveis. Conforme o empregador, o trabalho pode envolver identidade e acesso, redes virtuais, DNS, computação, armazenamento, monitoramento, logs, incidentes, backups, aplicações SaaS, escalonamento com fornecedores e mudanças controladas em produção.</w:t>
      </w:r>
    </w:p>
    <w:p>
      <w:pPr>
        <w:pStyle w:val="BodyText"/>
      </w:pPr>
      <w:r>
        <w:t xml:space="preserve">O título é amplo. Alguns papéis são fortemente orientados a infraestrutura e se aproximam de suporte de redes/sistemas; outros focam usuários e aplicações cloud. Alguns ficam próximos de Cloud Administrator ou Cloud Engineer. As funções, permissões e limites de escalonamento importam mais do que o nome do cargo.</w:t>
      </w:r>
    </w:p>
    <w:p>
      <w:pPr>
        <w:pStyle w:val="BodyText"/>
      </w:pPr>
      <w:r>
        <w:t xml:space="preserve">Nos Estados Unidos, a referência atual mais forte é</w:t>
      </w:r>
      <w:r>
        <w:t xml:space="preserve"> </w:t>
      </w:r>
      <w:r>
        <w:rPr>
          <w:bCs/>
          <w:b/>
        </w:rPr>
        <w:t xml:space="preserve">O*NET-SOC 15-1231.00 — Computer Network Support Specialists</w:t>
      </w:r>
      <w:r>
        <w:t xml:space="preserve">, porque O*NET inclui explicitamente</w:t>
      </w:r>
      <w:r>
        <w:t xml:space="preserve"> </w:t>
      </w:r>
      <w:r>
        <w:rPr>
          <w:bCs/>
          <w:b/>
        </w:rPr>
        <w:t xml:space="preserve">cloud networks</w:t>
      </w:r>
      <w:r>
        <w:t xml:space="preserve"> </w:t>
      </w:r>
      <w:r>
        <w:t xml:space="preserve">e lista</w:t>
      </w:r>
      <w:r>
        <w:t xml:space="preserve"> </w:t>
      </w:r>
      <w:r>
        <w:rPr>
          <w:bCs/>
          <w:b/>
        </w:rPr>
        <w:t xml:space="preserve">Cloud Support Specialist</w:t>
      </w:r>
      <w:r>
        <w:t xml:space="preserve"> </w:t>
      </w:r>
      <w:r>
        <w:t xml:space="preserve">e</w:t>
      </w:r>
      <w:r>
        <w:t xml:space="preserve"> </w:t>
      </w:r>
      <w:r>
        <w:rPr>
          <w:bCs/>
          <w:b/>
        </w:rPr>
        <w:t xml:space="preserve">Junior Cloud Engineer (Nof)</w:t>
      </w:r>
      <w:r>
        <w:t xml:space="preserve"> </w:t>
      </w:r>
      <w:r>
        <w:t xml:space="preserve">como títulos aprovados de Registered Apprenticeship. Canadá e Colômbia exigem um modelo de dois escopos, não uma equivalência forçada.</w:t>
      </w:r>
    </w:p>
    <w:bookmarkEnd w:id="20"/>
    <w:bookmarkStart w:id="24" w:name="escopo-por-função"/>
    <w:p>
      <w:pPr>
        <w:pStyle w:val="Heading2"/>
      </w:pPr>
      <w:r>
        <w:t xml:space="preserve">Escopo por função</w:t>
      </w:r>
    </w:p>
    <w:bookmarkStart w:id="21" w:name="suporte-de-infraestruturarede-cloud"/>
    <w:p>
      <w:pPr>
        <w:pStyle w:val="Heading3"/>
      </w:pPr>
      <w:r>
        <w:t xml:space="preserve">Suporte de infraestrutura/rede cloud</w:t>
      </w:r>
    </w:p>
    <w:p>
      <w:pPr>
        <w:pStyle w:val="FirstParagraph"/>
      </w:pPr>
      <w:r>
        <w:t xml:space="preserve">Pode incluir redes virtuais, routing, DNS, firewall/security groups, conectividade, saúde de compute/storage, monitoramento, backups e suporte privilegiado de plataforma. Alinha-se melhor com</w:t>
      </w:r>
      <w:r>
        <w:t xml:space="preserve"> </w:t>
      </w:r>
      <w:r>
        <w:rPr>
          <w:bCs/>
          <w:b/>
        </w:rPr>
        <w:t xml:space="preserve">NOC 22220</w:t>
      </w:r>
      <w:r>
        <w:t xml:space="preserve"> </w:t>
      </w:r>
      <w:r>
        <w:t xml:space="preserve">no Canadá e</w:t>
      </w:r>
      <w:r>
        <w:t xml:space="preserve"> </w:t>
      </w:r>
      <w:r>
        <w:rPr>
          <w:bCs/>
          <w:b/>
        </w:rPr>
        <w:t xml:space="preserve">CUOC 35130</w:t>
      </w:r>
      <w:r>
        <w:t xml:space="preserve"> </w:t>
      </w:r>
      <w:r>
        <w:t xml:space="preserve">na Colômbia.</w:t>
      </w:r>
    </w:p>
    <w:bookmarkEnd w:id="21"/>
    <w:bookmarkStart w:id="22" w:name="suporte-de-usuárioaplicação-cloud"/>
    <w:p>
      <w:pPr>
        <w:pStyle w:val="Heading3"/>
      </w:pPr>
      <w:r>
        <w:t xml:space="preserve">Suporte de usuário/aplicação cloud</w:t>
      </w:r>
    </w:p>
    <w:p>
      <w:pPr>
        <w:pStyle w:val="FirstParagraph"/>
      </w:pPr>
      <w:r>
        <w:t xml:space="preserve">Pode incluir acesso SaaS, incidentes de aplicações, problemas de client/deployment, configuração de usuário, software de comunicações e suporte de primeira linha. Alinha-se melhor com</w:t>
      </w:r>
      <w:r>
        <w:t xml:space="preserve"> </w:t>
      </w:r>
      <w:r>
        <w:rPr>
          <w:bCs/>
          <w:b/>
        </w:rPr>
        <w:t xml:space="preserve">NOC 22221</w:t>
      </w:r>
      <w:r>
        <w:t xml:space="preserve"> </w:t>
      </w:r>
      <w:r>
        <w:t xml:space="preserve">no Canadá e</w:t>
      </w:r>
      <w:r>
        <w:t xml:space="preserve"> </w:t>
      </w:r>
      <w:r>
        <w:rPr>
          <w:bCs/>
          <w:b/>
        </w:rPr>
        <w:t xml:space="preserve">CUOC 35121</w:t>
      </w:r>
      <w:r>
        <w:t xml:space="preserve"> </w:t>
      </w:r>
      <w:r>
        <w:t xml:space="preserve">na Colômbia.</w:t>
      </w:r>
    </w:p>
    <w:bookmarkEnd w:id="22"/>
    <w:bookmarkStart w:id="23" w:name="funções-adjacentes"/>
    <w:p>
      <w:pPr>
        <w:pStyle w:val="Heading3"/>
      </w:pPr>
      <w:r>
        <w:t xml:space="preserve">Funções adjacentes</w:t>
      </w:r>
    </w:p>
    <w:p>
      <w:pPr>
        <w:numPr>
          <w:ilvl w:val="0"/>
          <w:numId w:val="1001"/>
        </w:numPr>
        <w:pStyle w:val="Compact"/>
      </w:pPr>
      <w:r>
        <w:rPr>
          <w:bCs/>
          <w:b/>
        </w:rPr>
        <w:t xml:space="preserve">Help Desk/User Support:</w:t>
      </w:r>
      <w:r>
        <w:t xml:space="preserve"> </w:t>
      </w:r>
      <w:r>
        <w:t xml:space="preserve">suporte amplo de endpoints, usuários e aplicações.</w:t>
      </w:r>
    </w:p>
    <w:p>
      <w:pPr>
        <w:numPr>
          <w:ilvl w:val="0"/>
          <w:numId w:val="1001"/>
        </w:numPr>
        <w:pStyle w:val="Compact"/>
      </w:pPr>
      <w:r>
        <w:rPr>
          <w:bCs/>
          <w:b/>
        </w:rPr>
        <w:t xml:space="preserve">Network Support:</w:t>
      </w:r>
      <w:r>
        <w:t xml:space="preserve"> </w:t>
      </w:r>
      <w:r>
        <w:t xml:space="preserve">conectividade, routing, DNS, dispositivos e redes cloud.</w:t>
      </w:r>
    </w:p>
    <w:p>
      <w:pPr>
        <w:numPr>
          <w:ilvl w:val="0"/>
          <w:numId w:val="1001"/>
        </w:numPr>
        <w:pStyle w:val="Compact"/>
      </w:pPr>
      <w:r>
        <w:rPr>
          <w:bCs/>
          <w:b/>
        </w:rPr>
        <w:t xml:space="preserve">Cloud Administrator:</w:t>
      </w:r>
      <w:r>
        <w:t xml:space="preserve"> </w:t>
      </w:r>
      <w:r>
        <w:t xml:space="preserve">normalmente possui maior autoridade de configuração e administração.</w:t>
      </w:r>
    </w:p>
    <w:p>
      <w:pPr>
        <w:numPr>
          <w:ilvl w:val="0"/>
          <w:numId w:val="1001"/>
        </w:numPr>
        <w:pStyle w:val="Compact"/>
      </w:pPr>
      <w:r>
        <w:rPr>
          <w:bCs/>
          <w:b/>
        </w:rPr>
        <w:t xml:space="preserve">Cloud Engineer:</w:t>
      </w:r>
      <w:r>
        <w:t xml:space="preserve"> </w:t>
      </w:r>
      <w:r>
        <w:t xml:space="preserve">costuma assumir mais design, build, automação e infraestrutura como código.</w:t>
      </w:r>
    </w:p>
    <w:p>
      <w:pPr>
        <w:numPr>
          <w:ilvl w:val="0"/>
          <w:numId w:val="1001"/>
        </w:numPr>
        <w:pStyle w:val="Compact"/>
      </w:pPr>
      <w:r>
        <w:rPr>
          <w:bCs/>
          <w:b/>
        </w:rPr>
        <w:t xml:space="preserve">SRE/DevOps:</w:t>
      </w:r>
      <w:r>
        <w:t xml:space="preserve"> </w:t>
      </w:r>
      <w:r>
        <w:t xml:space="preserve">normalmente cobre engenharia de confiabilidade, automação e entrega de software.</w:t>
      </w:r>
    </w:p>
    <w:p>
      <w:pPr>
        <w:pStyle w:val="FirstParagraph"/>
      </w:pPr>
      <w:r>
        <w:t xml:space="preserve">Não presuma que um Especialista em Suporte de Nuvem possua arquitetura, exceções de segurança, orçamento, desenho de políticas IAM ou autoridade de release/produção sem atribuição explícita.</w:t>
      </w:r>
    </w:p>
    <w:bookmarkEnd w:id="23"/>
    <w:bookmarkEnd w:id="24"/>
    <w:bookmarkStart w:id="25" w:name="comece-pelo-impacto-e-pelo-escopo"/>
    <w:p>
      <w:pPr>
        <w:pStyle w:val="Heading2"/>
      </w:pPr>
      <w:r>
        <w:t xml:space="preserve">Comece pelo impacto e pelo escopo</w:t>
      </w:r>
    </w:p>
    <w:p>
      <w:pPr>
        <w:pStyle w:val="FirstParagraph"/>
      </w:pPr>
      <w:r>
        <w:t xml:space="preserve">Antes de diagnosticar, identifique:</w:t>
      </w:r>
    </w:p>
    <w:p>
      <w:pPr>
        <w:numPr>
          <w:ilvl w:val="0"/>
          <w:numId w:val="1002"/>
        </w:numPr>
        <w:pStyle w:val="Compact"/>
      </w:pPr>
      <w:r>
        <w:t xml:space="preserve">quem ou o que está afetado;</w:t>
      </w:r>
    </w:p>
    <w:p>
      <w:pPr>
        <w:numPr>
          <w:ilvl w:val="0"/>
          <w:numId w:val="1002"/>
        </w:numPr>
        <w:pStyle w:val="Compact"/>
      </w:pPr>
      <w:r>
        <w:t xml:space="preserve">impacto ao negócio/serviço;</w:t>
      </w:r>
    </w:p>
    <w:p>
      <w:pPr>
        <w:numPr>
          <w:ilvl w:val="0"/>
          <w:numId w:val="1002"/>
        </w:numPr>
        <w:pStyle w:val="Compact"/>
      </w:pPr>
      <w:r>
        <w:t xml:space="preserve">conta, tenant, subscription ou project;</w:t>
      </w:r>
    </w:p>
    <w:p>
      <w:pPr>
        <w:numPr>
          <w:ilvl w:val="0"/>
          <w:numId w:val="1002"/>
        </w:numPr>
        <w:pStyle w:val="Compact"/>
      </w:pPr>
      <w:r>
        <w:t xml:space="preserve">região/zona e ambiente;</w:t>
      </w:r>
    </w:p>
    <w:p>
      <w:pPr>
        <w:numPr>
          <w:ilvl w:val="0"/>
          <w:numId w:val="1002"/>
        </w:numPr>
        <w:pStyle w:val="Compact"/>
      </w:pPr>
      <w:r>
        <w:t xml:space="preserve">recurso/serviço envolvido;</w:t>
      </w:r>
    </w:p>
    <w:p>
      <w:pPr>
        <w:numPr>
          <w:ilvl w:val="0"/>
          <w:numId w:val="1002"/>
        </w:numPr>
        <w:pStyle w:val="Compact"/>
      </w:pPr>
      <w:r>
        <w:t xml:space="preserve">timestamps;</w:t>
      </w:r>
    </w:p>
    <w:p>
      <w:pPr>
        <w:numPr>
          <w:ilvl w:val="0"/>
          <w:numId w:val="1002"/>
        </w:numPr>
        <w:pStyle w:val="Compact"/>
      </w:pPr>
      <w:r>
        <w:t xml:space="preserve">mudanças recentes;</w:t>
      </w:r>
    </w:p>
    <w:p>
      <w:pPr>
        <w:numPr>
          <w:ilvl w:val="0"/>
          <w:numId w:val="1002"/>
        </w:numPr>
        <w:pStyle w:val="Compact"/>
      </w:pPr>
      <w:r>
        <w:t xml:space="preserve">nível de autorização;</w:t>
      </w:r>
    </w:p>
    <w:p>
      <w:pPr>
        <w:numPr>
          <w:ilvl w:val="0"/>
          <w:numId w:val="1002"/>
        </w:numPr>
        <w:pStyle w:val="Compact"/>
      </w:pPr>
      <w:r>
        <w:t xml:space="preserve">logs/métricas disponíveis;</w:t>
      </w:r>
    </w:p>
    <w:p>
      <w:pPr>
        <w:numPr>
          <w:ilvl w:val="0"/>
          <w:numId w:val="1002"/>
        </w:numPr>
        <w:pStyle w:val="Compact"/>
      </w:pPr>
      <w:r>
        <w:t xml:space="preserve">rota de escalonamento.</w:t>
      </w:r>
    </w:p>
    <w:p>
      <w:pPr>
        <w:pStyle w:val="FirstParagraph"/>
      </w:pPr>
      <w:r>
        <w:t xml:space="preserve">Isso reduz mudanças amplas e arriscadas feitas apenas para “ver se funciona”.</w:t>
      </w:r>
    </w:p>
    <w:bookmarkEnd w:id="25"/>
    <w:bookmarkStart w:id="26" w:name="hierarquia-de-contas-e-recursos"/>
    <w:p>
      <w:pPr>
        <w:pStyle w:val="Heading2"/>
      </w:pPr>
      <w:r>
        <w:t xml:space="preserve">Hierarquia de contas e recursos</w:t>
      </w:r>
    </w:p>
    <w:p>
      <w:pPr>
        <w:pStyle w:val="FirstParagraph"/>
      </w:pPr>
      <w:r>
        <w:t xml:space="preserve">Entenda as variantes do provedor para organização/conta/tenant, subscription/project/account, resource groups/folders/projects, regiões e zonas de disponibilidade, IDs de recursos, tags/labels, quotas/service limits e ownership de custos.</w:t>
      </w:r>
    </w:p>
    <w:p>
      <w:pPr>
        <w:pStyle w:val="BodyText"/>
      </w:pPr>
      <w:r>
        <w:t xml:space="preserve">A terminologia muda entre AWS, Azure, Google Cloud e outros fornecedores. Confirme sempre o target ativo antes de executar um comando ou alteração.</w:t>
      </w:r>
    </w:p>
    <w:bookmarkEnd w:id="26"/>
    <w:bookmarkStart w:id="27" w:name="responsabilidade-compartilhada"/>
    <w:p>
      <w:pPr>
        <w:pStyle w:val="Heading2"/>
      </w:pPr>
      <w:r>
        <w:t xml:space="preserve">Responsabilidade compartilhada</w:t>
      </w:r>
    </w:p>
    <w:p>
      <w:pPr>
        <w:pStyle w:val="FirstParagraph"/>
      </w:pPr>
      <w:r>
        <w:t xml:space="preserve">Fornecedores cloud operam e protegem partes da plataforma; clientes retêm responsabilidades que variam por modelo de serviço e configuração. Um serviço gerenciado</w:t>
      </w:r>
      <w:r>
        <w:t xml:space="preserve"> </w:t>
      </w:r>
      <w:r>
        <w:rPr>
          <w:bCs/>
          <w:b/>
        </w:rPr>
        <w:t xml:space="preserve">não</w:t>
      </w:r>
      <w:r>
        <w:t xml:space="preserve"> </w:t>
      </w:r>
      <w:r>
        <w:t xml:space="preserve">significa que:</w:t>
      </w:r>
    </w:p>
    <w:p>
      <w:pPr>
        <w:numPr>
          <w:ilvl w:val="0"/>
          <w:numId w:val="1003"/>
        </w:numPr>
        <w:pStyle w:val="Compact"/>
      </w:pPr>
      <w:r>
        <w:t xml:space="preserve">o fornecedor configure corretamente o IAM do cliente;</w:t>
      </w:r>
    </w:p>
    <w:p>
      <w:pPr>
        <w:numPr>
          <w:ilvl w:val="0"/>
          <w:numId w:val="1003"/>
        </w:numPr>
        <w:pStyle w:val="Compact"/>
      </w:pPr>
      <w:r>
        <w:t xml:space="preserve">classificação de dados deixe de existir;</w:t>
      </w:r>
    </w:p>
    <w:p>
      <w:pPr>
        <w:numPr>
          <w:ilvl w:val="0"/>
          <w:numId w:val="1003"/>
        </w:numPr>
        <w:pStyle w:val="Compact"/>
      </w:pPr>
      <w:r>
        <w:t xml:space="preserve">vulnerabilidades da aplicação passem ao fornecedor;</w:t>
      </w:r>
    </w:p>
    <w:p>
      <w:pPr>
        <w:numPr>
          <w:ilvl w:val="0"/>
          <w:numId w:val="1003"/>
        </w:numPr>
        <w:pStyle w:val="Compact"/>
      </w:pPr>
      <w:r>
        <w:t xml:space="preserve">backups e recovery fiquem automaticamente corretos;</w:t>
      </w:r>
    </w:p>
    <w:p>
      <w:pPr>
        <w:numPr>
          <w:ilvl w:val="0"/>
          <w:numId w:val="1003"/>
        </w:numPr>
        <w:pStyle w:val="Compact"/>
      </w:pPr>
      <w:r>
        <w:t xml:space="preserve">redes/firewalls não possam ser mal configurados;</w:t>
      </w:r>
    </w:p>
    <w:p>
      <w:pPr>
        <w:numPr>
          <w:ilvl w:val="0"/>
          <w:numId w:val="1003"/>
        </w:numPr>
        <w:pStyle w:val="Compact"/>
      </w:pPr>
      <w:r>
        <w:t xml:space="preserve">requisitos de logging/monitoramento desapareçam.</w:t>
      </w:r>
    </w:p>
    <w:p>
      <w:pPr>
        <w:pStyle w:val="FirstParagraph"/>
      </w:pPr>
      <w:r>
        <w:t xml:space="preserve">Use documentação específica do serviço/provedor em vez de memorizar um único quadro genérico.</w:t>
      </w:r>
    </w:p>
    <w:bookmarkEnd w:id="27"/>
    <w:bookmarkStart w:id="28" w:name="identidade-mfa-e-menor-privilégio"/>
    <w:p>
      <w:pPr>
        <w:pStyle w:val="Heading2"/>
      </w:pPr>
      <w:r>
        <w:t xml:space="preserve">Identidade, MFA e menor privilégio</w:t>
      </w:r>
    </w:p>
    <w:p>
      <w:pPr>
        <w:pStyle w:val="FirstParagraph"/>
      </w:pPr>
      <w:r>
        <w:t xml:space="preserve">Práticas essenciais:</w:t>
      </w:r>
    </w:p>
    <w:p>
      <w:pPr>
        <w:numPr>
          <w:ilvl w:val="0"/>
          <w:numId w:val="1004"/>
        </w:numPr>
        <w:pStyle w:val="Compact"/>
      </w:pPr>
      <w:r>
        <w:t xml:space="preserve">identidades nominativas;</w:t>
      </w:r>
    </w:p>
    <w:p>
      <w:pPr>
        <w:numPr>
          <w:ilvl w:val="0"/>
          <w:numId w:val="1004"/>
        </w:numPr>
        <w:pStyle w:val="Compact"/>
      </w:pPr>
      <w:r>
        <w:t xml:space="preserve">métodos aprovados de autenticação;</w:t>
      </w:r>
    </w:p>
    <w:p>
      <w:pPr>
        <w:numPr>
          <w:ilvl w:val="0"/>
          <w:numId w:val="1004"/>
        </w:numPr>
        <w:pStyle w:val="Compact"/>
      </w:pPr>
      <w:r>
        <w:t xml:space="preserve">MFA quando exigido;</w:t>
      </w:r>
    </w:p>
    <w:p>
      <w:pPr>
        <w:numPr>
          <w:ilvl w:val="0"/>
          <w:numId w:val="1004"/>
        </w:numPr>
        <w:pStyle w:val="Compact"/>
      </w:pPr>
      <w:r>
        <w:t xml:space="preserve">menor privilégio;</w:t>
      </w:r>
    </w:p>
    <w:p>
      <w:pPr>
        <w:numPr>
          <w:ilvl w:val="0"/>
          <w:numId w:val="1004"/>
        </w:numPr>
        <w:pStyle w:val="Compact"/>
      </w:pPr>
      <w:r>
        <w:t xml:space="preserve">acesso temporário/elevado quando disponível;</w:t>
      </w:r>
    </w:p>
    <w:p>
      <w:pPr>
        <w:numPr>
          <w:ilvl w:val="0"/>
          <w:numId w:val="1004"/>
        </w:numPr>
        <w:pStyle w:val="Compact"/>
      </w:pPr>
      <w:r>
        <w:t xml:space="preserve">proteção de service accounts/workload identities;</w:t>
      </w:r>
    </w:p>
    <w:p>
      <w:pPr>
        <w:numPr>
          <w:ilvl w:val="0"/>
          <w:numId w:val="1004"/>
        </w:numPr>
        <w:pStyle w:val="Compact"/>
      </w:pPr>
      <w:r>
        <w:t xml:space="preserve">verificação de escopo antes de alterar roles/policies;</w:t>
      </w:r>
    </w:p>
    <w:p>
      <w:pPr>
        <w:numPr>
          <w:ilvl w:val="0"/>
          <w:numId w:val="1004"/>
        </w:numPr>
        <w:pStyle w:val="Compact"/>
      </w:pPr>
      <w:r>
        <w:t xml:space="preserve">escalonamento de acesso suspeito.</w:t>
      </w:r>
    </w:p>
    <w:p>
      <w:pPr>
        <w:pStyle w:val="FirstParagraph"/>
      </w:pPr>
      <w:r>
        <w:t xml:space="preserve">Nunca cole senhas, API keys, tokens, signing keys, certificados ou outros segredos em tickets, chats, repositórios públicos ou ferramentas de IA não aprovadas. Acesso de suporte não é autorização irrestrita para visualizar dados do cliente ou modificar qualquer recurso.</w:t>
      </w:r>
    </w:p>
    <w:bookmarkEnd w:id="28"/>
    <w:bookmarkStart w:id="29" w:name="fundamentos-de-computação"/>
    <w:p>
      <w:pPr>
        <w:pStyle w:val="Heading2"/>
      </w:pPr>
      <w:r>
        <w:t xml:space="preserve">Fundamentos de computação</w:t>
      </w:r>
    </w:p>
    <w:p>
      <w:pPr>
        <w:pStyle w:val="FirstParagraph"/>
      </w:pPr>
      <w:r>
        <w:t xml:space="preserve">Conceitos úteis incluem virtual machines/instances, images/templates, tipos/tamanhos, start/stop/restart, discos/volumes, autoscaling, containers/managed compute em nível conceitual, health checks, quotas e limites de acesso ao sistema operacional.</w:t>
      </w:r>
    </w:p>
    <w:p>
      <w:pPr>
        <w:pStyle w:val="BodyText"/>
      </w:pPr>
      <w:r>
        <w:t xml:space="preserve">Um restart pode aliviar temporariamente um sintoma sem provar a causa raiz. Capture evidências antes de ações destrutivas ou state-changing quando a política exigir.</w:t>
      </w:r>
    </w:p>
    <w:bookmarkEnd w:id="29"/>
    <w:bookmarkStart w:id="30" w:name="fundamentos-de-armazenamento"/>
    <w:p>
      <w:pPr>
        <w:pStyle w:val="Heading2"/>
      </w:pPr>
      <w:r>
        <w:t xml:space="preserve">Fundamentos de armazenamento</w:t>
      </w:r>
    </w:p>
    <w:p>
      <w:pPr>
        <w:pStyle w:val="FirstParagraph"/>
      </w:pPr>
      <w:r>
        <w:t xml:space="preserve">Entenda object/block/file storage, lifecycle/retention, criptografia/acesso, redundância, snapshots/backups e versionamento quando existir.</w:t>
      </w:r>
    </w:p>
    <w:p>
      <w:pPr>
        <w:pStyle w:val="BodyText"/>
      </w:pPr>
      <w:r>
        <w:t xml:space="preserve">Não altere retenção, criptografia, acesso público ou replicação sem autoridade e avaliação de impacto.</w:t>
      </w:r>
    </w:p>
    <w:bookmarkEnd w:id="30"/>
    <w:bookmarkStart w:id="31" w:name="redes-cloud"/>
    <w:p>
      <w:pPr>
        <w:pStyle w:val="Heading2"/>
      </w:pPr>
      <w:r>
        <w:t xml:space="preserve">Redes cloud</w:t>
      </w:r>
    </w:p>
    <w:p>
      <w:pPr>
        <w:pStyle w:val="FirstParagraph"/>
      </w:pPr>
      <w:r>
        <w:t xml:space="preserve">Entenda VPC/VNet/redes virtuais, subnets, route tables, security groups/firewalls, IPs públicos/privados, NAT, load balancers, DNS, VPN/private connectivity, portas/protocolos, latência, packet path e certificados/TLS em nível de suporte.</w:t>
      </w:r>
    </w:p>
    <w:p>
      <w:pPr>
        <w:pStyle w:val="BodyText"/>
      </w:pPr>
      <w:r>
        <w:t xml:space="preserve">Diagnostique por camadas. Um timeout pode vir de DNS, routing, firewall, service health, aplicação, certificado ou dependência.</w:t>
      </w:r>
    </w:p>
    <w:bookmarkEnd w:id="31"/>
    <w:bookmarkStart w:id="32" w:name="troubleshooting-de-dns"/>
    <w:p>
      <w:pPr>
        <w:pStyle w:val="Heading2"/>
      </w:pPr>
      <w:r>
        <w:t xml:space="preserve">Troubleshooting de DNS</w:t>
      </w:r>
    </w:p>
    <w:p>
      <w:pPr>
        <w:pStyle w:val="FirstParagraph"/>
      </w:pPr>
      <w:r>
        <w:t xml:space="preserve">Verifique hostname esperado, resolver path, tipo/valor do registro, TTL/cache, zonas privadas/públicas, mudanças recentes, alinhamento certificate-hostname e saúde real do serviço de destino.</w:t>
      </w:r>
    </w:p>
    <w:p>
      <w:pPr>
        <w:pStyle w:val="BodyText"/>
      </w:pPr>
      <w:r>
        <w:t xml:space="preserve">Evite alterações amplas de DNS quando a evidência aponta para outra camada.</w:t>
      </w:r>
    </w:p>
    <w:bookmarkEnd w:id="32"/>
    <w:bookmarkStart w:id="33" w:name="logs-métricas-traces-e-alertas"/>
    <w:p>
      <w:pPr>
        <w:pStyle w:val="Heading2"/>
      </w:pPr>
      <w:r>
        <w:t xml:space="preserve">Logs, métricas, traces e alertas</w:t>
      </w:r>
    </w:p>
    <w:p>
      <w:pPr>
        <w:pStyle w:val="FirstParagraph"/>
      </w:pPr>
      <w:r>
        <w:t xml:space="preserve">A evidência pode incluir activity/audit logs, authentication logs, network-flow logs, system/application logs, métricas, traces, dashboards, alertas e avisos de service health.</w:t>
      </w:r>
    </w:p>
    <w:p>
      <w:pPr>
        <w:pStyle w:val="BodyText"/>
      </w:pPr>
      <w:r>
        <w:t xml:space="preserve">Logs podem conter informação sensível. Siga controles de acesso, retenção, exportação e compartilhamento. Não anexe grandes pacotes de logs protegidos quando um trecho mínimo e sanitizado for suficiente.</w:t>
      </w:r>
    </w:p>
    <w:bookmarkEnd w:id="33"/>
    <w:bookmarkStart w:id="34" w:name="fluxo-repetível-de-troubleshooting"/>
    <w:p>
      <w:pPr>
        <w:pStyle w:val="Heading2"/>
      </w:pPr>
      <w:r>
        <w:t xml:space="preserve">Fluxo repetível de troubleshooting</w:t>
      </w:r>
    </w:p>
    <w:p>
      <w:pPr>
        <w:numPr>
          <w:ilvl w:val="0"/>
          <w:numId w:val="1005"/>
        </w:numPr>
        <w:pStyle w:val="Compact"/>
      </w:pPr>
      <w:r>
        <w:t xml:space="preserve">Identifique impacto e urgência.</w:t>
      </w:r>
    </w:p>
    <w:p>
      <w:pPr>
        <w:numPr>
          <w:ilvl w:val="0"/>
          <w:numId w:val="1005"/>
        </w:numPr>
        <w:pStyle w:val="Compact"/>
      </w:pPr>
      <w:r>
        <w:t xml:space="preserve">Confirme conta/recurso/região/ambiente.</w:t>
      </w:r>
    </w:p>
    <w:p>
      <w:pPr>
        <w:numPr>
          <w:ilvl w:val="0"/>
          <w:numId w:val="1005"/>
        </w:numPr>
        <w:pStyle w:val="Compact"/>
      </w:pPr>
      <w:r>
        <w:t xml:space="preserve">Confirme timestamps e mudanças recentes.</w:t>
      </w:r>
    </w:p>
    <w:p>
      <w:pPr>
        <w:numPr>
          <w:ilvl w:val="0"/>
          <w:numId w:val="1005"/>
        </w:numPr>
        <w:pStyle w:val="Compact"/>
      </w:pPr>
      <w:r>
        <w:t xml:space="preserve">Verifique service health do provedor.</w:t>
      </w:r>
    </w:p>
    <w:p>
      <w:pPr>
        <w:numPr>
          <w:ilvl w:val="0"/>
          <w:numId w:val="1005"/>
        </w:numPr>
        <w:pStyle w:val="Compact"/>
      </w:pPr>
      <w:r>
        <w:t xml:space="preserve">Revise logs, métricas e alertas relevantes.</w:t>
      </w:r>
    </w:p>
    <w:p>
      <w:pPr>
        <w:numPr>
          <w:ilvl w:val="0"/>
          <w:numId w:val="1005"/>
        </w:numPr>
        <w:pStyle w:val="Compact"/>
      </w:pPr>
      <w:r>
        <w:t xml:space="preserve">Isole identidade, rede, compute, storage, aplicação ou dependência.</w:t>
      </w:r>
    </w:p>
    <w:p>
      <w:pPr>
        <w:numPr>
          <w:ilvl w:val="0"/>
          <w:numId w:val="1005"/>
        </w:numPr>
        <w:pStyle w:val="Compact"/>
      </w:pPr>
      <w:r>
        <w:t xml:space="preserve">Teste uma hipótese de cada vez.</w:t>
      </w:r>
    </w:p>
    <w:p>
      <w:pPr>
        <w:numPr>
          <w:ilvl w:val="0"/>
          <w:numId w:val="1005"/>
        </w:numPr>
        <w:pStyle w:val="Compact"/>
      </w:pPr>
      <w:r>
        <w:t xml:space="preserve">Use apenas remediação autorizada.</w:t>
      </w:r>
    </w:p>
    <w:p>
      <w:pPr>
        <w:numPr>
          <w:ilvl w:val="0"/>
          <w:numId w:val="1005"/>
        </w:numPr>
        <w:pStyle w:val="Compact"/>
      </w:pPr>
      <w:r>
        <w:t xml:space="preserve">Verifique a recuperação da perspectiva do usuário/serviço.</w:t>
      </w:r>
    </w:p>
    <w:p>
      <w:pPr>
        <w:numPr>
          <w:ilvl w:val="0"/>
          <w:numId w:val="1005"/>
        </w:numPr>
        <w:pStyle w:val="Compact"/>
      </w:pPr>
      <w:r>
        <w:t xml:space="preserve">Documente evidências, ações, resultado e escalonamento.</w:t>
      </w:r>
    </w:p>
    <w:p>
      <w:pPr>
        <w:pStyle w:val="FirstParagraph"/>
      </w:pPr>
      <w:r>
        <w:t xml:space="preserve">“It works now” não substitui evidência do sintoma, alteração e validação.</w:t>
      </w:r>
    </w:p>
    <w:bookmarkEnd w:id="34"/>
    <w:bookmarkStart w:id="35" w:name="incidentes-e-escalonamento"/>
    <w:p>
      <w:pPr>
        <w:pStyle w:val="Heading2"/>
      </w:pPr>
      <w:r>
        <w:t xml:space="preserve">Incidentes e escalonamento</w:t>
      </w:r>
    </w:p>
    <w:p>
      <w:pPr>
        <w:pStyle w:val="FirstParagraph"/>
      </w:pPr>
      <w:r>
        <w:t xml:space="preserve">Use definições organizacionais de impacto/urgência. Escale quando:</w:t>
      </w:r>
    </w:p>
    <w:p>
      <w:pPr>
        <w:numPr>
          <w:ilvl w:val="0"/>
          <w:numId w:val="1006"/>
        </w:numPr>
        <w:pStyle w:val="Compact"/>
      </w:pPr>
      <w:r>
        <w:t xml:space="preserve">uma mudança privilegiada exceder sua autoridade;</w:t>
      </w:r>
    </w:p>
    <w:p>
      <w:pPr>
        <w:numPr>
          <w:ilvl w:val="0"/>
          <w:numId w:val="1006"/>
        </w:numPr>
        <w:pStyle w:val="Compact"/>
      </w:pPr>
      <w:r>
        <w:t xml:space="preserve">houver possível impacto de segurança/privacidade;</w:t>
      </w:r>
    </w:p>
    <w:p>
      <w:pPr>
        <w:numPr>
          <w:ilvl w:val="0"/>
          <w:numId w:val="1006"/>
        </w:numPr>
        <w:pStyle w:val="Compact"/>
      </w:pPr>
      <w:r>
        <w:t xml:space="preserve">puder existir perda/corrupção de dados;</w:t>
      </w:r>
    </w:p>
    <w:p>
      <w:pPr>
        <w:numPr>
          <w:ilvl w:val="0"/>
          <w:numId w:val="1006"/>
        </w:numPr>
        <w:pStyle w:val="Compact"/>
      </w:pPr>
      <w:r>
        <w:t xml:space="preserve">houver suspeita de incidente do fornecedor ou multi-região;</w:t>
      </w:r>
    </w:p>
    <w:p>
      <w:pPr>
        <w:numPr>
          <w:ilvl w:val="0"/>
          <w:numId w:val="1006"/>
        </w:numPr>
        <w:pStyle w:val="Compact"/>
      </w:pPr>
      <w:r>
        <w:t xml:space="preserve">RPO/RTO ou objetivos contratuais estiverem em risco;</w:t>
      </w:r>
    </w:p>
    <w:p>
      <w:pPr>
        <w:numPr>
          <w:ilvl w:val="0"/>
          <w:numId w:val="1006"/>
        </w:numPr>
        <w:pStyle w:val="Compact"/>
      </w:pPr>
      <w:r>
        <w:t xml:space="preserve">a causa estiver fora do escopo de suporte;</w:t>
      </w:r>
    </w:p>
    <w:p>
      <w:pPr>
        <w:numPr>
          <w:ilvl w:val="0"/>
          <w:numId w:val="1006"/>
        </w:numPr>
        <w:pStyle w:val="Compact"/>
      </w:pPr>
      <w:r>
        <w:t xml:space="preserve">for necessário redesenho de arquitetura.</w:t>
      </w:r>
    </w:p>
    <w:p>
      <w:pPr>
        <w:pStyle w:val="FirstParagraph"/>
      </w:pPr>
      <w:r>
        <w:t xml:space="preserve">Não prometa causa raiz ou prazo de resolução sem evidência e autoridade.</w:t>
      </w:r>
    </w:p>
    <w:bookmarkEnd w:id="35"/>
    <w:bookmarkStart w:id="36" w:name="backup-snapshot-e-recuperabilidade"/>
    <w:p>
      <w:pPr>
        <w:pStyle w:val="Heading2"/>
      </w:pPr>
      <w:r>
        <w:t xml:space="preserve">Backup, snapshot e recuperabilidade</w:t>
      </w:r>
    </w:p>
    <w:p>
      <w:pPr>
        <w:pStyle w:val="FirstParagraph"/>
      </w:pPr>
      <w:r>
        <w:t xml:space="preserve">Um job de backup bem-sucedido ou snapshot</w:t>
      </w:r>
      <w:r>
        <w:t xml:space="preserve"> </w:t>
      </w:r>
      <w:r>
        <w:rPr>
          <w:bCs/>
          <w:b/>
        </w:rPr>
        <w:t xml:space="preserve">não</w:t>
      </w:r>
      <w:r>
        <w:t xml:space="preserve"> </w:t>
      </w:r>
      <w:r>
        <w:t xml:space="preserve">prova recuperabilidade. Entenda escopo, retenção, criptografia/acesso, separação de conta/região quando necessária, restore testing, conceitos de RPO/RTO, consistência da aplicação, ordem de dependências e ownership de disaster recovery.</w:t>
      </w:r>
    </w:p>
    <w:p>
      <w:pPr>
        <w:pStyle w:val="BodyText"/>
      </w:pPr>
      <w:r>
        <w:rPr>
          <w:bCs/>
          <w:b/>
        </w:rPr>
        <w:t xml:space="preserve">Replicação não é automaticamente backup.</w:t>
      </w:r>
      <w:r>
        <w:t xml:space="preserve"> </w:t>
      </w:r>
      <w:r>
        <w:t xml:space="preserve">Exclusão ou corrupção podem ser replicadas. Afirmações de recovery devem basear-se em testes de restauração, não apenas em indicadores verdes do job.</w:t>
      </w:r>
    </w:p>
    <w:bookmarkEnd w:id="36"/>
    <w:bookmarkStart w:id="37" w:name="regiões-zonas-e-resiliência"/>
    <w:p>
      <w:pPr>
        <w:pStyle w:val="Heading2"/>
      </w:pPr>
      <w:r>
        <w:t xml:space="preserve">Regiões, zonas e resiliência</w:t>
      </w:r>
    </w:p>
    <w:p>
      <w:pPr>
        <w:pStyle w:val="FirstParagraph"/>
      </w:pPr>
      <w:r>
        <w:t xml:space="preserve">Regiões e availability zones podem reduzir alguns riscos, mas resiliência depende de arquitetura e configuração. Designs multi-zone ou multi-region adicionam custo, consistência, latência e complexidade operacional.</w:t>
      </w:r>
    </w:p>
    <w:p>
      <w:pPr>
        <w:pStyle w:val="BodyText"/>
      </w:pPr>
      <w:r>
        <w:t xml:space="preserve">Um especialista pode coletar evidências e executar runbooks aprovados, mas não deve redesenhar resiliência sem autoridade atribuída.</w:t>
      </w:r>
    </w:p>
    <w:bookmarkEnd w:id="37"/>
    <w:bookmarkStart w:id="38" w:name="X1510512178615607a9ea7b5216b9e2d67da4133"/>
    <w:p>
      <w:pPr>
        <w:pStyle w:val="Heading2"/>
      </w:pPr>
      <w:r>
        <w:t xml:space="preserve">Gestão de mudanças e autoridade de produção</w:t>
      </w:r>
    </w:p>
    <w:p>
      <w:pPr>
        <w:pStyle w:val="FirstParagraph"/>
      </w:pPr>
      <w:r>
        <w:t xml:space="preserve">Mudanças cloud podem afetar IAM, firewall/security groups, compute, storage, DNS, rotas, certificados, parâmetros de serviço, monitoramento, backups ou deployments.</w:t>
      </w:r>
    </w:p>
    <w:p>
      <w:pPr>
        <w:pStyle w:val="BodyText"/>
      </w:pPr>
      <w:r>
        <w:t xml:space="preserve">Antes de alterar, confirme autorização, target exato, impacto, maintenance window quando aplicável, rollback/forward-fix, implicações de backup/recovery, plano de validação e requisitos de comunicação/escalonamento.</w:t>
      </w:r>
    </w:p>
    <w:p>
      <w:pPr>
        <w:pStyle w:val="BodyText"/>
      </w:pPr>
      <w:r>
        <w:t xml:space="preserve">Acesso técnico não equivale a autoridade de produção.</w:t>
      </w:r>
    </w:p>
    <w:bookmarkEnd w:id="38"/>
    <w:bookmarkStart w:id="39" w:name="Xf023bcdadcaa609a35d8a8472d5559381507a97"/>
    <w:p>
      <w:pPr>
        <w:pStyle w:val="Heading2"/>
      </w:pPr>
      <w:r>
        <w:t xml:space="preserve">CLI, scripting e infraestrutura como código</w:t>
      </w:r>
    </w:p>
    <w:p>
      <w:pPr>
        <w:pStyle w:val="FirstParagraph"/>
      </w:pPr>
      <w:r>
        <w:t xml:space="preserve">Cloud CLIs, PowerShell, Bash, Python e IaC podem alterar recursos rapidamente e em escala. Use dispositivos/repositórios aprovados, evite segredos hard-coded, faça peer review quando exigido, teste em ambientes de menor risco quando possível, confirme conta/região antes de executar e capture evidência de versão/plan/output.</w:t>
      </w:r>
    </w:p>
    <w:p>
      <w:pPr>
        <w:pStyle w:val="BodyText"/>
      </w:pPr>
      <w:r>
        <w:t xml:space="preserve">Não cole comandos destrutivos de fóruns ou IA em produção sem entendê-los e revisá-los.</w:t>
      </w:r>
    </w:p>
    <w:bookmarkEnd w:id="39"/>
    <w:bookmarkStart w:id="40" w:name="consciência-de-custos"/>
    <w:p>
      <w:pPr>
        <w:pStyle w:val="Heading2"/>
      </w:pPr>
      <w:r>
        <w:t xml:space="preserve">Consciência de custos</w:t>
      </w:r>
    </w:p>
    <w:p>
      <w:pPr>
        <w:pStyle w:val="FirstParagraph"/>
      </w:pPr>
      <w:r>
        <w:t xml:space="preserve">Suporte pode afetar custos por tamanho/quantidade de instâncias, armazenamento, transferência de dados, snapshots, retenção de logs, managed services e recursos abandonados. Otimização deve respeitar autoridade atribuída; não exclua recursos somente porque parecem ociosos.</w:t>
      </w:r>
    </w:p>
    <w:bookmarkEnd w:id="40"/>
    <w:bookmarkStart w:id="41" w:name="privacidade-e-residência-de-dados"/>
    <w:p>
      <w:pPr>
        <w:pStyle w:val="Heading2"/>
      </w:pPr>
      <w:r>
        <w:t xml:space="preserve">Privacidade e residência de dados</w:t>
      </w:r>
    </w:p>
    <w:p>
      <w:pPr>
        <w:pStyle w:val="FirstParagraph"/>
      </w:pPr>
      <w:r>
        <w:t xml:space="preserve">Suporte cloud pode expor dados pessoais, de clientes, regulados ou confidenciais. Siga controles de acesso, retenção, exportação, região/localização, dados de teste e incidentes. Não invente exigências legais; escale interpretação para a função responsável.</w:t>
      </w:r>
    </w:p>
    <w:bookmarkEnd w:id="41"/>
    <w:bookmarkStart w:id="42" w:name="limite-de-segurança"/>
    <w:p>
      <w:pPr>
        <w:pStyle w:val="Heading2"/>
      </w:pPr>
      <w:r>
        <w:t xml:space="preserve">Limite de segurança</w:t>
      </w:r>
    </w:p>
    <w:p>
      <w:pPr>
        <w:pStyle w:val="FirstParagraph"/>
      </w:pPr>
      <w:r>
        <w:t xml:space="preserve">Um especialista pode investigar logins suspeitos, exposição, misconfiguration ou conectividade, mas security testing e incident response devem ficar dentro de autorização explícita. Não execute scanning intrusivo, exploitation ou testes destrutivos sem permissão.</w:t>
      </w:r>
    </w:p>
    <w:p>
      <w:pPr>
        <w:pStyle w:val="BodyText"/>
      </w:pPr>
      <w:r>
        <w:t xml:space="preserve">NIST Cybersecurity Framework e CISA Secure Our World são referências úteis. Documentação de responsabilidade compartilhada continua necessária para limites específicos do serviço.</w:t>
      </w:r>
    </w:p>
    <w:bookmarkEnd w:id="42"/>
    <w:bookmarkStart w:id="43" w:name="acessibilidade"/>
    <w:p>
      <w:pPr>
        <w:pStyle w:val="Heading2"/>
      </w:pPr>
      <w:r>
        <w:t xml:space="preserve">Acessibilidade</w:t>
      </w:r>
    </w:p>
    <w:p>
      <w:pPr>
        <w:pStyle w:val="FirstParagraph"/>
      </w:pPr>
      <w:r>
        <w:t xml:space="preserve">Suporte também envolve portais, documentação, dashboards e tickets. Use headings claros, instruções legíveis, workflows navegáveis por teclado, labels descritivos e alternativas acessíveis quando prático. Scanner automatizado não prova conformidade legal.</w:t>
      </w:r>
    </w:p>
    <w:bookmarkEnd w:id="43"/>
    <w:bookmarkStart w:id="44" w:name="ia-responsável"/>
    <w:p>
      <w:pPr>
        <w:pStyle w:val="Heading2"/>
      </w:pPr>
      <w:r>
        <w:t xml:space="preserve">IA responsável</w:t>
      </w:r>
    </w:p>
    <w:p>
      <w:pPr>
        <w:pStyle w:val="FirstParagraph"/>
      </w:pPr>
      <w:r>
        <w:t xml:space="preserve">IA aprovada por política pode ajudar a explicar erros, redigir runbooks, resumir logs sanitizados, propor hipóteses, criar cenários sintéticos ou revisar scripts.</w:t>
      </w:r>
    </w:p>
    <w:p>
      <w:pPr>
        <w:pStyle w:val="BodyText"/>
      </w:pPr>
      <w:r>
        <w:t xml:space="preserve">Controles:</w:t>
      </w:r>
    </w:p>
    <w:p>
      <w:pPr>
        <w:numPr>
          <w:ilvl w:val="0"/>
          <w:numId w:val="1007"/>
        </w:numPr>
        <w:pStyle w:val="Compact"/>
      </w:pPr>
      <w:r>
        <w:t xml:space="preserve">não enviar segredos, credenciais, dados de clientes, arquitetura proprietária ou logs protegidos para ferramentas não aprovadas;</w:t>
      </w:r>
    </w:p>
    <w:p>
      <w:pPr>
        <w:numPr>
          <w:ilvl w:val="0"/>
          <w:numId w:val="1007"/>
        </w:numPr>
        <w:pStyle w:val="Compact"/>
      </w:pPr>
      <w:r>
        <w:t xml:space="preserve">verificar comandos com documentação oficial;</w:t>
      </w:r>
    </w:p>
    <w:p>
      <w:pPr>
        <w:numPr>
          <w:ilvl w:val="0"/>
          <w:numId w:val="1007"/>
        </w:numPr>
        <w:pStyle w:val="Compact"/>
      </w:pPr>
      <w:r>
        <w:t xml:space="preserve">revisar conta/região/recurso antes da execução;</w:t>
      </w:r>
    </w:p>
    <w:p>
      <w:pPr>
        <w:numPr>
          <w:ilvl w:val="0"/>
          <w:numId w:val="1007"/>
        </w:numPr>
        <w:pStyle w:val="Compact"/>
      </w:pPr>
      <w:r>
        <w:t xml:space="preserve">validar código/scripts gerados;</w:t>
      </w:r>
    </w:p>
    <w:p>
      <w:pPr>
        <w:numPr>
          <w:ilvl w:val="0"/>
          <w:numId w:val="1007"/>
        </w:numPr>
        <w:pStyle w:val="Compact"/>
      </w:pPr>
      <w:r>
        <w:t xml:space="preserve">tratar explicações de IA como hipóteses, não evidência;</w:t>
      </w:r>
    </w:p>
    <w:p>
      <w:pPr>
        <w:numPr>
          <w:ilvl w:val="0"/>
          <w:numId w:val="1007"/>
        </w:numPr>
        <w:pStyle w:val="Compact"/>
      </w:pPr>
      <w:r>
        <w:t xml:space="preserve">nunca permitir aprovação ou execução autônoma de mudanças privilegiadas fora da governança.</w:t>
      </w:r>
    </w:p>
    <w:bookmarkEnd w:id="44"/>
    <w:bookmarkStart w:id="45" w:name="sinais-tecnológicos-atuais"/>
    <w:p>
      <w:pPr>
        <w:pStyle w:val="Heading2"/>
      </w:pPr>
      <w:r>
        <w:t xml:space="preserve">Sinais tecnológicos atuais</w:t>
      </w:r>
    </w:p>
    <w:p>
      <w:pPr>
        <w:pStyle w:val="FirstParagraph"/>
      </w:pPr>
      <w:r>
        <w:t xml:space="preserve">O*NET/Lightcast 2025 para a ocupação mais ampla mostra Microsoft Office</w:t>
      </w:r>
      <w:r>
        <w:t xml:space="preserve"> </w:t>
      </w:r>
      <w:r>
        <w:rPr>
          <w:bCs/>
          <w:b/>
        </w:rPr>
        <w:t xml:space="preserve">13%</w:t>
      </w:r>
      <w:r>
        <w:t xml:space="preserve">, Active Directory</w:t>
      </w:r>
      <w:r>
        <w:t xml:space="preserve"> </w:t>
      </w:r>
      <w:r>
        <w:rPr>
          <w:bCs/>
          <w:b/>
        </w:rPr>
        <w:t xml:space="preserve">13%</w:t>
      </w:r>
      <w:r>
        <w:t xml:space="preserve">, ServiceNow</w:t>
      </w:r>
      <w:r>
        <w:t xml:space="preserve"> </w:t>
      </w:r>
      <w:r>
        <w:rPr>
          <w:bCs/>
          <w:b/>
        </w:rPr>
        <w:t xml:space="preserve">9%</w:t>
      </w:r>
      <w:r>
        <w:t xml:space="preserve">, Linux</w:t>
      </w:r>
      <w:r>
        <w:t xml:space="preserve"> </w:t>
      </w:r>
      <w:r>
        <w:rPr>
          <w:bCs/>
          <w:b/>
        </w:rPr>
        <w:t xml:space="preserve">7%</w:t>
      </w:r>
      <w:r>
        <w:t xml:space="preserve">, macOS</w:t>
      </w:r>
      <w:r>
        <w:t xml:space="preserve"> </w:t>
      </w:r>
      <w:r>
        <w:rPr>
          <w:bCs/>
          <w:b/>
        </w:rPr>
        <w:t xml:space="preserve">6%</w:t>
      </w:r>
      <w:r>
        <w:t xml:space="preserve">, Windows Server</w:t>
      </w:r>
      <w:r>
        <w:t xml:space="preserve"> </w:t>
      </w:r>
      <w:r>
        <w:rPr>
          <w:bCs/>
          <w:b/>
        </w:rPr>
        <w:t xml:space="preserve">6%</w:t>
      </w:r>
      <w:r>
        <w:t xml:space="preserve">, Outlook</w:t>
      </w:r>
      <w:r>
        <w:t xml:space="preserve"> </w:t>
      </w:r>
      <w:r>
        <w:rPr>
          <w:bCs/>
          <w:b/>
        </w:rPr>
        <w:t xml:space="preserve">6%</w:t>
      </w:r>
      <w:r>
        <w:t xml:space="preserve">, Excel</w:t>
      </w:r>
      <w:r>
        <w:t xml:space="preserve"> </w:t>
      </w:r>
      <w:r>
        <w:rPr>
          <w:bCs/>
          <w:b/>
        </w:rPr>
        <w:t xml:space="preserve">6%</w:t>
      </w:r>
      <w:r>
        <w:t xml:space="preserve">, Windows</w:t>
      </w:r>
      <w:r>
        <w:t xml:space="preserve"> </w:t>
      </w:r>
      <w:r>
        <w:rPr>
          <w:bCs/>
          <w:b/>
        </w:rPr>
        <w:t xml:space="preserve">5%</w:t>
      </w:r>
      <w:r>
        <w:t xml:space="preserve">, BGP</w:t>
      </w:r>
      <w:r>
        <w:t xml:space="preserve"> </w:t>
      </w:r>
      <w:r>
        <w:rPr>
          <w:bCs/>
          <w:b/>
        </w:rPr>
        <w:t xml:space="preserve">3%</w:t>
      </w:r>
      <w:r>
        <w:t xml:space="preserve">, Azure</w:t>
      </w:r>
      <w:r>
        <w:t xml:space="preserve"> </w:t>
      </w:r>
      <w:r>
        <w:rPr>
          <w:bCs/>
          <w:b/>
        </w:rPr>
        <w:t xml:space="preserve">3%</w:t>
      </w:r>
      <w:r>
        <w:t xml:space="preserve">, PowerShell</w:t>
      </w:r>
      <w:r>
        <w:t xml:space="preserve"> </w:t>
      </w:r>
      <w:r>
        <w:rPr>
          <w:bCs/>
          <w:b/>
        </w:rPr>
        <w:t xml:space="preserve">2%</w:t>
      </w:r>
      <w:r>
        <w:t xml:space="preserve"> </w:t>
      </w:r>
      <w:r>
        <w:t xml:space="preserve">e SQL/Python/Splunk/Bash cerca de</w:t>
      </w:r>
      <w:r>
        <w:t xml:space="preserve"> </w:t>
      </w:r>
      <w:r>
        <w:rPr>
          <w:bCs/>
          <w:b/>
        </w:rPr>
        <w:t xml:space="preserve">1%</w:t>
      </w:r>
      <w:r>
        <w:t xml:space="preserve">. A página de demanda também identifica firewall software em</w:t>
      </w:r>
      <w:r>
        <w:t xml:space="preserve"> </w:t>
      </w:r>
      <w:r>
        <w:rPr>
          <w:bCs/>
          <w:b/>
        </w:rPr>
        <w:t xml:space="preserve">10%</w:t>
      </w:r>
      <w:r>
        <w:t xml:space="preserve">.</w:t>
      </w:r>
    </w:p>
    <w:p>
      <w:pPr>
        <w:pStyle w:val="BodyText"/>
      </w:pPr>
      <w:r>
        <w:t xml:space="preserve">São sinais de vagas, não requisitos universais. Habilidades de fornecedor devem se apoiar em fundamentos de identidade, redes, sistemas operacionais, monitoramento e troubleshooting.</w:t>
      </w:r>
    </w:p>
    <w:bookmarkEnd w:id="45"/>
    <w:bookmarkStart w:id="46" w:name="estados-unidos--educação-e-rotas"/>
    <w:p>
      <w:pPr>
        <w:pStyle w:val="Heading2"/>
      </w:pPr>
      <w:r>
        <w:t xml:space="preserve">Estados Unidos — educação e rotas</w:t>
      </w:r>
    </w:p>
    <w:p>
      <w:pPr>
        <w:pStyle w:val="FirstParagraph"/>
      </w:pPr>
      <w:r>
        <w:t xml:space="preserve">O*NET coloca 15-1231.00 em</w:t>
      </w:r>
      <w:r>
        <w:t xml:space="preserve"> </w:t>
      </w:r>
      <w:r>
        <w:rPr>
          <w:bCs/>
          <w:b/>
        </w:rPr>
        <w:t xml:space="preserve">Job Zone Four — Considerable Preparation Needed</w:t>
      </w:r>
      <w:r>
        <w:t xml:space="preserve">. Respostas atuais de educação: aproximadamente</w:t>
      </w:r>
      <w:r>
        <w:t xml:space="preserve"> </w:t>
      </w:r>
      <w:r>
        <w:rPr>
          <w:bCs/>
          <w:b/>
        </w:rPr>
        <w:t xml:space="preserve">47%</w:t>
      </w:r>
      <w:r>
        <w:t xml:space="preserve"> </w:t>
      </w:r>
      <w:r>
        <w:t xml:space="preserve">bachelor's degree,</w:t>
      </w:r>
      <w:r>
        <w:t xml:space="preserve"> </w:t>
      </w:r>
      <w:r>
        <w:rPr>
          <w:bCs/>
          <w:b/>
        </w:rPr>
        <w:t xml:space="preserve">22%</w:t>
      </w:r>
      <w:r>
        <w:t xml:space="preserve"> </w:t>
      </w:r>
      <w:r>
        <w:t xml:space="preserve">associate degree e</w:t>
      </w:r>
      <w:r>
        <w:t xml:space="preserve"> </w:t>
      </w:r>
      <w:r>
        <w:rPr>
          <w:bCs/>
          <w:b/>
        </w:rPr>
        <w:t xml:space="preserve">14%</w:t>
      </w:r>
      <w:r>
        <w:t xml:space="preserve"> </w:t>
      </w:r>
      <w:r>
        <w:t xml:space="preserve">some college, no degree. Não são regras universais.</w:t>
      </w:r>
    </w:p>
    <w:p>
      <w:pPr>
        <w:pStyle w:val="BodyText"/>
      </w:pPr>
      <w:r>
        <w:t xml:space="preserve">O*NET lista</w:t>
      </w:r>
      <w:r>
        <w:t xml:space="preserve"> </w:t>
      </w:r>
      <w:r>
        <w:rPr>
          <w:bCs/>
          <w:b/>
        </w:rPr>
        <w:t xml:space="preserve">Cloud Support Specialist</w:t>
      </w:r>
      <w:r>
        <w:t xml:space="preserve"> </w:t>
      </w:r>
      <w:r>
        <w:t xml:space="preserve">e</w:t>
      </w:r>
      <w:r>
        <w:t xml:space="preserve"> </w:t>
      </w:r>
      <w:r>
        <w:rPr>
          <w:bCs/>
          <w:b/>
        </w:rPr>
        <w:t xml:space="preserve">Junior Cloud Engineer (Nof)</w:t>
      </w:r>
      <w:r>
        <w:t xml:space="preserve"> </w:t>
      </w:r>
      <w:r>
        <w:t xml:space="preserve">como títulos aprovados de Registered Apprenticeship. Verifique vagas reais em Apprenticeship.gov. CareerOneStop permite investigar WIOA e outras rotas; elegibilidade e financiamento variam.</w:t>
      </w:r>
    </w:p>
    <w:bookmarkEnd w:id="46"/>
    <w:bookmarkStart w:id="48" w:name="estados-unidos--salários-e-perspectiva"/>
    <w:p>
      <w:pPr>
        <w:pStyle w:val="Heading2"/>
      </w:pPr>
      <w:r>
        <w:t xml:space="preserve">Estados Unidos — salários e perspectiva</w:t>
      </w:r>
    </w:p>
    <w:p>
      <w:pPr>
        <w:pStyle w:val="FirstParagraph"/>
      </w:pPr>
      <w:r>
        <w:t xml:space="preserve">Salários oficiais 2025 de</w:t>
      </w:r>
      <w:r>
        <w:t xml:space="preserve"> </w:t>
      </w:r>
      <w:r>
        <w:rPr>
          <w:bCs/>
          <w:b/>
        </w:rPr>
        <w:t xml:space="preserve">Computer Network Support Specialists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Percentil</w:t>
            </w:r>
          </w:p>
        </w:tc>
        <w:tc>
          <w:tcPr/>
          <w:p>
            <w:pPr>
              <w:pStyle w:val="Compact"/>
              <w:jc w:val="right"/>
            </w:pPr>
            <w:r>
              <w:t xml:space="preserve">Anual</w:t>
            </w:r>
          </w:p>
        </w:tc>
        <w:tc>
          <w:tcPr/>
          <w:p>
            <w:pPr>
              <w:pStyle w:val="Compact"/>
              <w:jc w:val="right"/>
            </w:pPr>
            <w:r>
              <w:t xml:space="preserve">Por hora</w:t>
            </w:r>
          </w:p>
        </w:tc>
      </w:tr>
      <w:tr>
        <w:tc>
          <w:tcPr/>
          <w:p>
            <w:pPr>
              <w:pStyle w:val="Compact"/>
              <w:jc w:val="left"/>
            </w:pPr>
            <w:r>
              <w:t xml:space="preserve">10</w:t>
            </w:r>
          </w:p>
        </w:tc>
        <w:tc>
          <w:tcPr/>
          <w:p>
            <w:pPr>
              <w:pStyle w:val="Compact"/>
              <w:jc w:val="right"/>
            </w:pPr>
            <w:r>
              <w:t xml:space="preserve">$47,120</w:t>
            </w:r>
          </w:p>
        </w:tc>
        <w:tc>
          <w:tcPr/>
          <w:p>
            <w:pPr>
              <w:pStyle w:val="Compact"/>
              <w:jc w:val="right"/>
            </w:pPr>
            <w:r>
              <w:t xml:space="preserve">$22.65</w:t>
            </w:r>
          </w:p>
        </w:tc>
      </w:tr>
      <w:tr>
        <w:tc>
          <w:tcPr/>
          <w:p>
            <w:pPr>
              <w:pStyle w:val="Compact"/>
              <w:jc w:val="left"/>
            </w:pPr>
            <w:r>
              <w:t xml:space="preserve">25</w:t>
            </w:r>
          </w:p>
        </w:tc>
        <w:tc>
          <w:tcPr/>
          <w:p>
            <w:pPr>
              <w:pStyle w:val="Compact"/>
              <w:jc w:val="right"/>
            </w:pPr>
            <w:r>
              <w:t xml:space="preserve">$58,240</w:t>
            </w:r>
          </w:p>
        </w:tc>
        <w:tc>
          <w:tcPr/>
          <w:p>
            <w:pPr>
              <w:pStyle w:val="Compact"/>
              <w:jc w:val="right"/>
            </w:pPr>
            <w:r>
              <w:t xml:space="preserve">$28.00</w:t>
            </w:r>
          </w:p>
        </w:tc>
      </w:tr>
      <w:tr>
        <w:tc>
          <w:tcPr/>
          <w:p>
            <w:pPr>
              <w:pStyle w:val="Compact"/>
              <w:jc w:val="left"/>
            </w:pPr>
            <w:r>
              <w:t xml:space="preserve">Mediana</w:t>
            </w:r>
          </w:p>
        </w:tc>
        <w:tc>
          <w:tcPr/>
          <w:p>
            <w:pPr>
              <w:pStyle w:val="Compact"/>
              <w:jc w:val="right"/>
            </w:pPr>
            <w:r>
              <w:t xml:space="preserve">$76,220</w:t>
            </w:r>
          </w:p>
        </w:tc>
        <w:tc>
          <w:tcPr/>
          <w:p>
            <w:pPr>
              <w:pStyle w:val="Compact"/>
              <w:jc w:val="right"/>
            </w:pPr>
            <w:r>
              <w:t xml:space="preserve">$36.64</w:t>
            </w:r>
          </w:p>
        </w:tc>
      </w:tr>
      <w:tr>
        <w:tc>
          <w:tcPr/>
          <w:p>
            <w:pPr>
              <w:pStyle w:val="Compact"/>
              <w:jc w:val="left"/>
            </w:pPr>
            <w:r>
              <w:t xml:space="preserve">75</w:t>
            </w:r>
          </w:p>
        </w:tc>
        <w:tc>
          <w:tcPr/>
          <w:p>
            <w:pPr>
              <w:pStyle w:val="Compact"/>
              <w:jc w:val="right"/>
            </w:pPr>
            <w:r>
              <w:t xml:space="preserve">$98,750</w:t>
            </w:r>
          </w:p>
        </w:tc>
        <w:tc>
          <w:tcPr/>
          <w:p>
            <w:pPr>
              <w:pStyle w:val="Compact"/>
              <w:jc w:val="right"/>
            </w:pPr>
            <w:r>
              <w:t xml:space="preserve">$47.48</w:t>
            </w:r>
          </w:p>
        </w:tc>
      </w:tr>
      <w:tr>
        <w:tc>
          <w:tcPr/>
          <w:p>
            <w:pPr>
              <w:pStyle w:val="Compact"/>
              <w:jc w:val="left"/>
            </w:pPr>
            <w:r>
              <w:t xml:space="preserve">90</w:t>
            </w:r>
          </w:p>
        </w:tc>
        <w:tc>
          <w:tcPr/>
          <w:p>
            <w:pPr>
              <w:pStyle w:val="Compact"/>
              <w:jc w:val="right"/>
            </w:pPr>
            <w:r>
              <w:t xml:space="preserve">$127,780</w:t>
            </w:r>
          </w:p>
        </w:tc>
        <w:tc>
          <w:tcPr/>
          <w:p>
            <w:pPr>
              <w:pStyle w:val="Compact"/>
              <w:jc w:val="right"/>
            </w:pPr>
            <w:r>
              <w:t xml:space="preserve">$61.43</w:t>
            </w:r>
          </w:p>
        </w:tc>
      </w:tr>
    </w:tbl>
    <w:p>
      <w:pPr>
        <w:pStyle w:val="BodyText"/>
      </w:pPr>
      <w:r>
        <w:t xml:space="preserve">2024–2034:</w:t>
      </w:r>
    </w:p>
    <w:p>
      <w:pPr>
        <w:numPr>
          <w:ilvl w:val="0"/>
          <w:numId w:val="1008"/>
        </w:numPr>
        <w:pStyle w:val="Compact"/>
      </w:pPr>
      <w:r>
        <w:t xml:space="preserve">emprego 2024:</w:t>
      </w:r>
      <w:r>
        <w:t xml:space="preserve"> </w:t>
      </w:r>
      <w:r>
        <w:rPr>
          <w:bCs/>
          <w:b/>
        </w:rPr>
        <w:t xml:space="preserve">152,700</w:t>
      </w:r>
      <w:r>
        <w:t xml:space="preserve">;</w:t>
      </w:r>
    </w:p>
    <w:p>
      <w:pPr>
        <w:numPr>
          <w:ilvl w:val="0"/>
          <w:numId w:val="1008"/>
        </w:numPr>
        <w:pStyle w:val="Compact"/>
      </w:pPr>
      <w:r>
        <w:t xml:space="preserve">projetado 2034:</w:t>
      </w:r>
      <w:r>
        <w:t xml:space="preserve"> </w:t>
      </w:r>
      <w:r>
        <w:rPr>
          <w:bCs/>
          <w:b/>
        </w:rPr>
        <w:t xml:space="preserve">155,500</w:t>
      </w:r>
      <w:r>
        <w:t xml:space="preserve">;</w:t>
      </w:r>
    </w:p>
    <w:p>
      <w:pPr>
        <w:numPr>
          <w:ilvl w:val="0"/>
          <w:numId w:val="1008"/>
        </w:numPr>
        <w:pStyle w:val="Compact"/>
      </w:pPr>
      <w:r>
        <w:t xml:space="preserve">crescimento:</w:t>
      </w:r>
      <w:r>
        <w:t xml:space="preserve"> </w:t>
      </w:r>
      <w:r>
        <w:rPr>
          <w:bCs/>
          <w:b/>
        </w:rPr>
        <w:t xml:space="preserve">2%</w:t>
      </w:r>
      <w:r>
        <w:t xml:space="preserve">;</w:t>
      </w:r>
    </w:p>
    <w:p>
      <w:pPr>
        <w:numPr>
          <w:ilvl w:val="0"/>
          <w:numId w:val="1008"/>
        </w:numPr>
        <w:pStyle w:val="Compact"/>
      </w:pPr>
      <w:r>
        <w:t xml:space="preserve">aberturas anuais:</w:t>
      </w:r>
      <w:r>
        <w:t xml:space="preserve"> </w:t>
      </w:r>
      <w:r>
        <w:rPr>
          <w:bCs/>
          <w:b/>
        </w:rPr>
        <w:t xml:space="preserve">9,600</w:t>
      </w:r>
      <w:r>
        <w:t xml:space="preserve">.</w:t>
      </w:r>
    </w:p>
    <w:p>
      <w:pPr>
        <w:pStyle w:val="FirstParagraph"/>
      </w:pPr>
      <w:r>
        <w:t xml:space="preserve">São estatísticas do benchmark de suporte, não uma série salarial exata do título Cloud Support Specialist.</w:t>
      </w:r>
    </w:p>
    <w:bookmarkStart w:id="47" w:name="X6b2cf0dcdef7eafbd9254deeac9c262aaa5a1e2"/>
    <w:p>
      <w:pPr>
        <w:pStyle w:val="Heading3"/>
      </w:pPr>
      <w:r>
        <w:t xml:space="preserve">Contexto adjacente de mercado não governamental</w:t>
      </w:r>
    </w:p>
    <w:p>
      <w:pPr>
        <w:pStyle w:val="FirstParagraph"/>
      </w:pPr>
      <w:r>
        <w:t xml:space="preserve">A página atual da Indeed para</w:t>
      </w:r>
      <w:r>
        <w:t xml:space="preserve"> </w:t>
      </w:r>
      <w:r>
        <w:rPr>
          <w:bCs/>
          <w:b/>
        </w:rPr>
        <w:t xml:space="preserve">Cloud Engineer</w:t>
      </w:r>
      <w:r>
        <w:t xml:space="preserve"> </w:t>
      </w:r>
      <w:r>
        <w:t xml:space="preserve">mostra aproximadamente</w:t>
      </w:r>
      <w:r>
        <w:t xml:space="preserve"> </w:t>
      </w:r>
      <w:r>
        <w:rPr>
          <w:bCs/>
          <w:b/>
        </w:rPr>
        <w:t xml:space="preserve">$135,392/ano de média</w:t>
      </w:r>
      <w:r>
        <w:t xml:space="preserve">,</w:t>
      </w:r>
      <w:r>
        <w:t xml:space="preserve"> </w:t>
      </w:r>
      <w:r>
        <w:rPr>
          <w:bCs/>
          <w:b/>
        </w:rPr>
        <w:t xml:space="preserve">$88,667 baixo</w:t>
      </w:r>
      <w:r>
        <w:t xml:space="preserve">,</w:t>
      </w:r>
      <w:r>
        <w:t xml:space="preserve"> </w:t>
      </w:r>
      <w:r>
        <w:rPr>
          <w:bCs/>
          <w:b/>
        </w:rPr>
        <w:t xml:space="preserve">$206,741 alto</w:t>
      </w:r>
      <w:r>
        <w:t xml:space="preserve">, cerca de</w:t>
      </w:r>
      <w:r>
        <w:t xml:space="preserve"> </w:t>
      </w:r>
      <w:r>
        <w:rPr>
          <w:bCs/>
          <w:b/>
        </w:rPr>
        <w:t xml:space="preserve">4.5k observações</w:t>
      </w:r>
      <w:r>
        <w:t xml:space="preserve">, ao longo de</w:t>
      </w:r>
      <w:r>
        <w:t xml:space="preserve"> </w:t>
      </w:r>
      <w:r>
        <w:rPr>
          <w:bCs/>
          <w:b/>
        </w:rPr>
        <w:t xml:space="preserve">36 meses</w:t>
      </w:r>
      <w:r>
        <w:t xml:space="preserve">, atualizada em</w:t>
      </w:r>
      <w:r>
        <w:t xml:space="preserve"> </w:t>
      </w:r>
      <w:r>
        <w:rPr>
          <w:bCs/>
          <w:b/>
        </w:rPr>
        <w:t xml:space="preserve">2 de agosto de 2026</w:t>
      </w:r>
      <w:r>
        <w:t xml:space="preserve">.</w:t>
      </w:r>
    </w:p>
    <w:p>
      <w:pPr>
        <w:pStyle w:val="BodyText"/>
      </w:pPr>
      <w:r>
        <w:t xml:space="preserve">É um título adjacente mais orientado à engenharia e pode pagar materialmente mais do que suporte. Não é dado oficial nem salário exato de Cloud Support Specialist.</w:t>
      </w:r>
    </w:p>
    <w:bookmarkEnd w:id="47"/>
    <w:bookmarkEnd w:id="48"/>
    <w:bookmarkStart w:id="49" w:name="canadá--escopo-infraestruturarede-cloud"/>
    <w:p>
      <w:pPr>
        <w:pStyle w:val="Heading2"/>
      </w:pPr>
      <w:r>
        <w:t xml:space="preserve">Canadá — escopo infraestrutura/rede cloud</w:t>
      </w:r>
    </w:p>
    <w:p>
      <w:pPr>
        <w:pStyle w:val="FirstParagraph"/>
      </w:pPr>
      <w:r>
        <w:t xml:space="preserve">Para suporte cloud orientado à infraestrutura use</w:t>
      </w:r>
      <w:r>
        <w:t xml:space="preserve"> </w:t>
      </w:r>
      <w:r>
        <w:rPr>
          <w:bCs/>
          <w:b/>
        </w:rPr>
        <w:t xml:space="preserve">NOC 22220</w:t>
      </w:r>
      <w:r>
        <w:t xml:space="preserve">.</w:t>
      </w:r>
    </w:p>
    <w:p>
      <w:pPr>
        <w:pStyle w:val="BodyText"/>
      </w:pPr>
      <w:r>
        <w:t xml:space="preserve">Salários nacionais:</w:t>
      </w:r>
    </w:p>
    <w:p>
      <w:pPr>
        <w:numPr>
          <w:ilvl w:val="0"/>
          <w:numId w:val="1009"/>
        </w:numPr>
        <w:pStyle w:val="Compact"/>
      </w:pPr>
      <w:r>
        <w:rPr>
          <w:bCs/>
          <w:b/>
        </w:rPr>
        <w:t xml:space="preserve">C$21.00/hora</w:t>
      </w:r>
      <w:r>
        <w:t xml:space="preserve"> </w:t>
      </w:r>
      <w:r>
        <w:t xml:space="preserve">baixo;</w:t>
      </w:r>
    </w:p>
    <w:p>
      <w:pPr>
        <w:numPr>
          <w:ilvl w:val="0"/>
          <w:numId w:val="1009"/>
        </w:numPr>
        <w:pStyle w:val="Compact"/>
      </w:pPr>
      <w:r>
        <w:rPr>
          <w:bCs/>
          <w:b/>
        </w:rPr>
        <w:t xml:space="preserve">C$36.00/hora</w:t>
      </w:r>
      <w:r>
        <w:t xml:space="preserve"> </w:t>
      </w:r>
      <w:r>
        <w:t xml:space="preserve">mediano;</w:t>
      </w:r>
    </w:p>
    <w:p>
      <w:pPr>
        <w:numPr>
          <w:ilvl w:val="0"/>
          <w:numId w:val="1009"/>
        </w:numPr>
        <w:pStyle w:val="Compact"/>
      </w:pPr>
      <w:r>
        <w:rPr>
          <w:bCs/>
          <w:b/>
        </w:rPr>
        <w:t xml:space="preserve">C$55.00/hora</w:t>
      </w:r>
      <w:r>
        <w:t xml:space="preserve"> </w:t>
      </w:r>
      <w:r>
        <w:t xml:space="preserve">alto.</w:t>
      </w:r>
    </w:p>
    <w:p>
      <w:pPr>
        <w:pStyle w:val="FirstParagraph"/>
      </w:pPr>
      <w:r>
        <w:t xml:space="preserve">Job Bank indica que normalmente é exigida formação relacionada e alguns empregadores podem exigir training/certificação de fornecedor. Atualmente Job Bank indica registro com órgão regulatório em</w:t>
      </w:r>
      <w:r>
        <w:t xml:space="preserve"> </w:t>
      </w:r>
      <w:r>
        <w:rPr>
          <w:bCs/>
          <w:b/>
        </w:rPr>
        <w:t xml:space="preserve">Saskatchewan</w:t>
      </w:r>
      <w:r>
        <w:t xml:space="preserve"> </w:t>
      </w:r>
      <w:r>
        <w:t xml:space="preserve">para este NOC; verifique a ocupação exata e a regra provincial vigente.</w:t>
      </w:r>
    </w:p>
    <w:bookmarkEnd w:id="49"/>
    <w:bookmarkStart w:id="50" w:name="canadá--escopo-usuárioaplicação"/>
    <w:p>
      <w:pPr>
        <w:pStyle w:val="Heading2"/>
      </w:pPr>
      <w:r>
        <w:t xml:space="preserve">Canadá — escopo usuário/aplicação</w:t>
      </w:r>
    </w:p>
    <w:p>
      <w:pPr>
        <w:pStyle w:val="FirstParagraph"/>
      </w:pPr>
      <w:r>
        <w:t xml:space="preserve">Para suporte SaaS/aplicação orientado ao usuário use</w:t>
      </w:r>
      <w:r>
        <w:t xml:space="preserve"> </w:t>
      </w:r>
      <w:r>
        <w:rPr>
          <w:bCs/>
          <w:b/>
        </w:rPr>
        <w:t xml:space="preserve">NOC 22221</w:t>
      </w:r>
      <w:r>
        <w:t xml:space="preserve">.</w:t>
      </w:r>
    </w:p>
    <w:p>
      <w:pPr>
        <w:pStyle w:val="BodyText"/>
      </w:pPr>
      <w:r>
        <w:t xml:space="preserve">Salários nacionais:</w:t>
      </w:r>
    </w:p>
    <w:p>
      <w:pPr>
        <w:numPr>
          <w:ilvl w:val="0"/>
          <w:numId w:val="1010"/>
        </w:numPr>
        <w:pStyle w:val="Compact"/>
      </w:pPr>
      <w:r>
        <w:rPr>
          <w:bCs/>
          <w:b/>
        </w:rPr>
        <w:t xml:space="preserve">C$20.50/hora</w:t>
      </w:r>
      <w:r>
        <w:t xml:space="preserve"> </w:t>
      </w:r>
      <w:r>
        <w:t xml:space="preserve">baixo;</w:t>
      </w:r>
    </w:p>
    <w:p>
      <w:pPr>
        <w:numPr>
          <w:ilvl w:val="0"/>
          <w:numId w:val="1010"/>
        </w:numPr>
        <w:pStyle w:val="Compact"/>
      </w:pPr>
      <w:r>
        <w:rPr>
          <w:bCs/>
          <w:b/>
        </w:rPr>
        <w:t xml:space="preserve">C$31.47/hora</w:t>
      </w:r>
      <w:r>
        <w:t xml:space="preserve"> </w:t>
      </w:r>
      <w:r>
        <w:t xml:space="preserve">mediano;</w:t>
      </w:r>
    </w:p>
    <w:p>
      <w:pPr>
        <w:numPr>
          <w:ilvl w:val="0"/>
          <w:numId w:val="1010"/>
        </w:numPr>
        <w:pStyle w:val="Compact"/>
      </w:pPr>
      <w:r>
        <w:rPr>
          <w:bCs/>
          <w:b/>
        </w:rPr>
        <w:t xml:space="preserve">C$49.00/hora</w:t>
      </w:r>
      <w:r>
        <w:t xml:space="preserve"> </w:t>
      </w:r>
      <w:r>
        <w:t xml:space="preserve">alto.</w:t>
      </w:r>
    </w:p>
    <w:p>
      <w:pPr>
        <w:pStyle w:val="FirstParagraph"/>
      </w:pPr>
      <w:r>
        <w:t xml:space="preserve">Requisitos típicos incluem educação/cursos relacionados a computação, programação ou administração de redes; alguns empregadores podem exigir treinamento/certificação de fornecedor. O escopo real deve definir qual NOC é mais apropriado.</w:t>
      </w:r>
    </w:p>
    <w:bookmarkEnd w:id="50"/>
    <w:bookmarkStart w:id="51" w:name="colômbia"/>
    <w:p>
      <w:pPr>
        <w:pStyle w:val="Heading2"/>
      </w:pPr>
      <w:r>
        <w:t xml:space="preserve">Colômbia</w:t>
      </w:r>
    </w:p>
    <w:p>
      <w:pPr>
        <w:pStyle w:val="FirstParagraph"/>
      </w:pPr>
      <w:r>
        <w:t xml:space="preserve">Para infraestrutura/rede cloud,</w:t>
      </w:r>
      <w:r>
        <w:t xml:space="preserve"> </w:t>
      </w:r>
      <w:r>
        <w:rPr>
          <w:bCs/>
          <w:b/>
        </w:rPr>
        <w:t xml:space="preserve">CUOC 35130</w:t>
      </w:r>
      <w:r>
        <w:t xml:space="preserve"> </w:t>
      </w:r>
      <w:r>
        <w:t xml:space="preserve">é a comparação mais forte. Cobre operação/troubleshooting de infraestrutura e redes, configuração, backups/recovery e documentação.</w:t>
      </w:r>
    </w:p>
    <w:p>
      <w:pPr>
        <w:pStyle w:val="BodyText"/>
      </w:pPr>
      <w:r>
        <w:t xml:space="preserve">Para suporte de aplicações/usuários,</w:t>
      </w:r>
      <w:r>
        <w:t xml:space="preserve"> </w:t>
      </w:r>
      <w:r>
        <w:rPr>
          <w:bCs/>
          <w:b/>
        </w:rPr>
        <w:t xml:space="preserve">CUOC 35121</w:t>
      </w:r>
      <w:r>
        <w:t xml:space="preserve"> </w:t>
      </w:r>
      <w:r>
        <w:t xml:space="preserve">cobre software, hardware, redes, bancos de dados, internet, deployment e suporte.</w:t>
      </w:r>
    </w:p>
    <w:p>
      <w:pPr>
        <w:pStyle w:val="BodyText"/>
      </w:pPr>
      <w:r>
        <w:t xml:space="preserve">OCUPACOL alerta que seus indicadores históricos de mercado de trabalho não possuem representatividade estatística sob a metodologia aplicada. Por isso esta guia não inventa um salário nacional de Cloud Support Specialist a partir desses intervalos.</w:t>
      </w:r>
    </w:p>
    <w:bookmarkEnd w:id="51"/>
    <w:bookmarkStart w:id="54" w:name="colômbia--rotas-sena"/>
    <w:p>
      <w:pPr>
        <w:pStyle w:val="Heading2"/>
      </w:pPr>
      <w:r>
        <w:t xml:space="preserve">Colômbia — rotas SENA</w:t>
      </w:r>
    </w:p>
    <w:bookmarkStart w:id="52" w:name="X98c111199374e65edb471ebc84bf32b4abbdbeb"/>
    <w:p>
      <w:pPr>
        <w:pStyle w:val="Heading3"/>
      </w:pPr>
      <w:r>
        <w:t xml:space="preserve">Programación de Aplicaciones y Servicios para la Nube</w:t>
      </w:r>
    </w:p>
    <w:p>
      <w:pPr>
        <w:pStyle w:val="FirstParagraph"/>
      </w:pPr>
      <w:r>
        <w:t xml:space="preserve">SENA Betowa identifica atualmente:</w:t>
      </w:r>
    </w:p>
    <w:p>
      <w:pPr>
        <w:numPr>
          <w:ilvl w:val="0"/>
          <w:numId w:val="1011"/>
        </w:numPr>
        <w:pStyle w:val="Compact"/>
      </w:pPr>
      <w:r>
        <w:rPr>
          <w:bCs/>
          <w:b/>
        </w:rPr>
        <w:t xml:space="preserve">Técnico</w:t>
      </w:r>
      <w:r>
        <w:t xml:space="preserve">;</w:t>
      </w:r>
    </w:p>
    <w:p>
      <w:pPr>
        <w:numPr>
          <w:ilvl w:val="0"/>
          <w:numId w:val="1011"/>
        </w:numPr>
        <w:pStyle w:val="Compact"/>
      </w:pPr>
      <w:r>
        <w:rPr>
          <w:bCs/>
          <w:b/>
        </w:rPr>
        <w:t xml:space="preserve">2,256 horas</w:t>
      </w:r>
      <w:r>
        <w:t xml:space="preserve">;</w:t>
      </w:r>
    </w:p>
    <w:p>
      <w:pPr>
        <w:numPr>
          <w:ilvl w:val="0"/>
          <w:numId w:val="1011"/>
        </w:numPr>
        <w:pStyle w:val="Compact"/>
      </w:pPr>
      <w:r>
        <w:t xml:space="preserve">formación titulada;</w:t>
      </w:r>
    </w:p>
    <w:p>
      <w:pPr>
        <w:numPr>
          <w:ilvl w:val="0"/>
          <w:numId w:val="1011"/>
        </w:numPr>
        <w:pStyle w:val="Compact"/>
      </w:pPr>
      <w:r>
        <w:t xml:space="preserve">ofertas virtuais atuais;</w:t>
      </w:r>
    </w:p>
    <w:p>
      <w:pPr>
        <w:numPr>
          <w:ilvl w:val="0"/>
          <w:numId w:val="1011"/>
        </w:numPr>
        <w:pStyle w:val="Compact"/>
      </w:pPr>
      <w:r>
        <w:t xml:space="preserve">fundamentos de aplicações/serviços cloud, banco de dados e tecnologia.</w:t>
      </w:r>
    </w:p>
    <w:p>
      <w:pPr>
        <w:pStyle w:val="FirstParagraph"/>
      </w:pPr>
      <w:r>
        <w:t xml:space="preserve">É uma rota substancial, mas combina desenvolvimento e cloud; não é uma qualificação puramente de suporte.</w:t>
      </w:r>
    </w:p>
    <w:bookmarkEnd w:id="52"/>
    <w:bookmarkStart w:id="53" w:name="X09479edf5f0e39ed73daa6168bf687c26cfed8d"/>
    <w:p>
      <w:pPr>
        <w:pStyle w:val="Heading3"/>
      </w:pPr>
      <w:r>
        <w:t xml:space="preserve">Implementación de Servicios de Computación en la Nube</w:t>
      </w:r>
    </w:p>
    <w:p>
      <w:pPr>
        <w:pStyle w:val="FirstParagraph"/>
      </w:pPr>
      <w:r>
        <w:t xml:space="preserve">SENA Betowa identifica atualmente:</w:t>
      </w:r>
    </w:p>
    <w:p>
      <w:pPr>
        <w:numPr>
          <w:ilvl w:val="0"/>
          <w:numId w:val="1012"/>
        </w:numPr>
        <w:pStyle w:val="Compact"/>
      </w:pPr>
      <w:r>
        <w:t xml:space="preserve">formação complementar virtual;</w:t>
      </w:r>
    </w:p>
    <w:p>
      <w:pPr>
        <w:numPr>
          <w:ilvl w:val="0"/>
          <w:numId w:val="1012"/>
        </w:numPr>
        <w:pStyle w:val="Compact"/>
      </w:pPr>
      <w:r>
        <w:rPr>
          <w:bCs/>
          <w:b/>
        </w:rPr>
        <w:t xml:space="preserve">48 horas</w:t>
      </w:r>
      <w:r>
        <w:t xml:space="preserve">;</w:t>
      </w:r>
    </w:p>
    <w:p>
      <w:pPr>
        <w:numPr>
          <w:ilvl w:val="0"/>
          <w:numId w:val="1012"/>
        </w:numPr>
        <w:pStyle w:val="Compact"/>
      </w:pPr>
      <w:r>
        <w:t xml:space="preserve">conceitos de serviços cloud e competência de administração de infraestrutura tecnológica de rede.</w:t>
      </w:r>
    </w:p>
    <w:p>
      <w:pPr>
        <w:pStyle w:val="FirstParagraph"/>
      </w:pPr>
      <w:r>
        <w:t xml:space="preserve">É treinamento suplementar e não equivale ao Técnico de 2,256 horas. Turmas, vagas, modalidade e admissão mudam; verifique a oferta ao vivo.</w:t>
      </w:r>
    </w:p>
    <w:bookmarkEnd w:id="53"/>
    <w:bookmarkEnd w:id="54"/>
    <w:bookmarkStart w:id="55" w:name="aprendizado-com-fornecedores"/>
    <w:p>
      <w:pPr>
        <w:pStyle w:val="Heading2"/>
      </w:pPr>
      <w:r>
        <w:t xml:space="preserve">Aprendizado com fornecedores</w:t>
      </w:r>
    </w:p>
    <w:p>
      <w:pPr>
        <w:pStyle w:val="FirstParagraph"/>
      </w:pPr>
      <w:r>
        <w:t xml:space="preserve">Pode-se investigar Microsoft Learn Azure, AWS Skill Builder e Google Cloud Skills Boost. Parte do conteúdo pode ser gratuita; exames, labs ou credenciais podem ter custo. Verifique preço, disponibilidade regional e relevância para o empregador antes de pagar.</w:t>
      </w:r>
    </w:p>
    <w:bookmarkEnd w:id="55"/>
    <w:bookmarkStart w:id="56" w:name="portfólio-seguro"/>
    <w:p>
      <w:pPr>
        <w:pStyle w:val="Heading2"/>
      </w:pPr>
      <w:r>
        <w:t xml:space="preserve">Portfólio seguro</w:t>
      </w:r>
    </w:p>
    <w:p>
      <w:pPr>
        <w:pStyle w:val="FirstParagraph"/>
      </w:pPr>
      <w:r>
        <w:t xml:space="preserve">Use apenas ambientes próprios, sandbox, training, open-source ou expressamente autorizados. Exemplos:</w:t>
      </w:r>
    </w:p>
    <w:p>
      <w:pPr>
        <w:numPr>
          <w:ilvl w:val="0"/>
          <w:numId w:val="1013"/>
        </w:numPr>
        <w:pStyle w:val="Compact"/>
      </w:pPr>
      <w:r>
        <w:t xml:space="preserve">ticket sintético de incidente cloud e escalonamento;</w:t>
      </w:r>
    </w:p>
    <w:p>
      <w:pPr>
        <w:numPr>
          <w:ilvl w:val="0"/>
          <w:numId w:val="1013"/>
        </w:numPr>
        <w:pStyle w:val="Compact"/>
      </w:pPr>
      <w:r>
        <w:t xml:space="preserve">diagrama de arquitetura de sandbox público;</w:t>
      </w:r>
    </w:p>
    <w:p>
      <w:pPr>
        <w:numPr>
          <w:ilvl w:val="0"/>
          <w:numId w:val="1013"/>
        </w:numPr>
        <w:pStyle w:val="Compact"/>
      </w:pPr>
      <w:r>
        <w:t xml:space="preserve">revisão IAM de menor privilégio em lab próprio;</w:t>
      </w:r>
    </w:p>
    <w:p>
      <w:pPr>
        <w:numPr>
          <w:ilvl w:val="0"/>
          <w:numId w:val="1013"/>
        </w:numPr>
        <w:pStyle w:val="Compact"/>
      </w:pPr>
      <w:r>
        <w:t xml:space="preserve">troubleshooting de DNS/conectividade;</w:t>
      </w:r>
    </w:p>
    <w:p>
      <w:pPr>
        <w:numPr>
          <w:ilvl w:val="0"/>
          <w:numId w:val="1013"/>
        </w:numPr>
        <w:pStyle w:val="Compact"/>
      </w:pPr>
      <w:r>
        <w:t xml:space="preserve">dashboard com telemetria sintética;</w:t>
      </w:r>
    </w:p>
    <w:p>
      <w:pPr>
        <w:numPr>
          <w:ilvl w:val="0"/>
          <w:numId w:val="1013"/>
        </w:numPr>
        <w:pStyle w:val="Compact"/>
      </w:pPr>
      <w:r>
        <w:t xml:space="preserve">plano de backup/restore para lab;</w:t>
      </w:r>
    </w:p>
    <w:p>
      <w:pPr>
        <w:numPr>
          <w:ilvl w:val="0"/>
          <w:numId w:val="1013"/>
        </w:numPr>
        <w:pStyle w:val="Compact"/>
      </w:pPr>
      <w:r>
        <w:t xml:space="preserve">exercício de correlação com provider status;</w:t>
      </w:r>
    </w:p>
    <w:p>
      <w:pPr>
        <w:numPr>
          <w:ilvl w:val="0"/>
          <w:numId w:val="1013"/>
        </w:numPr>
        <w:pStyle w:val="Compact"/>
      </w:pPr>
      <w:r>
        <w:t xml:space="preserve">IaC simples sem credenciais reais.</w:t>
      </w:r>
    </w:p>
    <w:p>
      <w:pPr>
        <w:pStyle w:val="FirstParagraph"/>
      </w:pPr>
      <w:r>
        <w:t xml:space="preserve">Nunca publique contas, arquitetura, keys, tokens, logs, vulnerabilidades ou runbooks proprietários de empregadores/clientes.</w:t>
      </w:r>
    </w:p>
    <w:bookmarkEnd w:id="56"/>
    <w:bookmarkStart w:id="61" w:name="plano-inicial-de-quatro-semanas"/>
    <w:p>
      <w:pPr>
        <w:pStyle w:val="Heading2"/>
      </w:pPr>
      <w:r>
        <w:t xml:space="preserve">Plano inicial de quatro semanas</w:t>
      </w:r>
    </w:p>
    <w:bookmarkStart w:id="57" w:name="semana-1--fundamentos"/>
    <w:p>
      <w:pPr>
        <w:pStyle w:val="Heading3"/>
      </w:pPr>
      <w:r>
        <w:t xml:space="preserve">Semana 1 — fundamentos</w:t>
      </w:r>
    </w:p>
    <w:p>
      <w:pPr>
        <w:pStyle w:val="FirstParagraph"/>
      </w:pPr>
      <w:r>
        <w:t xml:space="preserve">Conta/tenant, regiões/zonas, compute, storage, networking, DNS e IAM. Use lab pessoal de baixo custo ou sandbox e configure alertas de custo quando disponíveis.</w:t>
      </w:r>
    </w:p>
    <w:bookmarkEnd w:id="57"/>
    <w:bookmarkStart w:id="58" w:name="semana-2--troubleshooting"/>
    <w:p>
      <w:pPr>
        <w:pStyle w:val="Heading3"/>
      </w:pPr>
      <w:r>
        <w:t xml:space="preserve">Semana 2 — troubleshooting</w:t>
      </w:r>
    </w:p>
    <w:p>
      <w:pPr>
        <w:pStyle w:val="FirstParagraph"/>
      </w:pPr>
      <w:r>
        <w:t xml:space="preserve">Pratique tickets, service health, logs/métricas, análise de packet path e teste de uma hipótese por vez.</w:t>
      </w:r>
    </w:p>
    <w:bookmarkEnd w:id="58"/>
    <w:bookmarkStart w:id="59" w:name="semana-3--segurança-e-recuperação"/>
    <w:p>
      <w:pPr>
        <w:pStyle w:val="Heading3"/>
      </w:pPr>
      <w:r>
        <w:t xml:space="preserve">Semana 3 — segurança e recuperação</w:t>
      </w:r>
    </w:p>
    <w:p>
      <w:pPr>
        <w:pStyle w:val="FirstParagraph"/>
      </w:pPr>
      <w:r>
        <w:t xml:space="preserve">Pratique MFA, menor privilégio, segredos, backup/restore, RPO/RTO, audit logs e change/rollback controlado.</w:t>
      </w:r>
    </w:p>
    <w:bookmarkEnd w:id="59"/>
    <w:bookmarkStart w:id="60" w:name="semana-4--evidência-e-emprego"/>
    <w:p>
      <w:pPr>
        <w:pStyle w:val="Heading3"/>
      </w:pPr>
      <w:r>
        <w:t xml:space="preserve">Semana 4 — evidência e emprego</w:t>
      </w:r>
    </w:p>
    <w:p>
      <w:pPr>
        <w:pStyle w:val="FirstParagraph"/>
      </w:pPr>
      <w:r>
        <w:t xml:space="preserve">Construa portfólio seguro, classifique vagas por infraestrutura versus suporte ao usuário, verifique rotas de formação, pratique entrevistas e documente o que pode fazer versus o que deve escalar.</w:t>
      </w:r>
    </w:p>
    <w:bookmarkEnd w:id="60"/>
    <w:bookmarkEnd w:id="61"/>
    <w:bookmarkStart w:id="62" w:name="preparação-para-entrevistas"/>
    <w:p>
      <w:pPr>
        <w:pStyle w:val="Heading2"/>
      </w:pPr>
      <w:r>
        <w:t xml:space="preserve">Preparação para entrevistas</w:t>
      </w:r>
    </w:p>
    <w:p>
      <w:pPr>
        <w:pStyle w:val="FirstParagraph"/>
      </w:pPr>
      <w:r>
        <w:t xml:space="preserve">Explique como isolaria conectividade cloud; autenticação versus autorização; menor privilégio/MFA; por que snapshot não prova recuperabilidade; por que replicação não é backup automático; provider health versus configuração do cliente; troubleshooting de DNS; verificação de conta/região; quando escalar mudança privilegiada; exposição de segredo; e como valida orientação gerada por IA.</w:t>
      </w:r>
    </w:p>
    <w:bookmarkEnd w:id="62"/>
    <w:bookmarkStart w:id="63" w:name="perguntas-ao-empregador"/>
    <w:p>
      <w:pPr>
        <w:pStyle w:val="Heading2"/>
      </w:pPr>
      <w:r>
        <w:t xml:space="preserve">Perguntas ao empregador</w:t>
      </w:r>
    </w:p>
    <w:p>
      <w:pPr>
        <w:numPr>
          <w:ilvl w:val="0"/>
          <w:numId w:val="1014"/>
        </w:numPr>
        <w:pStyle w:val="Compact"/>
      </w:pPr>
      <w:r>
        <w:t xml:space="preserve">Quais provedores/serviços são suportados?</w:t>
      </w:r>
    </w:p>
    <w:p>
      <w:pPr>
        <w:numPr>
          <w:ilvl w:val="0"/>
          <w:numId w:val="1014"/>
        </w:numPr>
        <w:pStyle w:val="Compact"/>
      </w:pPr>
      <w:r>
        <w:t xml:space="preserve">O papel é infraestrutura, SaaS/usuário ou ambos?</w:t>
      </w:r>
    </w:p>
    <w:p>
      <w:pPr>
        <w:numPr>
          <w:ilvl w:val="0"/>
          <w:numId w:val="1014"/>
        </w:numPr>
        <w:pStyle w:val="Compact"/>
      </w:pPr>
      <w:r>
        <w:t xml:space="preserve">Quais privilégios de produção possui?</w:t>
      </w:r>
    </w:p>
    <w:p>
      <w:pPr>
        <w:numPr>
          <w:ilvl w:val="0"/>
          <w:numId w:val="1014"/>
        </w:numPr>
        <w:pStyle w:val="Compact"/>
      </w:pPr>
      <w:r>
        <w:t xml:space="preserve">Existe on-call?</w:t>
      </w:r>
    </w:p>
    <w:p>
      <w:pPr>
        <w:numPr>
          <w:ilvl w:val="0"/>
          <w:numId w:val="1014"/>
        </w:numPr>
        <w:pStyle w:val="Compact"/>
      </w:pPr>
      <w:r>
        <w:t xml:space="preserve">Como incidentes/severidades são tratados?</w:t>
      </w:r>
    </w:p>
    <w:p>
      <w:pPr>
        <w:numPr>
          <w:ilvl w:val="0"/>
          <w:numId w:val="1014"/>
        </w:numPr>
        <w:pStyle w:val="Compact"/>
      </w:pPr>
      <w:r>
        <w:t xml:space="preserve">Quem aprova exceções IAM/segurança?</w:t>
      </w:r>
    </w:p>
    <w:p>
      <w:pPr>
        <w:numPr>
          <w:ilvl w:val="0"/>
          <w:numId w:val="1014"/>
        </w:numPr>
        <w:pStyle w:val="Compact"/>
      </w:pPr>
      <w:r>
        <w:t xml:space="preserve">Quem define arquitetura e recovery?</w:t>
      </w:r>
    </w:p>
    <w:p>
      <w:pPr>
        <w:numPr>
          <w:ilvl w:val="0"/>
          <w:numId w:val="1014"/>
        </w:numPr>
        <w:pStyle w:val="Compact"/>
      </w:pPr>
      <w:r>
        <w:t xml:space="preserve">Quais change/release controls se aplicam?</w:t>
      </w:r>
    </w:p>
    <w:p>
      <w:pPr>
        <w:numPr>
          <w:ilvl w:val="0"/>
          <w:numId w:val="1014"/>
        </w:numPr>
        <w:pStyle w:val="Compact"/>
      </w:pPr>
      <w:r>
        <w:t xml:space="preserve">Scripts/IaC exigem revisão?</w:t>
      </w:r>
    </w:p>
    <w:p>
      <w:pPr>
        <w:numPr>
          <w:ilvl w:val="0"/>
          <w:numId w:val="1014"/>
        </w:numPr>
        <w:pStyle w:val="Compact"/>
      </w:pPr>
      <w:r>
        <w:t xml:space="preserve">Há suporte para training/certificações?</w:t>
      </w:r>
    </w:p>
    <w:p>
      <w:pPr>
        <w:numPr>
          <w:ilvl w:val="0"/>
          <w:numId w:val="1014"/>
        </w:numPr>
        <w:pStyle w:val="Compact"/>
      </w:pPr>
      <w:r>
        <w:t xml:space="preserve">Como privacidade, residência de dados e acesso ao cliente são tratados?</w:t>
      </w:r>
    </w:p>
    <w:bookmarkEnd w:id="63"/>
    <w:bookmarkStart w:id="94" w:name="links-de-verificação-para-leitores"/>
    <w:p>
      <w:pPr>
        <w:pStyle w:val="Heading2"/>
      </w:pPr>
      <w:r>
        <w:t xml:space="preserve">Links de verificação para leitores</w:t>
      </w:r>
    </w:p>
    <w:p>
      <w:pPr>
        <w:numPr>
          <w:ilvl w:val="0"/>
          <w:numId w:val="1015"/>
        </w:numPr>
        <w:pStyle w:val="Compact"/>
      </w:pPr>
      <w:hyperlink r:id="rId64">
        <w:hyperlink r:id="rId64">
          <w:r>
            <w:rPr>
              <w:rStyle w:val="Hyperlink"/>
            </w:rPr>
            <w:t xml:space="preserve">Source link</w:t>
          </w:r>
        </w:hyperlink>
      </w:hyperlink>
    </w:p>
    <w:p>
      <w:pPr>
        <w:numPr>
          <w:ilvl w:val="0"/>
          <w:numId w:val="1015"/>
        </w:numPr>
        <w:pStyle w:val="Compact"/>
      </w:pPr>
      <w:hyperlink r:id="rId65">
        <w:hyperlink r:id="rId65">
          <w:r>
            <w:rPr>
              <w:rStyle w:val="Hyperlink"/>
            </w:rPr>
            <w:t xml:space="preserve">Source link</w:t>
          </w:r>
        </w:hyperlink>
      </w:hyperlink>
    </w:p>
    <w:p>
      <w:pPr>
        <w:numPr>
          <w:ilvl w:val="0"/>
          <w:numId w:val="1015"/>
        </w:numPr>
        <w:pStyle w:val="Compact"/>
      </w:pPr>
      <w:hyperlink r:id="rId66">
        <w:hyperlink r:id="rId66">
          <w:r>
            <w:rPr>
              <w:rStyle w:val="Hyperlink"/>
            </w:rPr>
            <w:t xml:space="preserve">Source link</w:t>
          </w:r>
        </w:hyperlink>
      </w:hyperlink>
    </w:p>
    <w:p>
      <w:pPr>
        <w:numPr>
          <w:ilvl w:val="0"/>
          <w:numId w:val="1015"/>
        </w:numPr>
        <w:pStyle w:val="Compact"/>
      </w:pPr>
      <w:hyperlink r:id="rId67">
        <w:hyperlink r:id="rId67">
          <w:r>
            <w:rPr>
              <w:rStyle w:val="Hyperlink"/>
            </w:rPr>
            <w:t xml:space="preserve">Source link</w:t>
          </w:r>
        </w:hyperlink>
      </w:hyperlink>
    </w:p>
    <w:p>
      <w:pPr>
        <w:numPr>
          <w:ilvl w:val="0"/>
          <w:numId w:val="1015"/>
        </w:numPr>
        <w:pStyle w:val="Compact"/>
      </w:pPr>
      <w:hyperlink r:id="rId68">
        <w:hyperlink r:id="rId68">
          <w:r>
            <w:rPr>
              <w:rStyle w:val="Hyperlink"/>
            </w:rPr>
            <w:t xml:space="preserve">Source link</w:t>
          </w:r>
        </w:hyperlink>
      </w:hyperlink>
    </w:p>
    <w:p>
      <w:pPr>
        <w:numPr>
          <w:ilvl w:val="0"/>
          <w:numId w:val="1015"/>
        </w:numPr>
        <w:pStyle w:val="Compact"/>
      </w:pPr>
      <w:hyperlink r:id="rId69">
        <w:hyperlink r:id="rId69">
          <w:r>
            <w:rPr>
              <w:rStyle w:val="Hyperlink"/>
            </w:rPr>
            <w:t xml:space="preserve">Source link</w:t>
          </w:r>
        </w:hyperlink>
      </w:hyperlink>
    </w:p>
    <w:p>
      <w:pPr>
        <w:numPr>
          <w:ilvl w:val="0"/>
          <w:numId w:val="1015"/>
        </w:numPr>
        <w:pStyle w:val="Compact"/>
      </w:pPr>
      <w:hyperlink r:id="rId70">
        <w:r>
          <w:rPr>
            <w:rStyle w:val="Hyperlink"/>
          </w:rPr>
          <w:t xml:space="preserve">https://www.apprenticeship.gov/</w:t>
        </w:r>
      </w:hyperlink>
    </w:p>
    <w:p>
      <w:pPr>
        <w:numPr>
          <w:ilvl w:val="0"/>
          <w:numId w:val="1015"/>
        </w:numPr>
        <w:pStyle w:val="Compact"/>
      </w:pPr>
      <w:hyperlink r:id="rId71">
        <w:hyperlink r:id="rId71">
          <w:r>
            <w:rPr>
              <w:rStyle w:val="Hyperlink"/>
            </w:rPr>
            <w:t xml:space="preserve">Source link</w:t>
          </w:r>
        </w:hyperlink>
      </w:hyperlink>
    </w:p>
    <w:p>
      <w:pPr>
        <w:numPr>
          <w:ilvl w:val="0"/>
          <w:numId w:val="1015"/>
        </w:numPr>
        <w:pStyle w:val="Compact"/>
      </w:pPr>
      <w:hyperlink r:id="rId72">
        <w:hyperlink r:id="rId72">
          <w:r>
            <w:rPr>
              <w:rStyle w:val="Hyperlink"/>
            </w:rPr>
            <w:t xml:space="preserve">Source link</w:t>
          </w:r>
        </w:hyperlink>
      </w:hyperlink>
    </w:p>
    <w:p>
      <w:pPr>
        <w:numPr>
          <w:ilvl w:val="0"/>
          <w:numId w:val="1015"/>
        </w:numPr>
        <w:pStyle w:val="Compact"/>
      </w:pPr>
      <w:hyperlink r:id="rId73">
        <w:r>
          <w:rPr>
            <w:rStyle w:val="Hyperlink"/>
          </w:rPr>
          <w:t xml:space="preserve">https://skillbuilder.aws/</w:t>
        </w:r>
      </w:hyperlink>
    </w:p>
    <w:p>
      <w:pPr>
        <w:numPr>
          <w:ilvl w:val="0"/>
          <w:numId w:val="1015"/>
        </w:numPr>
        <w:pStyle w:val="Compact"/>
      </w:pPr>
      <w:hyperlink r:id="rId74">
        <w:r>
          <w:rPr>
            <w:rStyle w:val="Hyperlink"/>
          </w:rPr>
          <w:t xml:space="preserve">https://www.cloudskillsboost.google/</w:t>
        </w:r>
      </w:hyperlink>
    </w:p>
    <w:p>
      <w:pPr>
        <w:numPr>
          <w:ilvl w:val="0"/>
          <w:numId w:val="1015"/>
        </w:numPr>
        <w:pStyle w:val="Compact"/>
      </w:pPr>
      <w:hyperlink r:id="rId75">
        <w:hyperlink r:id="rId75">
          <w:r>
            <w:rPr>
              <w:rStyle w:val="Hyperlink"/>
            </w:rPr>
            <w:t xml:space="preserve">Source link</w:t>
          </w:r>
        </w:hyperlink>
      </w:hyperlink>
    </w:p>
    <w:p>
      <w:pPr>
        <w:numPr>
          <w:ilvl w:val="0"/>
          <w:numId w:val="1015"/>
        </w:numPr>
        <w:pStyle w:val="Compact"/>
      </w:pPr>
      <w:hyperlink r:id="rId76">
        <w:hyperlink r:id="rId76">
          <w:r>
            <w:rPr>
              <w:rStyle w:val="Hyperlink"/>
            </w:rPr>
            <w:t xml:space="preserve">Source link</w:t>
          </w:r>
        </w:hyperlink>
      </w:hyperlink>
    </w:p>
    <w:p>
      <w:pPr>
        <w:numPr>
          <w:ilvl w:val="0"/>
          <w:numId w:val="1015"/>
        </w:numPr>
        <w:pStyle w:val="Compact"/>
      </w:pPr>
      <w:hyperlink r:id="rId77">
        <w:hyperlink r:id="rId77">
          <w:r>
            <w:rPr>
              <w:rStyle w:val="Hyperlink"/>
            </w:rPr>
            <w:t xml:space="preserve">Source link</w:t>
          </w:r>
        </w:hyperlink>
      </w:hyperlink>
    </w:p>
    <w:p>
      <w:pPr>
        <w:numPr>
          <w:ilvl w:val="0"/>
          <w:numId w:val="1015"/>
        </w:numPr>
        <w:pStyle w:val="Compact"/>
      </w:pPr>
      <w:hyperlink r:id="rId78">
        <w:hyperlink r:id="rId78">
          <w:r>
            <w:rPr>
              <w:rStyle w:val="Hyperlink"/>
            </w:rPr>
            <w:t xml:space="preserve">Source link</w:t>
          </w:r>
        </w:hyperlink>
      </w:hyperlink>
    </w:p>
    <w:p>
      <w:pPr>
        <w:numPr>
          <w:ilvl w:val="0"/>
          <w:numId w:val="1015"/>
        </w:numPr>
        <w:pStyle w:val="Compact"/>
      </w:pPr>
      <w:hyperlink r:id="rId79">
        <w:hyperlink r:id="rId79">
          <w:r>
            <w:rPr>
              <w:rStyle w:val="Hyperlink"/>
            </w:rPr>
            <w:t xml:space="preserve">Source link</w:t>
          </w:r>
        </w:hyperlink>
      </w:hyperlink>
    </w:p>
    <w:p>
      <w:pPr>
        <w:numPr>
          <w:ilvl w:val="0"/>
          <w:numId w:val="1015"/>
        </w:numPr>
        <w:pStyle w:val="Compact"/>
      </w:pPr>
      <w:hyperlink r:id="rId80">
        <w:hyperlink r:id="rId80">
          <w:r>
            <w:rPr>
              <w:rStyle w:val="Hyperlink"/>
            </w:rPr>
            <w:t xml:space="preserve">Source link</w:t>
          </w:r>
        </w:hyperlink>
      </w:hyperlink>
    </w:p>
    <w:p>
      <w:pPr>
        <w:numPr>
          <w:ilvl w:val="0"/>
          <w:numId w:val="1015"/>
        </w:numPr>
        <w:pStyle w:val="Compact"/>
      </w:pPr>
      <w:hyperlink r:id="rId81">
        <w:hyperlink r:id="rId81">
          <w:r>
            <w:rPr>
              <w:rStyle w:val="Hyperlink"/>
            </w:rPr>
            <w:t xml:space="preserve">Source link</w:t>
          </w:r>
        </w:hyperlink>
      </w:hyperlink>
    </w:p>
    <w:p>
      <w:pPr>
        <w:numPr>
          <w:ilvl w:val="0"/>
          <w:numId w:val="1015"/>
        </w:numPr>
        <w:pStyle w:val="Compact"/>
      </w:pPr>
      <w:hyperlink r:id="rId82">
        <w:hyperlink r:id="rId82">
          <w:r>
            <w:rPr>
              <w:rStyle w:val="Hyperlink"/>
            </w:rPr>
            <w:t xml:space="preserve">Source link</w:t>
          </w:r>
        </w:hyperlink>
      </w:hyperlink>
    </w:p>
    <w:p>
      <w:pPr>
        <w:numPr>
          <w:ilvl w:val="0"/>
          <w:numId w:val="1015"/>
        </w:numPr>
        <w:pStyle w:val="Compact"/>
      </w:pPr>
      <w:hyperlink r:id="rId83">
        <w:hyperlink r:id="rId83">
          <w:r>
            <w:rPr>
              <w:rStyle w:val="Hyperlink"/>
            </w:rPr>
            <w:t xml:space="preserve">Source link</w:t>
          </w:r>
        </w:hyperlink>
      </w:hyperlink>
    </w:p>
    <w:p>
      <w:pPr>
        <w:numPr>
          <w:ilvl w:val="0"/>
          <w:numId w:val="1015"/>
        </w:numPr>
        <w:pStyle w:val="Compact"/>
      </w:pPr>
      <w:hyperlink r:id="rId84">
        <w:r>
          <w:rPr>
            <w:rStyle w:val="Hyperlink"/>
          </w:rPr>
          <w:t xml:space="preserve">https://www.oitcinterfor.org/statsfp/paises</w:t>
        </w:r>
      </w:hyperlink>
    </w:p>
    <w:p>
      <w:pPr>
        <w:numPr>
          <w:ilvl w:val="0"/>
          <w:numId w:val="1015"/>
        </w:numPr>
        <w:pStyle w:val="Compact"/>
      </w:pPr>
      <w:hyperlink r:id="rId85">
        <w:hyperlink r:id="rId85">
          <w:r>
            <w:rPr>
              <w:rStyle w:val="Hyperlink"/>
            </w:rPr>
            <w:t xml:space="preserve">Source link</w:t>
          </w:r>
        </w:hyperlink>
      </w:hyperlink>
    </w:p>
    <w:p>
      <w:pPr>
        <w:numPr>
          <w:ilvl w:val="0"/>
          <w:numId w:val="1015"/>
        </w:numPr>
        <w:pStyle w:val="Compact"/>
      </w:pPr>
      <w:hyperlink r:id="rId86">
        <w:hyperlink r:id="rId86">
          <w:r>
            <w:rPr>
              <w:rStyle w:val="Hyperlink"/>
            </w:rPr>
            <w:t xml:space="preserve">Source link</w:t>
          </w:r>
        </w:hyperlink>
      </w:hyperlink>
    </w:p>
    <w:p>
      <w:pPr>
        <w:numPr>
          <w:ilvl w:val="0"/>
          <w:numId w:val="1015"/>
        </w:numPr>
        <w:pStyle w:val="Compact"/>
      </w:pPr>
      <w:hyperlink r:id="rId87">
        <w:hyperlink r:id="rId87">
          <w:r>
            <w:rPr>
              <w:rStyle w:val="Hyperlink"/>
            </w:rPr>
            <w:t xml:space="preserve">Source link</w:t>
          </w:r>
        </w:hyperlink>
      </w:hyperlink>
    </w:p>
    <w:p>
      <w:pPr>
        <w:numPr>
          <w:ilvl w:val="0"/>
          <w:numId w:val="1015"/>
        </w:numPr>
        <w:pStyle w:val="Compact"/>
      </w:pPr>
      <w:hyperlink r:id="rId88">
        <w:r>
          <w:rPr>
            <w:rStyle w:val="Hyperlink"/>
          </w:rPr>
          <w:t xml:space="preserve">https://www.nist.gov/cyberframework</w:t>
        </w:r>
      </w:hyperlink>
    </w:p>
    <w:p>
      <w:pPr>
        <w:numPr>
          <w:ilvl w:val="0"/>
          <w:numId w:val="1015"/>
        </w:numPr>
        <w:pStyle w:val="Compact"/>
      </w:pPr>
      <w:hyperlink r:id="rId89">
        <w:r>
          <w:rPr>
            <w:rStyle w:val="Hyperlink"/>
          </w:rPr>
          <w:t xml:space="preserve">https://www.nist.gov/privacy-framework</w:t>
        </w:r>
      </w:hyperlink>
    </w:p>
    <w:p>
      <w:pPr>
        <w:numPr>
          <w:ilvl w:val="0"/>
          <w:numId w:val="1015"/>
        </w:numPr>
        <w:pStyle w:val="Compact"/>
      </w:pPr>
      <w:hyperlink r:id="rId90">
        <w:hyperlink r:id="rId90">
          <w:r>
            <w:rPr>
              <w:rStyle w:val="Hyperlink"/>
            </w:rPr>
            <w:t xml:space="preserve">Source link</w:t>
          </w:r>
        </w:hyperlink>
      </w:hyperlink>
    </w:p>
    <w:p>
      <w:pPr>
        <w:numPr>
          <w:ilvl w:val="0"/>
          <w:numId w:val="1015"/>
        </w:numPr>
        <w:pStyle w:val="Compact"/>
      </w:pPr>
      <w:hyperlink r:id="rId91">
        <w:r>
          <w:rPr>
            <w:rStyle w:val="Hyperlink"/>
          </w:rPr>
          <w:t xml:space="preserve">https://www.cisa.gov/secure-our-world</w:t>
        </w:r>
      </w:hyperlink>
    </w:p>
    <w:p>
      <w:pPr>
        <w:numPr>
          <w:ilvl w:val="0"/>
          <w:numId w:val="1015"/>
        </w:numPr>
        <w:pStyle w:val="Compact"/>
      </w:pPr>
      <w:hyperlink r:id="rId92">
        <w:r>
          <w:rPr>
            <w:rStyle w:val="Hyperlink"/>
          </w:rPr>
          <w:t xml:space="preserve">https://www.section508.gov/create/</w:t>
        </w:r>
      </w:hyperlink>
    </w:p>
    <w:p>
      <w:pPr>
        <w:numPr>
          <w:ilvl w:val="0"/>
          <w:numId w:val="1015"/>
        </w:numPr>
        <w:pStyle w:val="Compact"/>
      </w:pPr>
      <w:hyperlink r:id="rId93">
        <w:r>
          <w:rPr>
            <w:rStyle w:val="Hyperlink"/>
          </w:rPr>
          <w:t xml:space="preserve">https://www.w3.org/TR/WCAG22/</w:t>
        </w:r>
      </w:hyperlink>
    </w:p>
    <w:bookmarkEnd w:id="94"/>
    <w:bookmarkStart w:id="95" w:name="limites-importantes"/>
    <w:p>
      <w:pPr>
        <w:pStyle w:val="Heading2"/>
      </w:pPr>
      <w:r>
        <w:t xml:space="preserve">Limites importantes</w:t>
      </w:r>
    </w:p>
    <w:p>
      <w:pPr>
        <w:pStyle w:val="FirstParagraph"/>
      </w:pPr>
      <w:r>
        <w:t xml:space="preserve">Esta guia oferece informação educacional e de planejamento profissional. Não garante emprego, remuneração, admissão, financiamento, apprenticeship, certificação, disponibilidade de serviços cloud ou promoção. Não constitui certificação legal, de privacidade, cibersegurança, arquitetura, recovery, fornecedor ou acessibilidade. As edições linguísticas são localizações controladas do projeto, não traduções certificadas.</w:t>
      </w:r>
    </w:p>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5" Target="https://aws.amazon.com/compliance/shared-responsibility-model/" TargetMode="External" /><Relationship Type="http://schemas.openxmlformats.org/officeDocument/2006/relationships/hyperlink" Id="rId83" Target="https://betowa.sena.edu.co/oferta/implementacion-de-servicios-de-computacion-en-la-nube?modality=V&amp;programId=229523" TargetMode="External" /><Relationship Type="http://schemas.openxmlformats.org/officeDocument/2006/relationships/hyperlink" Id="rId82" Target="https://betowa.sena.edu.co/oferta/programacion-de-aplicaciones-y-servicios-para-la-nube?modality=V&amp;programId=165934" TargetMode="External" /><Relationship Type="http://schemas.openxmlformats.org/officeDocument/2006/relationships/hyperlink" Id="rId87" Target="https://cloud.google.com/architecture/framework/security/shared-responsibility-shared-fate" TargetMode="External" /><Relationship Type="http://schemas.openxmlformats.org/officeDocument/2006/relationships/hyperlink" Id="rId86" Target="https://learn.microsoft.com/en-us/azure/security/fundamentals/shared-responsibility" TargetMode="External" /><Relationship Type="http://schemas.openxmlformats.org/officeDocument/2006/relationships/hyperlink" Id="rId72" Target="https://learn.microsoft.com/en-us/training/azure/" TargetMode="External" /><Relationship Type="http://schemas.openxmlformats.org/officeDocument/2006/relationships/hyperlink" Id="rId81" Target="https://ocupacol.mintrabajo.gov.co/Profile/OccupationalProfile/35121" TargetMode="External" /><Relationship Type="http://schemas.openxmlformats.org/officeDocument/2006/relationships/hyperlink" Id="rId80" Target="https://ocupacol.mintrabajo.gov.co/Profile/OccupationalProfile/35130" TargetMode="External" /><Relationship Type="http://schemas.openxmlformats.org/officeDocument/2006/relationships/hyperlink" Id="rId73" Target="https://skillbuilder.aws/" TargetMode="External" /><Relationship Type="http://schemas.openxmlformats.org/officeDocument/2006/relationships/hyperlink" Id="rId70" Target="https://www.apprenticeship.gov/" TargetMode="External" /><Relationship Type="http://schemas.openxmlformats.org/officeDocument/2006/relationships/hyperlink" Id="rId79" Target="https://www.canada.ca/en/services/jobs/training.html" TargetMode="External" /><Relationship Type="http://schemas.openxmlformats.org/officeDocument/2006/relationships/hyperlink" Id="rId69" Target="https://www.careeronestop.org/LocalHelp/EmploymentAndTraining/find-WIOA-training-programs.aspx" TargetMode="External" /><Relationship Type="http://schemas.openxmlformats.org/officeDocument/2006/relationships/hyperlink" Id="rId91" Target="https://www.cisa.gov/secure-our-world" TargetMode="External" /><Relationship Type="http://schemas.openxmlformats.org/officeDocument/2006/relationships/hyperlink" Id="rId74" Target="https://www.cloudskillsboost.google/" TargetMode="External" /><Relationship Type="http://schemas.openxmlformats.org/officeDocument/2006/relationships/hyperlink" Id="rId71" Target="https://www.indeed.com/career/cloud-engineer/salaries" TargetMode="External" /><Relationship Type="http://schemas.openxmlformats.org/officeDocument/2006/relationships/hyperlink" Id="rId75" Target="https://www.jobbank.gc.ca/marketreport/summary-occupation/24514/ca" TargetMode="External" /><Relationship Type="http://schemas.openxmlformats.org/officeDocument/2006/relationships/hyperlink" Id="rId77" Target="https://www.jobbank.gc.ca/marketreport/summary-occupation/3772/ca" TargetMode="External" /><Relationship Type="http://schemas.openxmlformats.org/officeDocument/2006/relationships/hyperlink" Id="rId78" Target="https://www.jobbank.gc.ca/marketreport/wages-occupation/3772/ca" TargetMode="External" /><Relationship Type="http://schemas.openxmlformats.org/officeDocument/2006/relationships/hyperlink" Id="rId76" Target="https://www.jobbank.gc.ca/wagereport/occupation/3757" TargetMode="External" /><Relationship Type="http://schemas.openxmlformats.org/officeDocument/2006/relationships/hyperlink" Id="rId88" Target="https://www.nist.gov/cyberframework" TargetMode="External" /><Relationship Type="http://schemas.openxmlformats.org/officeDocument/2006/relationships/hyperlink" Id="rId90" Target="https://www.nist.gov/itl/ai-risk-management-framework" TargetMode="External" /><Relationship Type="http://schemas.openxmlformats.org/officeDocument/2006/relationships/hyperlink" Id="rId89" Target="https://www.nist.gov/privacy-framework" TargetMode="External" /><Relationship Type="http://schemas.openxmlformats.org/officeDocument/2006/relationships/hyperlink" Id="rId84" Target="https://www.oitcinterfor.org/statsfp/paises" TargetMode="External" /><Relationship Type="http://schemas.openxmlformats.org/officeDocument/2006/relationships/hyperlink" Id="rId68" Target="https://www.onetonline.org/link/demand/15-1231.00" TargetMode="External" /><Relationship Type="http://schemas.openxmlformats.org/officeDocument/2006/relationships/hyperlink" Id="rId64" Target="https://www.onetonline.org/link/details/15-1231.00" TargetMode="External" /><Relationship Type="http://schemas.openxmlformats.org/officeDocument/2006/relationships/hyperlink" Id="rId67" Target="https://www.onetonline.org/link/hot_tech/15-1231.00" TargetMode="External" /><Relationship Type="http://schemas.openxmlformats.org/officeDocument/2006/relationships/hyperlink" Id="rId66" Target="https://www.onetonline.org/link/localtrends/15-1231.00" TargetMode="External" /><Relationship Type="http://schemas.openxmlformats.org/officeDocument/2006/relationships/hyperlink" Id="rId65" Target="https://www.onetonline.org/link/localwages/15-1231.00" TargetMode="External" /><Relationship Type="http://schemas.openxmlformats.org/officeDocument/2006/relationships/hyperlink" Id="rId92" Target="https://www.section508.gov/create/" TargetMode="External" /><Relationship Type="http://schemas.openxmlformats.org/officeDocument/2006/relationships/hyperlink" Id="rId93"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85" Target="https://aws.amazon.com/compliance/shared-responsibility-model/" TargetMode="External" /><Relationship Type="http://schemas.openxmlformats.org/officeDocument/2006/relationships/hyperlink" Id="rId83" Target="https://betowa.sena.edu.co/oferta/implementacion-de-servicios-de-computacion-en-la-nube?modality=V&amp;programId=229523" TargetMode="External" /><Relationship Type="http://schemas.openxmlformats.org/officeDocument/2006/relationships/hyperlink" Id="rId82" Target="https://betowa.sena.edu.co/oferta/programacion-de-aplicaciones-y-servicios-para-la-nube?modality=V&amp;programId=165934" TargetMode="External" /><Relationship Type="http://schemas.openxmlformats.org/officeDocument/2006/relationships/hyperlink" Id="rId87" Target="https://cloud.google.com/architecture/framework/security/shared-responsibility-shared-fate" TargetMode="External" /><Relationship Type="http://schemas.openxmlformats.org/officeDocument/2006/relationships/hyperlink" Id="rId86" Target="https://learn.microsoft.com/en-us/azure/security/fundamentals/shared-responsibility" TargetMode="External" /><Relationship Type="http://schemas.openxmlformats.org/officeDocument/2006/relationships/hyperlink" Id="rId72" Target="https://learn.microsoft.com/en-us/training/azure/" TargetMode="External" /><Relationship Type="http://schemas.openxmlformats.org/officeDocument/2006/relationships/hyperlink" Id="rId81" Target="https://ocupacol.mintrabajo.gov.co/Profile/OccupationalProfile/35121" TargetMode="External" /><Relationship Type="http://schemas.openxmlformats.org/officeDocument/2006/relationships/hyperlink" Id="rId80" Target="https://ocupacol.mintrabajo.gov.co/Profile/OccupationalProfile/35130" TargetMode="External" /><Relationship Type="http://schemas.openxmlformats.org/officeDocument/2006/relationships/hyperlink" Id="rId73" Target="https://skillbuilder.aws/" TargetMode="External" /><Relationship Type="http://schemas.openxmlformats.org/officeDocument/2006/relationships/hyperlink" Id="rId70" Target="https://www.apprenticeship.gov/" TargetMode="External" /><Relationship Type="http://schemas.openxmlformats.org/officeDocument/2006/relationships/hyperlink" Id="rId79" Target="https://www.canada.ca/en/services/jobs/training.html" TargetMode="External" /><Relationship Type="http://schemas.openxmlformats.org/officeDocument/2006/relationships/hyperlink" Id="rId69" Target="https://www.careeronestop.org/LocalHelp/EmploymentAndTraining/find-WIOA-training-programs.aspx" TargetMode="External" /><Relationship Type="http://schemas.openxmlformats.org/officeDocument/2006/relationships/hyperlink" Id="rId91" Target="https://www.cisa.gov/secure-our-world" TargetMode="External" /><Relationship Type="http://schemas.openxmlformats.org/officeDocument/2006/relationships/hyperlink" Id="rId74" Target="https://www.cloudskillsboost.google/" TargetMode="External" /><Relationship Type="http://schemas.openxmlformats.org/officeDocument/2006/relationships/hyperlink" Id="rId71" Target="https://www.indeed.com/career/cloud-engineer/salaries" TargetMode="External" /><Relationship Type="http://schemas.openxmlformats.org/officeDocument/2006/relationships/hyperlink" Id="rId75" Target="https://www.jobbank.gc.ca/marketreport/summary-occupation/24514/ca" TargetMode="External" /><Relationship Type="http://schemas.openxmlformats.org/officeDocument/2006/relationships/hyperlink" Id="rId77" Target="https://www.jobbank.gc.ca/marketreport/summary-occupation/3772/ca" TargetMode="External" /><Relationship Type="http://schemas.openxmlformats.org/officeDocument/2006/relationships/hyperlink" Id="rId78" Target="https://www.jobbank.gc.ca/marketreport/wages-occupation/3772/ca" TargetMode="External" /><Relationship Type="http://schemas.openxmlformats.org/officeDocument/2006/relationships/hyperlink" Id="rId76" Target="https://www.jobbank.gc.ca/wagereport/occupation/3757" TargetMode="External" /><Relationship Type="http://schemas.openxmlformats.org/officeDocument/2006/relationships/hyperlink" Id="rId88" Target="https://www.nist.gov/cyberframework" TargetMode="External" /><Relationship Type="http://schemas.openxmlformats.org/officeDocument/2006/relationships/hyperlink" Id="rId90" Target="https://www.nist.gov/itl/ai-risk-management-framework" TargetMode="External" /><Relationship Type="http://schemas.openxmlformats.org/officeDocument/2006/relationships/hyperlink" Id="rId89" Target="https://www.nist.gov/privacy-framework" TargetMode="External" /><Relationship Type="http://schemas.openxmlformats.org/officeDocument/2006/relationships/hyperlink" Id="rId84" Target="https://www.oitcinterfor.org/statsfp/paises" TargetMode="External" /><Relationship Type="http://schemas.openxmlformats.org/officeDocument/2006/relationships/hyperlink" Id="rId68" Target="https://www.onetonline.org/link/demand/15-1231.00" TargetMode="External" /><Relationship Type="http://schemas.openxmlformats.org/officeDocument/2006/relationships/hyperlink" Id="rId64" Target="https://www.onetonline.org/link/details/15-1231.00" TargetMode="External" /><Relationship Type="http://schemas.openxmlformats.org/officeDocument/2006/relationships/hyperlink" Id="rId67" Target="https://www.onetonline.org/link/hot_tech/15-1231.00" TargetMode="External" /><Relationship Type="http://schemas.openxmlformats.org/officeDocument/2006/relationships/hyperlink" Id="rId66" Target="https://www.onetonline.org/link/localtrends/15-1231.00" TargetMode="External" /><Relationship Type="http://schemas.openxmlformats.org/officeDocument/2006/relationships/hyperlink" Id="rId65" Target="https://www.onetonline.org/link/localwages/15-1231.00" TargetMode="External" /><Relationship Type="http://schemas.openxmlformats.org/officeDocument/2006/relationships/hyperlink" Id="rId92" Target="https://www.section508.gov/create/" TargetMode="External" /><Relationship Type="http://schemas.openxmlformats.org/officeDocument/2006/relationships/hyperlink" Id="rId93"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2026-08-22T08:19:37Z</dcterms:created>
  <dcterms:modified xsi:type="dcterms:W3CDTF">2026-08-22T08:19:37Z</dcterms:modified>
</cp:coreProperties>
</file>

<file path=docProps/custom.xml><?xml version="1.0" encoding="utf-8"?>
<Properties xmlns="http://schemas.openxmlformats.org/officeDocument/2006/custom-properties" xmlns:vt="http://schemas.openxmlformats.org/officeDocument/2006/docPropsVTypes"/>
</file>