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Xe0ae77fade9067cd9f7b84a183f100637ed6cda"/>
    <w:p>
      <w:pPr>
        <w:pStyle w:val="Heading1"/>
      </w:pPr>
      <w:r>
        <w:t xml:space="preserve">Guía de Oportunidades para Toda la Vida 91 — Especialista de Soporte en la Nube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 maestra de trabajo controlada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Español neutro de América Latina (</w:t>
      </w:r>
      <w:r>
        <w:rPr>
          <w:rStyle w:val="VerbatimChar"/>
        </w:rPr>
        <w:t xml:space="preserve">es-419</w:t>
      </w:r>
      <w:r>
        <w:t xml:space="preserve">)</w:t>
      </w:r>
      <w:r>
        <w:br/>
      </w:r>
      <w:r>
        <w:rPr>
          <w:bCs/>
          <w:b/>
        </w:rPr>
        <w:t xml:space="preserve">Referencia principal de EE. UU.:</w:t>
      </w:r>
      <w:r>
        <w:t xml:space="preserve"> </w:t>
      </w:r>
      <w:r>
        <w:t xml:space="preserve">O*NET-SOC 15-1231.00 — Computer Network Support Specialists</w:t>
      </w:r>
      <w:r>
        <w:br/>
      </w:r>
      <w:r>
        <w:rPr>
          <w:bCs/>
          <w:b/>
        </w:rPr>
        <w:t xml:space="preserve">Comparaciones de Canadá:</w:t>
      </w:r>
      <w:r>
        <w:t xml:space="preserve"> </w:t>
      </w:r>
      <w:r>
        <w:t xml:space="preserve">NOC 22220 — Computer network and web technicians; NOC 22221 — User support technicians</w:t>
      </w:r>
      <w:r>
        <w:br/>
      </w:r>
      <w:r>
        <w:rPr>
          <w:bCs/>
          <w:b/>
        </w:rPr>
        <w:t xml:space="preserve">Comparaciones de Colombia:</w:t>
      </w:r>
      <w:r>
        <w:t xml:space="preserve"> </w:t>
      </w:r>
      <w:r>
        <w:t xml:space="preserve">CUOC 35130 — Técnicos en redes y tecnologías de la información; CUOC 35121 — Técnicos en asistencia y soporte de tecnologías de la información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2026-08-22</w:t>
      </w:r>
      <w:r>
        <w:br/>
      </w:r>
      <w:r>
        <w:rPr>
          <w:bCs/>
          <w:b/>
        </w:rPr>
        <w:t xml:space="preserve">Fuente inglesa congelada:</w:t>
      </w:r>
      <w:r>
        <w:t xml:space="preserve"> </w:t>
      </w:r>
      <w:r>
        <w:t xml:space="preserve">blob</w:t>
      </w:r>
      <w:r>
        <w:t xml:space="preserve"> </w:t>
      </w:r>
      <w:r>
        <w:rPr>
          <w:rStyle w:val="VerbatimChar"/>
        </w:rPr>
        <w:t xml:space="preserve">499172975884310af740796bd38f304b07ae0b62</w:t>
      </w:r>
    </w:p>
    <w:bookmarkStart w:id="20" w:name="qué-es-esta-carrera"/>
    <w:p>
      <w:pPr>
        <w:pStyle w:val="Heading2"/>
      </w:pPr>
      <w:r>
        <w:t xml:space="preserve">Qué es esta carrera</w:t>
      </w:r>
    </w:p>
    <w:p>
      <w:pPr>
        <w:pStyle w:val="FirstParagraph"/>
      </w:pPr>
      <w:r>
        <w:t xml:space="preserve">Un Especialista de Soporte en la Nube ayuda a mantener sistemas y servicios cloud disponibles, utilizables, seguros y soportables. Según el empleador, puede trabajar con identidad y acceso, redes virtuales, DNS, cómputo, almacenamiento, monitoreo, logs, incidentes, backups, aplicaciones SaaS, escalamiento con proveedores y cambios controlados en producción.</w:t>
      </w:r>
    </w:p>
    <w:p>
      <w:pPr>
        <w:pStyle w:val="BodyText"/>
      </w:pPr>
      <w:r>
        <w:t xml:space="preserve">El título es amplio. Algunos puestos son muy orientados a infraestructura y se parecen a soporte de redes o sistemas; otros se concentran en usuarios y aplicaciones cloud. Algunos quedan cerca de funciones de administrador o ingeniero cloud. Las tareas, permisos y límites de escalamiento importan más que el nombre del cargo.</w:t>
      </w:r>
    </w:p>
    <w:p>
      <w:pPr>
        <w:pStyle w:val="BodyText"/>
      </w:pPr>
      <w:r>
        <w:t xml:space="preserve">En Estados Unidos, la mejor referencia actual es</w:t>
      </w:r>
      <w:r>
        <w:t xml:space="preserve"> </w:t>
      </w:r>
      <w:r>
        <w:rPr>
          <w:bCs/>
          <w:b/>
        </w:rPr>
        <w:t xml:space="preserve">O*NET-SOC 15-1231.00 — Computer Network Support Specialists</w:t>
      </w:r>
      <w:r>
        <w:t xml:space="preserve"> </w:t>
      </w:r>
      <w:r>
        <w:t xml:space="preserve">porque O*NET incluye explícitamente</w:t>
      </w:r>
      <w:r>
        <w:t xml:space="preserve"> </w:t>
      </w:r>
      <w:r>
        <w:rPr>
          <w:bCs/>
          <w:b/>
        </w:rPr>
        <w:t xml:space="preserve">cloud networks</w:t>
      </w:r>
      <w:r>
        <w:t xml:space="preserve"> </w:t>
      </w:r>
      <w:r>
        <w:t xml:space="preserve">y lista</w:t>
      </w:r>
      <w:r>
        <w:t xml:space="preserve"> </w:t>
      </w:r>
      <w:r>
        <w:rPr>
          <w:bCs/>
          <w:b/>
        </w:rPr>
        <w:t xml:space="preserve">Cloud Support Specialist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Junior Cloud Engineer (Nof)</w:t>
      </w:r>
      <w:r>
        <w:t xml:space="preserve"> </w:t>
      </w:r>
      <w:r>
        <w:t xml:space="preserve">como títulos aprobados de Registered Apprenticeship. Canadá y Colombia requieren un modelo de dos alcances, no una equivalencia forzada.</w:t>
      </w:r>
    </w:p>
    <w:bookmarkEnd w:id="20"/>
    <w:bookmarkStart w:id="24" w:name="alcance-por-función"/>
    <w:p>
      <w:pPr>
        <w:pStyle w:val="Heading2"/>
      </w:pPr>
      <w:r>
        <w:t xml:space="preserve">Alcance por función</w:t>
      </w:r>
    </w:p>
    <w:bookmarkStart w:id="21" w:name="soporte-de-infraestructurared-cloud"/>
    <w:p>
      <w:pPr>
        <w:pStyle w:val="Heading3"/>
      </w:pPr>
      <w:r>
        <w:t xml:space="preserve">Soporte de infraestructura/red cloud</w:t>
      </w:r>
    </w:p>
    <w:p>
      <w:pPr>
        <w:pStyle w:val="FirstParagraph"/>
      </w:pPr>
      <w:r>
        <w:t xml:space="preserve">Puede incluir redes virtuales, routing, DNS, reglas de firewall/security groups, conectividad, salud de cómputo/almacenamiento, monitoreo, backups y soporte privilegiado de plataforma. Se alinea mejor con</w:t>
      </w:r>
      <w:r>
        <w:t xml:space="preserve"> </w:t>
      </w:r>
      <w:r>
        <w:rPr>
          <w:bCs/>
          <w:b/>
        </w:rPr>
        <w:t xml:space="preserve">NOC 22220</w:t>
      </w:r>
      <w:r>
        <w:t xml:space="preserve"> </w:t>
      </w:r>
      <w:r>
        <w:t xml:space="preserve">en Canadá y</w:t>
      </w:r>
      <w:r>
        <w:t xml:space="preserve"> </w:t>
      </w:r>
      <w:r>
        <w:rPr>
          <w:bCs/>
          <w:b/>
        </w:rPr>
        <w:t xml:space="preserve">CUOC 35130</w:t>
      </w:r>
      <w:r>
        <w:t xml:space="preserve"> </w:t>
      </w:r>
      <w:r>
        <w:t xml:space="preserve">en Colombia.</w:t>
      </w:r>
    </w:p>
    <w:bookmarkEnd w:id="21"/>
    <w:bookmarkStart w:id="22" w:name="soporte-de-usuarioaplicación-cloud"/>
    <w:p>
      <w:pPr>
        <w:pStyle w:val="Heading3"/>
      </w:pPr>
      <w:r>
        <w:t xml:space="preserve">Soporte de usuario/aplicación cloud</w:t>
      </w:r>
    </w:p>
    <w:p>
      <w:pPr>
        <w:pStyle w:val="FirstParagraph"/>
      </w:pPr>
      <w:r>
        <w:t xml:space="preserve">Puede incluir acceso SaaS, incidentes de aplicaciones, problemas de cliente/despliegue, configuración de usuario, software de comunicaciones y soporte de primera línea. Se alinea mejor con</w:t>
      </w:r>
      <w:r>
        <w:t xml:space="preserve"> </w:t>
      </w:r>
      <w:r>
        <w:rPr>
          <w:bCs/>
          <w:b/>
        </w:rPr>
        <w:t xml:space="preserve">NOC 22221</w:t>
      </w:r>
      <w:r>
        <w:t xml:space="preserve"> </w:t>
      </w:r>
      <w:r>
        <w:t xml:space="preserve">en Canadá y</w:t>
      </w:r>
      <w:r>
        <w:t xml:space="preserve"> </w:t>
      </w:r>
      <w:r>
        <w:rPr>
          <w:bCs/>
          <w:b/>
        </w:rPr>
        <w:t xml:space="preserve">CUOC 35121</w:t>
      </w:r>
      <w:r>
        <w:t xml:space="preserve"> </w:t>
      </w:r>
      <w:r>
        <w:t xml:space="preserve">en Colombia.</w:t>
      </w:r>
    </w:p>
    <w:bookmarkEnd w:id="22"/>
    <w:bookmarkStart w:id="23" w:name="funciones-adyacentes"/>
    <w:p>
      <w:pPr>
        <w:pStyle w:val="Heading3"/>
      </w:pPr>
      <w:r>
        <w:t xml:space="preserve">Funciones adyacentes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Help Desk/User Support:</w:t>
      </w:r>
      <w:r>
        <w:t xml:space="preserve"> </w:t>
      </w:r>
      <w:r>
        <w:t xml:space="preserve">soporte general de endpoints, usuarios y aplicaciones.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Network Support:</w:t>
      </w:r>
      <w:r>
        <w:t xml:space="preserve"> </w:t>
      </w:r>
      <w:r>
        <w:t xml:space="preserve">conectividad, routing, DNS, dispositivos y redes cloud.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 Administrator:</w:t>
      </w:r>
      <w:r>
        <w:t xml:space="preserve"> </w:t>
      </w:r>
      <w:r>
        <w:t xml:space="preserve">suele tener más autoridad de configuración y administración.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 Engineer:</w:t>
      </w:r>
      <w:r>
        <w:t xml:space="preserve"> </w:t>
      </w:r>
      <w:r>
        <w:t xml:space="preserve">suele asumir más diseño, construcción, automatización e IaC.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SRE/DevOps:</w:t>
      </w:r>
      <w:r>
        <w:t xml:space="preserve"> </w:t>
      </w:r>
      <w:r>
        <w:t xml:space="preserve">suele abarcar ingeniería de confiabilidad, automatización y entrega de software.</w:t>
      </w:r>
    </w:p>
    <w:p>
      <w:pPr>
        <w:pStyle w:val="FirstParagraph"/>
      </w:pPr>
      <w:r>
        <w:t xml:space="preserve">No asuma que un Especialista de Soporte en la Nube controla arquitectura, excepciones de seguridad, presupuesto, diseño de políticas IAM o autoridad de liberación a producción salvo que el empleador lo asigne explícitamente.</w:t>
      </w:r>
    </w:p>
    <w:bookmarkEnd w:id="23"/>
    <w:bookmarkEnd w:id="24"/>
    <w:bookmarkStart w:id="25" w:name="empiece-por-impacto-y-alcance"/>
    <w:p>
      <w:pPr>
        <w:pStyle w:val="Heading2"/>
      </w:pPr>
      <w:r>
        <w:t xml:space="preserve">Empiece por impacto y alcance</w:t>
      </w:r>
    </w:p>
    <w:p>
      <w:pPr>
        <w:pStyle w:val="FirstParagraph"/>
      </w:pPr>
      <w:r>
        <w:t xml:space="preserve">Antes de diagnosticar, identifique:</w:t>
      </w:r>
    </w:p>
    <w:p>
      <w:pPr>
        <w:numPr>
          <w:ilvl w:val="0"/>
          <w:numId w:val="1002"/>
        </w:numPr>
        <w:pStyle w:val="Compact"/>
      </w:pPr>
      <w:r>
        <w:t xml:space="preserve">quién o qué está afectado;</w:t>
      </w:r>
    </w:p>
    <w:p>
      <w:pPr>
        <w:numPr>
          <w:ilvl w:val="0"/>
          <w:numId w:val="1002"/>
        </w:numPr>
        <w:pStyle w:val="Compact"/>
      </w:pPr>
      <w:r>
        <w:t xml:space="preserve">impacto al negocio/servicio;</w:t>
      </w:r>
    </w:p>
    <w:p>
      <w:pPr>
        <w:numPr>
          <w:ilvl w:val="0"/>
          <w:numId w:val="1002"/>
        </w:numPr>
        <w:pStyle w:val="Compact"/>
      </w:pPr>
      <w:r>
        <w:t xml:space="preserve">cuenta, tenant, suscripción o proyecto;</w:t>
      </w:r>
    </w:p>
    <w:p>
      <w:pPr>
        <w:numPr>
          <w:ilvl w:val="0"/>
          <w:numId w:val="1002"/>
        </w:numPr>
        <w:pStyle w:val="Compact"/>
      </w:pPr>
      <w:r>
        <w:t xml:space="preserve">región/zona y ambiente;</w:t>
      </w:r>
    </w:p>
    <w:p>
      <w:pPr>
        <w:numPr>
          <w:ilvl w:val="0"/>
          <w:numId w:val="1002"/>
        </w:numPr>
        <w:pStyle w:val="Compact"/>
      </w:pPr>
      <w:r>
        <w:t xml:space="preserve">recurso o servicio involucrado;</w:t>
      </w:r>
    </w:p>
    <w:p>
      <w:pPr>
        <w:numPr>
          <w:ilvl w:val="0"/>
          <w:numId w:val="1002"/>
        </w:numPr>
        <w:pStyle w:val="Compact"/>
      </w:pPr>
      <w:r>
        <w:t xml:space="preserve">timestamps;</w:t>
      </w:r>
    </w:p>
    <w:p>
      <w:pPr>
        <w:numPr>
          <w:ilvl w:val="0"/>
          <w:numId w:val="1002"/>
        </w:numPr>
        <w:pStyle w:val="Compact"/>
      </w:pPr>
      <w:r>
        <w:t xml:space="preserve">cambios recientes;</w:t>
      </w:r>
    </w:p>
    <w:p>
      <w:pPr>
        <w:numPr>
          <w:ilvl w:val="0"/>
          <w:numId w:val="1002"/>
        </w:numPr>
        <w:pStyle w:val="Compact"/>
      </w:pPr>
      <w:r>
        <w:t xml:space="preserve">nivel de autorización;</w:t>
      </w:r>
    </w:p>
    <w:p>
      <w:pPr>
        <w:numPr>
          <w:ilvl w:val="0"/>
          <w:numId w:val="1002"/>
        </w:numPr>
        <w:pStyle w:val="Compact"/>
      </w:pPr>
      <w:r>
        <w:t xml:space="preserve">logs/métricas disponibles;</w:t>
      </w:r>
    </w:p>
    <w:p>
      <w:pPr>
        <w:numPr>
          <w:ilvl w:val="0"/>
          <w:numId w:val="1002"/>
        </w:numPr>
        <w:pStyle w:val="Compact"/>
      </w:pPr>
      <w:r>
        <w:t xml:space="preserve">ruta de escalamiento.</w:t>
      </w:r>
    </w:p>
    <w:p>
      <w:pPr>
        <w:pStyle w:val="FirstParagraph"/>
      </w:pPr>
      <w:r>
        <w:t xml:space="preserve">Esto ayuda a evitar cambios amplios y riesgosos solo para “ver si funciona”.</w:t>
      </w:r>
    </w:p>
    <w:bookmarkEnd w:id="25"/>
    <w:bookmarkStart w:id="26" w:name="jerarquía-de-cuentas-y-recursos"/>
    <w:p>
      <w:pPr>
        <w:pStyle w:val="Heading2"/>
      </w:pPr>
      <w:r>
        <w:t xml:space="preserve">Jerarquía de cuentas y recursos</w:t>
      </w:r>
    </w:p>
    <w:p>
      <w:pPr>
        <w:pStyle w:val="FirstParagraph"/>
      </w:pPr>
      <w:r>
        <w:t xml:space="preserve">Comprenda las variantes del proveedor para organización/cuenta/tenant, suscripción/proyecto, resource groups/folders/projects, regiones y zonas de disponibilidad, IDs de recursos, tags/labels, cuotas/límites y propiedad de costos.</w:t>
      </w:r>
    </w:p>
    <w:p>
      <w:pPr>
        <w:pStyle w:val="BodyText"/>
      </w:pPr>
      <w:r>
        <w:t xml:space="preserve">La terminología cambia entre AWS, Azure, Google Cloud y otros proveedores. Verifique siempre el objetivo activo antes de ejecutar un comando o cambio.</w:t>
      </w:r>
    </w:p>
    <w:bookmarkEnd w:id="26"/>
    <w:bookmarkStart w:id="27" w:name="responsabilidad-compartida"/>
    <w:p>
      <w:pPr>
        <w:pStyle w:val="Heading2"/>
      </w:pPr>
      <w:r>
        <w:t xml:space="preserve">Responsabilidad compartida</w:t>
      </w:r>
    </w:p>
    <w:p>
      <w:pPr>
        <w:pStyle w:val="FirstParagraph"/>
      </w:pPr>
      <w:r>
        <w:t xml:space="preserve">Los proveedores operan y protegen partes de la plataforma; el cliente conserva responsabilidades que dependen del modelo de servicio y la configuración. Un servicio administrado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significa que:</w:t>
      </w:r>
    </w:p>
    <w:p>
      <w:pPr>
        <w:numPr>
          <w:ilvl w:val="0"/>
          <w:numId w:val="1003"/>
        </w:numPr>
        <w:pStyle w:val="Compact"/>
      </w:pPr>
      <w:r>
        <w:t xml:space="preserve">el proveedor configure correctamente el IAM del cliente;</w:t>
      </w:r>
    </w:p>
    <w:p>
      <w:pPr>
        <w:numPr>
          <w:ilvl w:val="0"/>
          <w:numId w:val="1003"/>
        </w:numPr>
        <w:pStyle w:val="Compact"/>
      </w:pPr>
      <w:r>
        <w:t xml:space="preserve">desaparezca la clasificación de datos;</w:t>
      </w:r>
    </w:p>
    <w:p>
      <w:pPr>
        <w:numPr>
          <w:ilvl w:val="0"/>
          <w:numId w:val="1003"/>
        </w:numPr>
        <w:pStyle w:val="Compact"/>
      </w:pPr>
      <w:r>
        <w:t xml:space="preserve">las vulnerabilidades de la aplicación pasen al proveedor;</w:t>
      </w:r>
    </w:p>
    <w:p>
      <w:pPr>
        <w:numPr>
          <w:ilvl w:val="0"/>
          <w:numId w:val="1003"/>
        </w:numPr>
        <w:pStyle w:val="Compact"/>
      </w:pPr>
      <w:r>
        <w:t xml:space="preserve">backups y recuperación estén automáticamente correctos;</w:t>
      </w:r>
    </w:p>
    <w:p>
      <w:pPr>
        <w:numPr>
          <w:ilvl w:val="0"/>
          <w:numId w:val="1003"/>
        </w:numPr>
        <w:pStyle w:val="Compact"/>
      </w:pPr>
      <w:r>
        <w:t xml:space="preserve">no puedan configurarse mal redes/firewalls;</w:t>
      </w:r>
    </w:p>
    <w:p>
      <w:pPr>
        <w:numPr>
          <w:ilvl w:val="0"/>
          <w:numId w:val="1003"/>
        </w:numPr>
        <w:pStyle w:val="Compact"/>
      </w:pPr>
      <w:r>
        <w:t xml:space="preserve">desaparezcan requisitos de logging y monitoreo.</w:t>
      </w:r>
    </w:p>
    <w:p>
      <w:pPr>
        <w:pStyle w:val="FirstParagraph"/>
      </w:pPr>
      <w:r>
        <w:t xml:space="preserve">Use documentación específica del servicio/proveedor en vez de memorizar un único diagrama genérico.</w:t>
      </w:r>
    </w:p>
    <w:bookmarkEnd w:id="27"/>
    <w:bookmarkStart w:id="28" w:name="identidad-mfa-y-mínimo-privilegio"/>
    <w:p>
      <w:pPr>
        <w:pStyle w:val="Heading2"/>
      </w:pPr>
      <w:r>
        <w:t xml:space="preserve">Identidad, MFA y mínimo privilegio</w:t>
      </w:r>
    </w:p>
    <w:p>
      <w:pPr>
        <w:pStyle w:val="FirstParagraph"/>
      </w:pPr>
      <w:r>
        <w:t xml:space="preserve">Prácticas obligatorias:</w:t>
      </w:r>
    </w:p>
    <w:p>
      <w:pPr>
        <w:numPr>
          <w:ilvl w:val="0"/>
          <w:numId w:val="1004"/>
        </w:numPr>
        <w:pStyle w:val="Compact"/>
      </w:pPr>
      <w:r>
        <w:t xml:space="preserve">identidades nominativas;</w:t>
      </w:r>
    </w:p>
    <w:p>
      <w:pPr>
        <w:numPr>
          <w:ilvl w:val="0"/>
          <w:numId w:val="1004"/>
        </w:numPr>
        <w:pStyle w:val="Compact"/>
      </w:pPr>
      <w:r>
        <w:t xml:space="preserve">métodos aprobados de autenticación;</w:t>
      </w:r>
    </w:p>
    <w:p>
      <w:pPr>
        <w:numPr>
          <w:ilvl w:val="0"/>
          <w:numId w:val="1004"/>
        </w:numPr>
        <w:pStyle w:val="Compact"/>
      </w:pPr>
      <w:r>
        <w:t xml:space="preserve">MFA cuando corresponda;</w:t>
      </w:r>
    </w:p>
    <w:p>
      <w:pPr>
        <w:numPr>
          <w:ilvl w:val="0"/>
          <w:numId w:val="1004"/>
        </w:numPr>
        <w:pStyle w:val="Compact"/>
      </w:pPr>
      <w:r>
        <w:t xml:space="preserve">mínimo privilegio;</w:t>
      </w:r>
    </w:p>
    <w:p>
      <w:pPr>
        <w:numPr>
          <w:ilvl w:val="0"/>
          <w:numId w:val="1004"/>
        </w:numPr>
        <w:pStyle w:val="Compact"/>
      </w:pPr>
      <w:r>
        <w:t xml:space="preserve">acceso temporal/elevado cuando exista;</w:t>
      </w:r>
    </w:p>
    <w:p>
      <w:pPr>
        <w:numPr>
          <w:ilvl w:val="0"/>
          <w:numId w:val="1004"/>
        </w:numPr>
        <w:pStyle w:val="Compact"/>
      </w:pPr>
      <w:r>
        <w:t xml:space="preserve">cuidado de service accounts/workload identities;</w:t>
      </w:r>
    </w:p>
    <w:p>
      <w:pPr>
        <w:numPr>
          <w:ilvl w:val="0"/>
          <w:numId w:val="1004"/>
        </w:numPr>
        <w:pStyle w:val="Compact"/>
      </w:pPr>
      <w:r>
        <w:t xml:space="preserve">verificación de alcance antes de cambiar roles o políticas;</w:t>
      </w:r>
    </w:p>
    <w:p>
      <w:pPr>
        <w:numPr>
          <w:ilvl w:val="0"/>
          <w:numId w:val="1004"/>
        </w:numPr>
        <w:pStyle w:val="Compact"/>
      </w:pPr>
      <w:r>
        <w:t xml:space="preserve">escalamiento de accesos sospechosos.</w:t>
      </w:r>
    </w:p>
    <w:p>
      <w:pPr>
        <w:pStyle w:val="FirstParagraph"/>
      </w:pPr>
      <w:r>
        <w:t xml:space="preserve">Nunca pegue contraseñas, API keys, tokens, signing keys, certificados u otros secretos en tickets, chat, repositorios públicos o herramientas de IA no aprobadas. Tener acceso de soporte no da autoridad ilimitada para inspeccionar datos del cliente o modificar cualquier recurso.</w:t>
      </w:r>
    </w:p>
    <w:bookmarkEnd w:id="28"/>
    <w:bookmarkStart w:id="29" w:name="fundamentos-de-cómputo"/>
    <w:p>
      <w:pPr>
        <w:pStyle w:val="Heading2"/>
      </w:pPr>
      <w:r>
        <w:t xml:space="preserve">Fundamentos de cómputo</w:t>
      </w:r>
    </w:p>
    <w:p>
      <w:pPr>
        <w:pStyle w:val="FirstParagraph"/>
      </w:pPr>
      <w:r>
        <w:t xml:space="preserve">Conceptos útiles incluyen máquinas virtuales/instances, imágenes/templates, tamaños/tipos, restart/start/stop, discos/volúmenes, autoscaling, containers/managed compute a nivel conceptual, health checks, cuotas y límites de acceso al sistema operativo.</w:t>
      </w:r>
    </w:p>
    <w:p>
      <w:pPr>
        <w:pStyle w:val="BodyText"/>
      </w:pPr>
      <w:r>
        <w:t xml:space="preserve">Un restart puede ocultar temporalmente un síntoma sin demostrar causa raíz. Capture evidencia antes de acciones destructivas o que cambien estado cuando la política lo requiera.</w:t>
      </w:r>
    </w:p>
    <w:bookmarkEnd w:id="29"/>
    <w:bookmarkStart w:id="30" w:name="fundamentos-de-almacenamiento"/>
    <w:p>
      <w:pPr>
        <w:pStyle w:val="Heading2"/>
      </w:pPr>
      <w:r>
        <w:t xml:space="preserve">Fundamentos de almacenamiento</w:t>
      </w:r>
    </w:p>
    <w:p>
      <w:pPr>
        <w:pStyle w:val="FirstParagraph"/>
      </w:pPr>
      <w:r>
        <w:t xml:space="preserve">Comprenda almacenamiento object/block/file, lifecycle/retention, cifrado/acceso, redundancia, snapshots/backups y versioning cuando exista.</w:t>
      </w:r>
    </w:p>
    <w:p>
      <w:pPr>
        <w:pStyle w:val="BodyText"/>
      </w:pPr>
      <w:r>
        <w:t xml:space="preserve">No cambie retención, cifrado, acceso público o replicación sin autoridad y revisión de impacto.</w:t>
      </w:r>
    </w:p>
    <w:bookmarkEnd w:id="30"/>
    <w:bookmarkStart w:id="31" w:name="redes-cloud"/>
    <w:p>
      <w:pPr>
        <w:pStyle w:val="Heading2"/>
      </w:pPr>
      <w:r>
        <w:t xml:space="preserve">Redes cloud</w:t>
      </w:r>
    </w:p>
    <w:p>
      <w:pPr>
        <w:pStyle w:val="FirstParagraph"/>
      </w:pPr>
      <w:r>
        <w:t xml:space="preserve">Comprenda VPC/VNet/redes virtuales, subnets, route tables, security groups/firewalls, IP públicas/privadas, NAT, load balancers, DNS, VPN/private connectivity, puertos/protocolos, latencia, packet path y certificados/TLS a nivel de soporte.</w:t>
      </w:r>
    </w:p>
    <w:p>
      <w:pPr>
        <w:pStyle w:val="BodyText"/>
      </w:pPr>
      <w:r>
        <w:t xml:space="preserve">Diagnostique por capas. Un timeout puede provenir de DNS, routing, firewall, service health, aplicación, certificado o una dependencia.</w:t>
      </w:r>
    </w:p>
    <w:bookmarkEnd w:id="31"/>
    <w:bookmarkStart w:id="32" w:name="diagnóstico-de-dns"/>
    <w:p>
      <w:pPr>
        <w:pStyle w:val="Heading2"/>
      </w:pPr>
      <w:r>
        <w:t xml:space="preserve">Diagnóstico de DNS</w:t>
      </w:r>
    </w:p>
    <w:p>
      <w:pPr>
        <w:pStyle w:val="FirstParagraph"/>
      </w:pPr>
      <w:r>
        <w:t xml:space="preserve">Revise hostname esperado, resolver path, tipo/valor del registro, TTL/cache, zonas privadas/públicas, cambios recientes, alineación certificado-hostname y salud real del servicio destino.</w:t>
      </w:r>
    </w:p>
    <w:p>
      <w:pPr>
        <w:pStyle w:val="BodyText"/>
      </w:pPr>
      <w:r>
        <w:t xml:space="preserve">No realice cambios amplios de DNS si la evidencia apunta a otra capa.</w:t>
      </w:r>
    </w:p>
    <w:bookmarkEnd w:id="32"/>
    <w:bookmarkStart w:id="33" w:name="logs-métricas-traces-y-alertas"/>
    <w:p>
      <w:pPr>
        <w:pStyle w:val="Heading2"/>
      </w:pPr>
      <w:r>
        <w:t xml:space="preserve">Logs, métricas, traces y alertas</w:t>
      </w:r>
    </w:p>
    <w:p>
      <w:pPr>
        <w:pStyle w:val="FirstParagraph"/>
      </w:pPr>
      <w:r>
        <w:t xml:space="preserve">La evidencia puede incluir activity/audit logs, authentication logs, network-flow logs, logs de sistema/aplicación, métricas, traces, dashboards, alertas y avisos de service health.</w:t>
      </w:r>
    </w:p>
    <w:p>
      <w:pPr>
        <w:pStyle w:val="BodyText"/>
      </w:pPr>
      <w:r>
        <w:t xml:space="preserve">Los logs pueden contener información sensible. Siga controles de acceso, retención, exportación y compartición. No adjunte paquetes completos de logs protegidos cuando sea suficiente un extracto mínimo y sanitizado.</w:t>
      </w:r>
    </w:p>
    <w:bookmarkEnd w:id="33"/>
    <w:bookmarkStart w:id="34" w:name="flujo-repetible-de-troubleshooting"/>
    <w:p>
      <w:pPr>
        <w:pStyle w:val="Heading2"/>
      </w:pPr>
      <w:r>
        <w:t xml:space="preserve">Flujo repetible de troubleshooting</w:t>
      </w:r>
    </w:p>
    <w:p>
      <w:pPr>
        <w:numPr>
          <w:ilvl w:val="0"/>
          <w:numId w:val="1005"/>
        </w:numPr>
        <w:pStyle w:val="Compact"/>
      </w:pPr>
      <w:r>
        <w:t xml:space="preserve">Identifique impacto y urgencia.</w:t>
      </w:r>
    </w:p>
    <w:p>
      <w:pPr>
        <w:numPr>
          <w:ilvl w:val="0"/>
          <w:numId w:val="1005"/>
        </w:numPr>
        <w:pStyle w:val="Compact"/>
      </w:pPr>
      <w:r>
        <w:t xml:space="preserve">Confirme cuenta/recurso/región/ambiente.</w:t>
      </w:r>
    </w:p>
    <w:p>
      <w:pPr>
        <w:numPr>
          <w:ilvl w:val="0"/>
          <w:numId w:val="1005"/>
        </w:numPr>
        <w:pStyle w:val="Compact"/>
      </w:pPr>
      <w:r>
        <w:t xml:space="preserve">Confirme timestamps y cambios recientes.</w:t>
      </w:r>
    </w:p>
    <w:p>
      <w:pPr>
        <w:numPr>
          <w:ilvl w:val="0"/>
          <w:numId w:val="1005"/>
        </w:numPr>
        <w:pStyle w:val="Compact"/>
      </w:pPr>
      <w:r>
        <w:t xml:space="preserve">Revise service health del proveedor.</w:t>
      </w:r>
    </w:p>
    <w:p>
      <w:pPr>
        <w:numPr>
          <w:ilvl w:val="0"/>
          <w:numId w:val="1005"/>
        </w:numPr>
        <w:pStyle w:val="Compact"/>
      </w:pPr>
      <w:r>
        <w:t xml:space="preserve">Revise logs, métricas y alertas relevantes.</w:t>
      </w:r>
    </w:p>
    <w:p>
      <w:pPr>
        <w:numPr>
          <w:ilvl w:val="0"/>
          <w:numId w:val="1005"/>
        </w:numPr>
        <w:pStyle w:val="Compact"/>
      </w:pPr>
      <w:r>
        <w:t xml:space="preserve">Aísle identidad, red, cómputo, almacenamiento, aplicación o dependencia.</w:t>
      </w:r>
    </w:p>
    <w:p>
      <w:pPr>
        <w:numPr>
          <w:ilvl w:val="0"/>
          <w:numId w:val="1005"/>
        </w:numPr>
        <w:pStyle w:val="Compact"/>
      </w:pPr>
      <w:r>
        <w:t xml:space="preserve">Pruebe una hipótesis a la vez.</w:t>
      </w:r>
    </w:p>
    <w:p>
      <w:pPr>
        <w:numPr>
          <w:ilvl w:val="0"/>
          <w:numId w:val="1005"/>
        </w:numPr>
        <w:pStyle w:val="Compact"/>
      </w:pPr>
      <w:r>
        <w:t xml:space="preserve">Use solo remediación autorizada.</w:t>
      </w:r>
    </w:p>
    <w:p>
      <w:pPr>
        <w:numPr>
          <w:ilvl w:val="0"/>
          <w:numId w:val="1005"/>
        </w:numPr>
        <w:pStyle w:val="Compact"/>
      </w:pPr>
      <w:r>
        <w:t xml:space="preserve">Verifique recuperación desde la perspectiva del usuario/servicio.</w:t>
      </w:r>
    </w:p>
    <w:p>
      <w:pPr>
        <w:numPr>
          <w:ilvl w:val="0"/>
          <w:numId w:val="1005"/>
        </w:numPr>
        <w:pStyle w:val="Compact"/>
      </w:pPr>
      <w:r>
        <w:t xml:space="preserve">Documente evidencia, acciones, resultado y escalamiento.</w:t>
      </w:r>
    </w:p>
    <w:p>
      <w:pPr>
        <w:pStyle w:val="FirstParagraph"/>
      </w:pPr>
      <w:r>
        <w:t xml:space="preserve">“It works now” no reemplaza evidencia del síntoma, cambio y validación.</w:t>
      </w:r>
    </w:p>
    <w:bookmarkEnd w:id="34"/>
    <w:bookmarkStart w:id="35" w:name="incidentes-y-escalamiento"/>
    <w:p>
      <w:pPr>
        <w:pStyle w:val="Heading2"/>
      </w:pPr>
      <w:r>
        <w:t xml:space="preserve">Incidentes y escalamiento</w:t>
      </w:r>
    </w:p>
    <w:p>
      <w:pPr>
        <w:pStyle w:val="FirstParagraph"/>
      </w:pPr>
      <w:r>
        <w:t xml:space="preserve">Use definiciones organizacionales de impacto/urgencia. Escale cuando:</w:t>
      </w:r>
    </w:p>
    <w:p>
      <w:pPr>
        <w:numPr>
          <w:ilvl w:val="0"/>
          <w:numId w:val="1006"/>
        </w:numPr>
        <w:pStyle w:val="Compact"/>
      </w:pPr>
      <w:r>
        <w:t xml:space="preserve">un cambio privilegiado exceda su autoridad;</w:t>
      </w:r>
    </w:p>
    <w:p>
      <w:pPr>
        <w:numPr>
          <w:ilvl w:val="0"/>
          <w:numId w:val="1006"/>
        </w:numPr>
        <w:pStyle w:val="Compact"/>
      </w:pPr>
      <w:r>
        <w:t xml:space="preserve">haya posible impacto de seguridad/privacidad;</w:t>
      </w:r>
    </w:p>
    <w:p>
      <w:pPr>
        <w:numPr>
          <w:ilvl w:val="0"/>
          <w:numId w:val="1006"/>
        </w:numPr>
        <w:pStyle w:val="Compact"/>
      </w:pPr>
      <w:r>
        <w:t xml:space="preserve">pueda existir pérdida o corrupción de datos;</w:t>
      </w:r>
    </w:p>
    <w:p>
      <w:pPr>
        <w:numPr>
          <w:ilvl w:val="0"/>
          <w:numId w:val="1006"/>
        </w:numPr>
        <w:pStyle w:val="Compact"/>
      </w:pPr>
      <w:r>
        <w:t xml:space="preserve">se sospeche un incidente del proveedor o multi-región;</w:t>
      </w:r>
    </w:p>
    <w:p>
      <w:pPr>
        <w:numPr>
          <w:ilvl w:val="0"/>
          <w:numId w:val="1006"/>
        </w:numPr>
        <w:pStyle w:val="Compact"/>
      </w:pPr>
      <w:r>
        <w:t xml:space="preserve">RPO/RTO u obligaciones contractuales estén en riesgo;</w:t>
      </w:r>
    </w:p>
    <w:p>
      <w:pPr>
        <w:numPr>
          <w:ilvl w:val="0"/>
          <w:numId w:val="1006"/>
        </w:numPr>
        <w:pStyle w:val="Compact"/>
      </w:pPr>
      <w:r>
        <w:t xml:space="preserve">la causa esté fuera del alcance de soporte;</w:t>
      </w:r>
    </w:p>
    <w:p>
      <w:pPr>
        <w:numPr>
          <w:ilvl w:val="0"/>
          <w:numId w:val="1006"/>
        </w:numPr>
        <w:pStyle w:val="Compact"/>
      </w:pPr>
      <w:r>
        <w:t xml:space="preserve">se requiera rediseño arquitectónico.</w:t>
      </w:r>
    </w:p>
    <w:p>
      <w:pPr>
        <w:pStyle w:val="FirstParagraph"/>
      </w:pPr>
      <w:r>
        <w:t xml:space="preserve">No prometa causa raíz ni tiempo de resolución sin evidencia y autoridad.</w:t>
      </w:r>
    </w:p>
    <w:bookmarkEnd w:id="35"/>
    <w:bookmarkStart w:id="36" w:name="backup-snapshot-y-recuperabilidad"/>
    <w:p>
      <w:pPr>
        <w:pStyle w:val="Heading2"/>
      </w:pPr>
      <w:r>
        <w:t xml:space="preserve">Backup, snapshot y recuperabilidad</w:t>
      </w:r>
    </w:p>
    <w:p>
      <w:pPr>
        <w:pStyle w:val="FirstParagraph"/>
      </w:pPr>
      <w:r>
        <w:t xml:space="preserve">Un backup exitoso o snapshot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demuestra recuperabilidad. Comprenda alcance, retención, cifrado/acceso, separación de cuenta/región donde aplique, restore testing, conceptos RPO/RTO, consistencia de aplicación, orden de dependencias y ownership de disaster recovery.</w:t>
      </w:r>
    </w:p>
    <w:p>
      <w:pPr>
        <w:pStyle w:val="BodyText"/>
      </w:pPr>
      <w:r>
        <w:rPr>
          <w:bCs/>
          <w:b/>
        </w:rPr>
        <w:t xml:space="preserve">La replicación no es automáticamente un backup.</w:t>
      </w:r>
      <w:r>
        <w:t xml:space="preserve"> </w:t>
      </w:r>
      <w:r>
        <w:t xml:space="preserve">Eliminación o corrupción pueden replicarse. Las afirmaciones de recuperación deben basarse en pruebas de restore, no solo en indicadores verdes del job.</w:t>
      </w:r>
    </w:p>
    <w:bookmarkEnd w:id="36"/>
    <w:bookmarkStart w:id="37" w:name="regiones-zonas-y-resiliencia"/>
    <w:p>
      <w:pPr>
        <w:pStyle w:val="Heading2"/>
      </w:pPr>
      <w:r>
        <w:t xml:space="preserve">Regiones, zonas y resiliencia</w:t>
      </w:r>
    </w:p>
    <w:p>
      <w:pPr>
        <w:pStyle w:val="FirstParagraph"/>
      </w:pPr>
      <w:r>
        <w:t xml:space="preserve">Regiones y availability zones pueden reducir ciertos riesgos, pero la resiliencia depende de arquitectura y configuración. Diseños multi-zone o multi-region agregan costo, consistencia, latencia y complejidad operativa.</w:t>
      </w:r>
    </w:p>
    <w:p>
      <w:pPr>
        <w:pStyle w:val="BodyText"/>
      </w:pPr>
      <w:r>
        <w:t xml:space="preserve">Un especialista puede reunir evidencia y ejecutar runbooks aprobados, pero no debe rediseñar resiliencia sin autoridad asignada.</w:t>
      </w:r>
    </w:p>
    <w:bookmarkEnd w:id="37"/>
    <w:bookmarkStart w:id="38" w:name="X47f3760895a0b8e57e4ff648a4a0e3b9757e675"/>
    <w:p>
      <w:pPr>
        <w:pStyle w:val="Heading2"/>
      </w:pPr>
      <w:r>
        <w:t xml:space="preserve">Gestión de cambios y autoridad de producción</w:t>
      </w:r>
    </w:p>
    <w:p>
      <w:pPr>
        <w:pStyle w:val="FirstParagraph"/>
      </w:pPr>
      <w:r>
        <w:t xml:space="preserve">Los cambios cloud pueden afectar IAM, firewall/security groups, compute, storage, DNS, rutas, certificados, parámetros del servicio, monitoreo, backups o deployments.</w:t>
      </w:r>
    </w:p>
    <w:p>
      <w:pPr>
        <w:pStyle w:val="BodyText"/>
      </w:pPr>
      <w:r>
        <w:t xml:space="preserve">Antes de cambiar, confirme autorización, target exacto, impacto, maintenance window si aplica, rollback o forward-fix, implicaciones de backup/recovery, plan de validación y requisitos de comunicación/escalamiento.</w:t>
      </w:r>
    </w:p>
    <w:p>
      <w:pPr>
        <w:pStyle w:val="BodyText"/>
      </w:pPr>
      <w:r>
        <w:t xml:space="preserve">Tener acceso técnico no equivale a tener autoridad de producción.</w:t>
      </w:r>
    </w:p>
    <w:bookmarkEnd w:id="38"/>
    <w:bookmarkStart w:id="39" w:name="X4087405019da70943192ec8c0f75a63d1214745"/>
    <w:p>
      <w:pPr>
        <w:pStyle w:val="Heading2"/>
      </w:pPr>
      <w:r>
        <w:t xml:space="preserve">CLI, scripting e infraestructura como código</w:t>
      </w:r>
    </w:p>
    <w:p>
      <w:pPr>
        <w:pStyle w:val="FirstParagraph"/>
      </w:pPr>
      <w:r>
        <w:t xml:space="preserve">CLI cloud, PowerShell, Bash, Python e IaC pueden modificar recursos rápidamente. Use dispositivos/repositorios aprobados, evite secretos hard-coded, peer review cuando corresponda, pruebe en ambientes de menor riesgo cuando sea posible, confirme cuenta/región y capture evidencia de versión/plan/output.</w:t>
      </w:r>
    </w:p>
    <w:p>
      <w:pPr>
        <w:pStyle w:val="BodyText"/>
      </w:pPr>
      <w:r>
        <w:t xml:space="preserve">No pegue comandos destructivos de foros o IA en producción sin comprenderlos y revisarlos.</w:t>
      </w:r>
    </w:p>
    <w:bookmarkEnd w:id="39"/>
    <w:bookmarkStart w:id="40" w:name="conciencia-de-costos"/>
    <w:p>
      <w:pPr>
        <w:pStyle w:val="Heading2"/>
      </w:pPr>
      <w:r>
        <w:t xml:space="preserve">Conciencia de costos</w:t>
      </w:r>
    </w:p>
    <w:p>
      <w:pPr>
        <w:pStyle w:val="FirstParagraph"/>
      </w:pPr>
      <w:r>
        <w:t xml:space="preserve">El soporte puede afectar costos mediante tamaño/cantidad de instancias, almacenamiento, transferencia de datos, snapshots, retención de logs, managed services y recursos abandonados. La optimización debe respetar autoridad asignada; no elimine recursos solo porque parezcan inactivos.</w:t>
      </w:r>
    </w:p>
    <w:bookmarkEnd w:id="40"/>
    <w:bookmarkStart w:id="41" w:name="privacidad-y-residencia-de-datos"/>
    <w:p>
      <w:pPr>
        <w:pStyle w:val="Heading2"/>
      </w:pPr>
      <w:r>
        <w:t xml:space="preserve">Privacidad y residencia de datos</w:t>
      </w:r>
    </w:p>
    <w:p>
      <w:pPr>
        <w:pStyle w:val="FirstParagraph"/>
      </w:pPr>
      <w:r>
        <w:t xml:space="preserve">El soporte cloud puede exponer datos personales, de clientes, regulados o confidenciales. Siga controles de acceso, retención, exportación, región/ubicación, datos de prueba e incidentes. No invente requisitos legales; escale la interpretación a la función responsable.</w:t>
      </w:r>
    </w:p>
    <w:bookmarkEnd w:id="41"/>
    <w:bookmarkStart w:id="42" w:name="límite-de-seguridad"/>
    <w:p>
      <w:pPr>
        <w:pStyle w:val="Heading2"/>
      </w:pPr>
      <w:r>
        <w:t xml:space="preserve">Límite de seguridad</w:t>
      </w:r>
    </w:p>
    <w:p>
      <w:pPr>
        <w:pStyle w:val="FirstParagraph"/>
      </w:pPr>
      <w:r>
        <w:t xml:space="preserve">Un especialista puede investigar logins sospechosos, exposición, misconfiguration o conectividad, pero security testing e incident response deben quedar dentro de autorización explícita. No ejecute scanning intrusivo, exploitation o pruebas destructivas sin permiso.</w:t>
      </w:r>
    </w:p>
    <w:p>
      <w:pPr>
        <w:pStyle w:val="BodyText"/>
      </w:pPr>
      <w:r>
        <w:t xml:space="preserve">NIST Cybersecurity Framework y CISA Secure Our World son referencias útiles. La documentación de responsabilidad compartida del proveedor sigue siendo necesaria para los límites específicos del servicio.</w:t>
      </w:r>
    </w:p>
    <w:bookmarkEnd w:id="42"/>
    <w:bookmarkStart w:id="43" w:name="accesibilidad"/>
    <w:p>
      <w:pPr>
        <w:pStyle w:val="Heading2"/>
      </w:pPr>
      <w:r>
        <w:t xml:space="preserve">Accesibilidad</w:t>
      </w:r>
    </w:p>
    <w:p>
      <w:pPr>
        <w:pStyle w:val="FirstParagraph"/>
      </w:pPr>
      <w:r>
        <w:t xml:space="preserve">El soporte también incluye portales, documentación, dashboards y tickets. Use headings claros, instrucciones legibles, workflows navegables por teclado, labels descriptivos y alternativas accesibles cuando sea práctico. Un scanner automatizado no prueba cumplimiento legal.</w:t>
      </w:r>
    </w:p>
    <w:bookmarkEnd w:id="43"/>
    <w:bookmarkStart w:id="44" w:name="ia-responsable"/>
    <w:p>
      <w:pPr>
        <w:pStyle w:val="Heading2"/>
      </w:pPr>
      <w:r>
        <w:t xml:space="preserve">IA responsable</w:t>
      </w:r>
    </w:p>
    <w:p>
      <w:pPr>
        <w:pStyle w:val="FirstParagraph"/>
      </w:pPr>
      <w:r>
        <w:t xml:space="preserve">La IA aprobada por política puede ayudar a explicar errores, redactar runbooks, resumir logs sanitizados, proponer hipótesis, crear escenarios sintéticos o revisar scripts.</w:t>
      </w:r>
    </w:p>
    <w:p>
      <w:pPr>
        <w:pStyle w:val="BodyText"/>
      </w:pPr>
      <w:r>
        <w:t xml:space="preserve">Controles:</w:t>
      </w:r>
    </w:p>
    <w:p>
      <w:pPr>
        <w:numPr>
          <w:ilvl w:val="0"/>
          <w:numId w:val="1007"/>
        </w:numPr>
        <w:pStyle w:val="Compact"/>
      </w:pPr>
      <w:r>
        <w:t xml:space="preserve">no enviar secretos, credenciales, datos de clientes, arquitectura propietaria ni logs protegidos a herramientas no aprobadas;</w:t>
      </w:r>
    </w:p>
    <w:p>
      <w:pPr>
        <w:numPr>
          <w:ilvl w:val="0"/>
          <w:numId w:val="1007"/>
        </w:numPr>
        <w:pStyle w:val="Compact"/>
      </w:pPr>
      <w:r>
        <w:t xml:space="preserve">verificar comandos contra documentación oficial;</w:t>
      </w:r>
    </w:p>
    <w:p>
      <w:pPr>
        <w:numPr>
          <w:ilvl w:val="0"/>
          <w:numId w:val="1007"/>
        </w:numPr>
        <w:pStyle w:val="Compact"/>
      </w:pPr>
      <w:r>
        <w:t xml:space="preserve">revisar cuenta/región/recurso antes de ejecutar;</w:t>
      </w:r>
    </w:p>
    <w:p>
      <w:pPr>
        <w:numPr>
          <w:ilvl w:val="0"/>
          <w:numId w:val="1007"/>
        </w:numPr>
        <w:pStyle w:val="Compact"/>
      </w:pPr>
      <w:r>
        <w:t xml:space="preserve">validar código/scripts generados;</w:t>
      </w:r>
    </w:p>
    <w:p>
      <w:pPr>
        <w:numPr>
          <w:ilvl w:val="0"/>
          <w:numId w:val="1007"/>
        </w:numPr>
        <w:pStyle w:val="Compact"/>
      </w:pPr>
      <w:r>
        <w:t xml:space="preserve">tratar explicaciones de IA como hipótesis, no evidencia;</w:t>
      </w:r>
    </w:p>
    <w:p>
      <w:pPr>
        <w:numPr>
          <w:ilvl w:val="0"/>
          <w:numId w:val="1007"/>
        </w:numPr>
        <w:pStyle w:val="Compact"/>
      </w:pPr>
      <w:r>
        <w:t xml:space="preserve">nunca permitir que IA apruebe o ejecute cambios privilegiados autónomos fuera de gobernanza.</w:t>
      </w:r>
    </w:p>
    <w:bookmarkEnd w:id="44"/>
    <w:bookmarkStart w:id="45" w:name="señales-tecnológicas-actuales"/>
    <w:p>
      <w:pPr>
        <w:pStyle w:val="Heading2"/>
      </w:pPr>
      <w:r>
        <w:t xml:space="preserve">Señales tecnológicas actuales</w:t>
      </w:r>
    </w:p>
    <w:p>
      <w:pPr>
        <w:pStyle w:val="FirstParagraph"/>
      </w:pPr>
      <w:r>
        <w:t xml:space="preserve">O*NET/Lightcast 2025 para la ocupación más amplia muestra Microsoft Office</w:t>
      </w:r>
      <w:r>
        <w:t xml:space="preserve"> </w:t>
      </w:r>
      <w:r>
        <w:rPr>
          <w:bCs/>
          <w:b/>
        </w:rPr>
        <w:t xml:space="preserve">13%</w:t>
      </w:r>
      <w:r>
        <w:t xml:space="preserve">, Active Directory</w:t>
      </w:r>
      <w:r>
        <w:t xml:space="preserve"> </w:t>
      </w:r>
      <w:r>
        <w:rPr>
          <w:bCs/>
          <w:b/>
        </w:rPr>
        <w:t xml:space="preserve">13%</w:t>
      </w:r>
      <w:r>
        <w:t xml:space="preserve">, ServiceNow</w:t>
      </w:r>
      <w:r>
        <w:t xml:space="preserve"> </w:t>
      </w:r>
      <w:r>
        <w:rPr>
          <w:bCs/>
          <w:b/>
        </w:rPr>
        <w:t xml:space="preserve">9%</w:t>
      </w:r>
      <w:r>
        <w:t xml:space="preserve">, Linux</w:t>
      </w:r>
      <w:r>
        <w:t xml:space="preserve"> </w:t>
      </w:r>
      <w:r>
        <w:rPr>
          <w:bCs/>
          <w:b/>
        </w:rPr>
        <w:t xml:space="preserve">7%</w:t>
      </w:r>
      <w:r>
        <w:t xml:space="preserve">, macOS</w:t>
      </w:r>
      <w:r>
        <w:t xml:space="preserve"> </w:t>
      </w:r>
      <w:r>
        <w:rPr>
          <w:bCs/>
          <w:b/>
        </w:rPr>
        <w:t xml:space="preserve">6%</w:t>
      </w:r>
      <w:r>
        <w:t xml:space="preserve">, Windows Server</w:t>
      </w:r>
      <w:r>
        <w:t xml:space="preserve"> </w:t>
      </w:r>
      <w:r>
        <w:rPr>
          <w:bCs/>
          <w:b/>
        </w:rPr>
        <w:t xml:space="preserve">6%</w:t>
      </w:r>
      <w:r>
        <w:t xml:space="preserve">, Outlook</w:t>
      </w:r>
      <w:r>
        <w:t xml:space="preserve"> </w:t>
      </w:r>
      <w:r>
        <w:rPr>
          <w:bCs/>
          <w:b/>
        </w:rPr>
        <w:t xml:space="preserve">6%</w:t>
      </w:r>
      <w:r>
        <w:t xml:space="preserve">, Excel</w:t>
      </w:r>
      <w:r>
        <w:t xml:space="preserve"> </w:t>
      </w:r>
      <w:r>
        <w:rPr>
          <w:bCs/>
          <w:b/>
        </w:rPr>
        <w:t xml:space="preserve">6%</w:t>
      </w:r>
      <w:r>
        <w:t xml:space="preserve">, Windows</w:t>
      </w:r>
      <w:r>
        <w:t xml:space="preserve"> </w:t>
      </w:r>
      <w:r>
        <w:rPr>
          <w:bCs/>
          <w:b/>
        </w:rPr>
        <w:t xml:space="preserve">5%</w:t>
      </w:r>
      <w:r>
        <w:t xml:space="preserve">, BGP</w:t>
      </w:r>
      <w:r>
        <w:t xml:space="preserve"> </w:t>
      </w:r>
      <w:r>
        <w:rPr>
          <w:bCs/>
          <w:b/>
        </w:rPr>
        <w:t xml:space="preserve">3%</w:t>
      </w:r>
      <w:r>
        <w:t xml:space="preserve">, Azure</w:t>
      </w:r>
      <w:r>
        <w:t xml:space="preserve"> </w:t>
      </w:r>
      <w:r>
        <w:rPr>
          <w:bCs/>
          <w:b/>
        </w:rPr>
        <w:t xml:space="preserve">3%</w:t>
      </w:r>
      <w:r>
        <w:t xml:space="preserve">, PowerShell</w:t>
      </w:r>
      <w:r>
        <w:t xml:space="preserve"> </w:t>
      </w:r>
      <w:r>
        <w:rPr>
          <w:bCs/>
          <w:b/>
        </w:rPr>
        <w:t xml:space="preserve">2%</w:t>
      </w:r>
      <w:r>
        <w:t xml:space="preserve"> </w:t>
      </w:r>
      <w:r>
        <w:t xml:space="preserve">y SQL/Python/Splunk/Bash alrededor de</w:t>
      </w:r>
      <w:r>
        <w:t xml:space="preserve"> </w:t>
      </w:r>
      <w:r>
        <w:rPr>
          <w:bCs/>
          <w:b/>
        </w:rPr>
        <w:t xml:space="preserve">1%</w:t>
      </w:r>
      <w:r>
        <w:t xml:space="preserve">. La página de demanda también identifica firewall software en</w:t>
      </w:r>
      <w:r>
        <w:t xml:space="preserve"> </w:t>
      </w:r>
      <w:r>
        <w:rPr>
          <w:bCs/>
          <w:b/>
        </w:rPr>
        <w:t xml:space="preserve">10%</w:t>
      </w:r>
      <w:r>
        <w:t xml:space="preserve">.</w:t>
      </w:r>
    </w:p>
    <w:p>
      <w:pPr>
        <w:pStyle w:val="BodyText"/>
      </w:pPr>
      <w:r>
        <w:t xml:space="preserve">Son señales de ofertas, no requisitos universales. Las habilidades de proveedor deben apoyarse en fundamentos de identidad, redes, sistemas operativos, monitoreo y troubleshooting.</w:t>
      </w:r>
    </w:p>
    <w:bookmarkEnd w:id="45"/>
    <w:bookmarkStart w:id="46" w:name="estados-unidos--educación-y-rutas"/>
    <w:p>
      <w:pPr>
        <w:pStyle w:val="Heading2"/>
      </w:pPr>
      <w:r>
        <w:t xml:space="preserve">Estados Unidos — educación y rutas</w:t>
      </w:r>
    </w:p>
    <w:p>
      <w:pPr>
        <w:pStyle w:val="FirstParagraph"/>
      </w:pPr>
      <w:r>
        <w:t xml:space="preserve">O*NET ubica 15-1231.00 en</w:t>
      </w:r>
      <w:r>
        <w:t xml:space="preserve"> </w:t>
      </w:r>
      <w:r>
        <w:rPr>
          <w:bCs/>
          <w:b/>
        </w:rPr>
        <w:t xml:space="preserve">Job Zone Four — Considerable Preparation Needed</w:t>
      </w:r>
      <w:r>
        <w:t xml:space="preserve">. Respuestas actuales de educación: aproximadamente</w:t>
      </w:r>
      <w:r>
        <w:t xml:space="preserve"> </w:t>
      </w:r>
      <w:r>
        <w:rPr>
          <w:bCs/>
          <w:b/>
        </w:rPr>
        <w:t xml:space="preserve">47%</w:t>
      </w:r>
      <w:r>
        <w:t xml:space="preserve"> </w:t>
      </w:r>
      <w:r>
        <w:t xml:space="preserve">bachelor's degree,</w:t>
      </w:r>
      <w:r>
        <w:t xml:space="preserve"> </w:t>
      </w:r>
      <w:r>
        <w:rPr>
          <w:bCs/>
          <w:b/>
        </w:rPr>
        <w:t xml:space="preserve">22%</w:t>
      </w:r>
      <w:r>
        <w:t xml:space="preserve"> </w:t>
      </w:r>
      <w:r>
        <w:t xml:space="preserve">associate degree y</w:t>
      </w:r>
      <w:r>
        <w:t xml:space="preserve"> </w:t>
      </w:r>
      <w:r>
        <w:rPr>
          <w:bCs/>
          <w:b/>
        </w:rPr>
        <w:t xml:space="preserve">14%</w:t>
      </w:r>
      <w:r>
        <w:t xml:space="preserve"> </w:t>
      </w:r>
      <w:r>
        <w:t xml:space="preserve">some college, no degree. No son reglas universales.</w:t>
      </w:r>
    </w:p>
    <w:p>
      <w:pPr>
        <w:pStyle w:val="BodyText"/>
      </w:pPr>
      <w:r>
        <w:t xml:space="preserve">O*NET lista</w:t>
      </w:r>
      <w:r>
        <w:t xml:space="preserve"> </w:t>
      </w:r>
      <w:r>
        <w:rPr>
          <w:bCs/>
          <w:b/>
        </w:rPr>
        <w:t xml:space="preserve">Cloud Support Specialist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Junior Cloud Engineer (Nof)</w:t>
      </w:r>
      <w:r>
        <w:t xml:space="preserve"> </w:t>
      </w:r>
      <w:r>
        <w:t xml:space="preserve">como títulos aprobados de Registered Apprenticeship. Verifique aperturas reales en Apprenticeship.gov. CareerOneStop permite investigar WIOA y otras rutas; elegibilidad y financiamiento varían.</w:t>
      </w:r>
    </w:p>
    <w:bookmarkEnd w:id="46"/>
    <w:bookmarkStart w:id="48" w:name="estados-unidos--salarios-y-perspectiva"/>
    <w:p>
      <w:pPr>
        <w:pStyle w:val="Heading2"/>
      </w:pPr>
      <w:r>
        <w:t xml:space="preserve">Estados Unidos — salarios y perspectiva</w:t>
      </w:r>
    </w:p>
    <w:p>
      <w:pPr>
        <w:pStyle w:val="FirstParagraph"/>
      </w:pPr>
      <w:r>
        <w:t xml:space="preserve">Salarios oficiales 2025 de</w:t>
      </w:r>
      <w:r>
        <w:t xml:space="preserve"> </w:t>
      </w:r>
      <w:r>
        <w:rPr>
          <w:bCs/>
          <w:b/>
        </w:rPr>
        <w:t xml:space="preserve">Computer Network Support Specialists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$58,240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$76,220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$36.64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$98,750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$127,780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$61.43</w:t>
            </w:r>
          </w:p>
        </w:tc>
      </w:tr>
    </w:tbl>
    <w:p>
      <w:pPr>
        <w:pStyle w:val="BodyText"/>
      </w:pPr>
      <w:r>
        <w:t xml:space="preserve">2024–2034:</w:t>
      </w:r>
    </w:p>
    <w:p>
      <w:pPr>
        <w:numPr>
          <w:ilvl w:val="0"/>
          <w:numId w:val="1008"/>
        </w:numPr>
        <w:pStyle w:val="Compact"/>
      </w:pPr>
      <w:r>
        <w:t xml:space="preserve">empleo 2024:</w:t>
      </w:r>
      <w:r>
        <w:t xml:space="preserve"> </w:t>
      </w:r>
      <w:r>
        <w:rPr>
          <w:bCs/>
          <w:b/>
        </w:rPr>
        <w:t xml:space="preserve">152,700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proyectado 2034:</w:t>
      </w:r>
      <w:r>
        <w:t xml:space="preserve"> </w:t>
      </w:r>
      <w:r>
        <w:rPr>
          <w:bCs/>
          <w:b/>
        </w:rPr>
        <w:t xml:space="preserve">155,500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crecimiento:</w:t>
      </w:r>
      <w:r>
        <w:t xml:space="preserve"> </w:t>
      </w:r>
      <w:r>
        <w:rPr>
          <w:bCs/>
          <w:b/>
        </w:rPr>
        <w:t xml:space="preserve">2%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vacantes anuales:</w:t>
      </w:r>
      <w:r>
        <w:t xml:space="preserve"> </w:t>
      </w:r>
      <w:r>
        <w:rPr>
          <w:bCs/>
          <w:b/>
        </w:rPr>
        <w:t xml:space="preserve">9,600</w:t>
      </w:r>
      <w:r>
        <w:t xml:space="preserve">.</w:t>
      </w:r>
    </w:p>
    <w:p>
      <w:pPr>
        <w:pStyle w:val="FirstParagraph"/>
      </w:pPr>
      <w:r>
        <w:t xml:space="preserve">Son estadísticas del benchmark de soporte, no una serie salarial exacta del título Cloud Support Specialist.</w:t>
      </w:r>
    </w:p>
    <w:bookmarkStart w:id="47" w:name="X7bdd27871715b0453d034b3e82b5175201dbaa6"/>
    <w:p>
      <w:pPr>
        <w:pStyle w:val="Heading3"/>
      </w:pPr>
      <w:r>
        <w:t xml:space="preserve">Contexto de mercado adyacente no gubernamental</w:t>
      </w:r>
    </w:p>
    <w:p>
      <w:pPr>
        <w:pStyle w:val="FirstParagraph"/>
      </w:pPr>
      <w:r>
        <w:t xml:space="preserve">La página actual de Indeed para</w:t>
      </w:r>
      <w:r>
        <w:t xml:space="preserve"> </w:t>
      </w:r>
      <w:r>
        <w:rPr>
          <w:bCs/>
          <w:b/>
        </w:rPr>
        <w:t xml:space="preserve">Cloud Engineer</w:t>
      </w:r>
      <w:r>
        <w:t xml:space="preserve"> </w:t>
      </w:r>
      <w:r>
        <w:t xml:space="preserve">muestra aproximadamente</w:t>
      </w:r>
      <w:r>
        <w:t xml:space="preserve"> </w:t>
      </w:r>
      <w:r>
        <w:rPr>
          <w:bCs/>
          <w:b/>
        </w:rPr>
        <w:t xml:space="preserve">$135,392/año promedio</w:t>
      </w:r>
      <w:r>
        <w:t xml:space="preserve">,</w:t>
      </w:r>
      <w:r>
        <w:t xml:space="preserve"> </w:t>
      </w:r>
      <w:r>
        <w:rPr>
          <w:bCs/>
          <w:b/>
        </w:rPr>
        <w:t xml:space="preserve">$88,667 bajo</w:t>
      </w:r>
      <w:r>
        <w:t xml:space="preserve">,</w:t>
      </w:r>
      <w:r>
        <w:t xml:space="preserve"> </w:t>
      </w:r>
      <w:r>
        <w:rPr>
          <w:bCs/>
          <w:b/>
        </w:rPr>
        <w:t xml:space="preserve">$206,741 alto</w:t>
      </w:r>
      <w:r>
        <w:t xml:space="preserve">, alrededor de</w:t>
      </w:r>
      <w:r>
        <w:t xml:space="preserve"> </w:t>
      </w:r>
      <w:r>
        <w:rPr>
          <w:bCs/>
          <w:b/>
        </w:rPr>
        <w:t xml:space="preserve">4.5k observaciones</w:t>
      </w:r>
      <w:r>
        <w:t xml:space="preserve">, durante</w:t>
      </w:r>
      <w:r>
        <w:t xml:space="preserve"> </w:t>
      </w:r>
      <w:r>
        <w:rPr>
          <w:bCs/>
          <w:b/>
        </w:rPr>
        <w:t xml:space="preserve">36 meses</w:t>
      </w:r>
      <w:r>
        <w:t xml:space="preserve">, actualizada el</w:t>
      </w:r>
      <w:r>
        <w:t xml:space="preserve"> </w:t>
      </w:r>
      <w:r>
        <w:rPr>
          <w:bCs/>
          <w:b/>
        </w:rPr>
        <w:t xml:space="preserve">2 de agosto de 2026</w:t>
      </w:r>
      <w:r>
        <w:t xml:space="preserve">.</w:t>
      </w:r>
    </w:p>
    <w:p>
      <w:pPr>
        <w:pStyle w:val="BodyText"/>
      </w:pPr>
      <w:r>
        <w:t xml:space="preserve">Es un título adyacente más orientado a ingeniería y puede pagar materialmente más que soporte. No es dato oficial ni salario exacto de Cloud Support Specialist.</w:t>
      </w:r>
    </w:p>
    <w:bookmarkEnd w:id="47"/>
    <w:bookmarkEnd w:id="48"/>
    <w:bookmarkStart w:id="49" w:name="canadá--alcance-infraestructurared-cloud"/>
    <w:p>
      <w:pPr>
        <w:pStyle w:val="Heading2"/>
      </w:pPr>
      <w:r>
        <w:t xml:space="preserve">Canadá — alcance infraestructura/red cloud</w:t>
      </w:r>
    </w:p>
    <w:p>
      <w:pPr>
        <w:pStyle w:val="FirstParagraph"/>
      </w:pPr>
      <w:r>
        <w:t xml:space="preserve">Para soporte cloud orientado a infraestructura use</w:t>
      </w:r>
      <w:r>
        <w:t xml:space="preserve"> </w:t>
      </w:r>
      <w:r>
        <w:rPr>
          <w:bCs/>
          <w:b/>
        </w:rPr>
        <w:t xml:space="preserve">NOC 22220</w:t>
      </w:r>
      <w:r>
        <w:t xml:space="preserve">.</w:t>
      </w:r>
    </w:p>
    <w:p>
      <w:pPr>
        <w:pStyle w:val="BodyText"/>
      </w:pPr>
      <w:r>
        <w:t xml:space="preserve">Salarios nacionales: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C$21.00/hora</w:t>
      </w:r>
      <w:r>
        <w:t xml:space="preserve"> </w:t>
      </w:r>
      <w:r>
        <w:t xml:space="preserve">bajo;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C$36.00/hora</w:t>
      </w:r>
      <w:r>
        <w:t xml:space="preserve"> </w:t>
      </w:r>
      <w:r>
        <w:t xml:space="preserve">mediano;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C$55.00/hora</w:t>
      </w:r>
      <w:r>
        <w:t xml:space="preserve"> </w:t>
      </w:r>
      <w:r>
        <w:t xml:space="preserve">alto.</w:t>
      </w:r>
    </w:p>
    <w:p>
      <w:pPr>
        <w:pStyle w:val="FirstParagraph"/>
      </w:pPr>
      <w:r>
        <w:t xml:space="preserve">Job Bank indica que normalmente se requiere formación relacionada y algunos empleadores pueden pedir training/certificación de proveedor. Actualmente Job Bank señala registro con un organismo regulatorio en</w:t>
      </w:r>
      <w:r>
        <w:t xml:space="preserve"> </w:t>
      </w:r>
      <w:r>
        <w:rPr>
          <w:bCs/>
          <w:b/>
        </w:rPr>
        <w:t xml:space="preserve">Saskatchewan</w:t>
      </w:r>
      <w:r>
        <w:t xml:space="preserve"> </w:t>
      </w:r>
      <w:r>
        <w:t xml:space="preserve">para este NOC; verifique la ocupación exacta y las reglas provinciales vigentes.</w:t>
      </w:r>
    </w:p>
    <w:bookmarkEnd w:id="49"/>
    <w:bookmarkStart w:id="50" w:name="canadá--alcance-usuarioaplicación"/>
    <w:p>
      <w:pPr>
        <w:pStyle w:val="Heading2"/>
      </w:pPr>
      <w:r>
        <w:t xml:space="preserve">Canadá — alcance usuario/aplicación</w:t>
      </w:r>
    </w:p>
    <w:p>
      <w:pPr>
        <w:pStyle w:val="FirstParagraph"/>
      </w:pPr>
      <w:r>
        <w:t xml:space="preserve">Para soporte SaaS/aplicación orientado a usuarios use</w:t>
      </w:r>
      <w:r>
        <w:t xml:space="preserve"> </w:t>
      </w:r>
      <w:r>
        <w:rPr>
          <w:bCs/>
          <w:b/>
        </w:rPr>
        <w:t xml:space="preserve">NOC 22221</w:t>
      </w:r>
      <w:r>
        <w:t xml:space="preserve">.</w:t>
      </w:r>
    </w:p>
    <w:p>
      <w:pPr>
        <w:pStyle w:val="BodyText"/>
      </w:pPr>
      <w:r>
        <w:t xml:space="preserve">Salarios nacionales: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C$20.50/hora</w:t>
      </w:r>
      <w:r>
        <w:t xml:space="preserve"> </w:t>
      </w:r>
      <w:r>
        <w:t xml:space="preserve">bajo;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C$31.47/hora</w:t>
      </w:r>
      <w:r>
        <w:t xml:space="preserve"> </w:t>
      </w:r>
      <w:r>
        <w:t xml:space="preserve">mediano;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C$49.00/hora</w:t>
      </w:r>
      <w:r>
        <w:t xml:space="preserve"> </w:t>
      </w:r>
      <w:r>
        <w:t xml:space="preserve">alto.</w:t>
      </w:r>
    </w:p>
    <w:p>
      <w:pPr>
        <w:pStyle w:val="FirstParagraph"/>
      </w:pPr>
      <w:r>
        <w:t xml:space="preserve">Los requisitos típicos incluyen educación/cursos relacionados con computación, programación o administración de redes; algunos empleadores pueden pedir capacitación/certificación de proveedor. El alcance real debe determinar qué NOC es más apropiado.</w:t>
      </w:r>
    </w:p>
    <w:bookmarkEnd w:id="50"/>
    <w:bookmarkStart w:id="51" w:name="colombia"/>
    <w:p>
      <w:pPr>
        <w:pStyle w:val="Heading2"/>
      </w:pPr>
      <w:r>
        <w:t xml:space="preserve">Colombia</w:t>
      </w:r>
    </w:p>
    <w:p>
      <w:pPr>
        <w:pStyle w:val="FirstParagraph"/>
      </w:pPr>
      <w:r>
        <w:t xml:space="preserve">Para infraestructura/red cloud,</w:t>
      </w:r>
      <w:r>
        <w:t xml:space="preserve"> </w:t>
      </w:r>
      <w:r>
        <w:rPr>
          <w:bCs/>
          <w:b/>
        </w:rPr>
        <w:t xml:space="preserve">CUOC 35130</w:t>
      </w:r>
      <w:r>
        <w:t xml:space="preserve"> </w:t>
      </w:r>
      <w:r>
        <w:t xml:space="preserve">es la comparación más fuerte. Cubre operación/troubleshooting de infraestructura y redes, configuración, backups/recovery y documentación.</w:t>
      </w:r>
    </w:p>
    <w:p>
      <w:pPr>
        <w:pStyle w:val="BodyText"/>
      </w:pPr>
      <w:r>
        <w:t xml:space="preserve">Para soporte de aplicaciones/usuarios,</w:t>
      </w:r>
      <w:r>
        <w:t xml:space="preserve"> </w:t>
      </w:r>
      <w:r>
        <w:rPr>
          <w:bCs/>
          <w:b/>
        </w:rPr>
        <w:t xml:space="preserve">CUOC 35121</w:t>
      </w:r>
      <w:r>
        <w:t xml:space="preserve"> </w:t>
      </w:r>
      <w:r>
        <w:t xml:space="preserve">cubre software, hardware, redes, bases de datos, internet, deployment y soporte.</w:t>
      </w:r>
    </w:p>
    <w:p>
      <w:pPr>
        <w:pStyle w:val="BodyText"/>
      </w:pPr>
      <w:r>
        <w:t xml:space="preserve">OCUPACOL advierte que sus indicadores históricos de mercado laboral no son estadísticamente representativos bajo la metodología utilizada. Por eso esta guía no inventa un salario nacional de Cloud Support Specialist a partir de esos rangos.</w:t>
      </w:r>
    </w:p>
    <w:bookmarkEnd w:id="51"/>
    <w:bookmarkStart w:id="54" w:name="colombia--rutas-sena"/>
    <w:p>
      <w:pPr>
        <w:pStyle w:val="Heading2"/>
      </w:pPr>
      <w:r>
        <w:t xml:space="preserve">Colombia — rutas SENA</w:t>
      </w:r>
    </w:p>
    <w:bookmarkStart w:id="52" w:name="X98c111199374e65edb471ebc84bf32b4abbdbeb"/>
    <w:p>
      <w:pPr>
        <w:pStyle w:val="Heading3"/>
      </w:pPr>
      <w:r>
        <w:t xml:space="preserve">Programación de Aplicaciones y Servicios para la Nube</w:t>
      </w:r>
    </w:p>
    <w:p>
      <w:pPr>
        <w:pStyle w:val="FirstParagraph"/>
      </w:pPr>
      <w:r>
        <w:t xml:space="preserve">SENA Betowa identifica actualmente: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Técnico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2,256 horas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formación titulada;</w:t>
      </w:r>
    </w:p>
    <w:p>
      <w:pPr>
        <w:numPr>
          <w:ilvl w:val="0"/>
          <w:numId w:val="1011"/>
        </w:numPr>
        <w:pStyle w:val="Compact"/>
      </w:pPr>
      <w:r>
        <w:t xml:space="preserve">ofertas virtuales actuales;</w:t>
      </w:r>
    </w:p>
    <w:p>
      <w:pPr>
        <w:numPr>
          <w:ilvl w:val="0"/>
          <w:numId w:val="1011"/>
        </w:numPr>
        <w:pStyle w:val="Compact"/>
      </w:pPr>
      <w:r>
        <w:t xml:space="preserve">fundamentos de aplicaciones/servicios cloud, bases de datos y tecnología.</w:t>
      </w:r>
    </w:p>
    <w:p>
      <w:pPr>
        <w:pStyle w:val="FirstParagraph"/>
      </w:pPr>
      <w:r>
        <w:t xml:space="preserve">Es una ruta sustancial, pero combina orientación de desarrollo y cloud; no es una calificación puramente de soporte.</w:t>
      </w:r>
    </w:p>
    <w:bookmarkEnd w:id="52"/>
    <w:bookmarkStart w:id="53" w:name="X09479edf5f0e39ed73daa6168bf687c26cfed8d"/>
    <w:p>
      <w:pPr>
        <w:pStyle w:val="Heading3"/>
      </w:pPr>
      <w:r>
        <w:t xml:space="preserve">Implementación de Servicios de Computación en la Nube</w:t>
      </w:r>
    </w:p>
    <w:p>
      <w:pPr>
        <w:pStyle w:val="FirstParagraph"/>
      </w:pPr>
      <w:r>
        <w:t xml:space="preserve">SENA Betowa identifica actualmente:</w:t>
      </w:r>
    </w:p>
    <w:p>
      <w:pPr>
        <w:numPr>
          <w:ilvl w:val="0"/>
          <w:numId w:val="1012"/>
        </w:numPr>
        <w:pStyle w:val="Compact"/>
      </w:pPr>
      <w:r>
        <w:t xml:space="preserve">formación complementaria virtual;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48 horas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conceptos de servicios cloud y competencia de administración de infraestructura tecnológica de red.</w:t>
      </w:r>
    </w:p>
    <w:p>
      <w:pPr>
        <w:pStyle w:val="FirstParagraph"/>
      </w:pPr>
      <w:r>
        <w:t xml:space="preserve">Es formación suplementaria y no equivale al Técnico de 2,256 horas. Cohortes, cupos, modalidad y admisión cambian; verifique la oferta viva.</w:t>
      </w:r>
    </w:p>
    <w:bookmarkEnd w:id="53"/>
    <w:bookmarkEnd w:id="54"/>
    <w:bookmarkStart w:id="55" w:name="aprendizaje-con-proveedores"/>
    <w:p>
      <w:pPr>
        <w:pStyle w:val="Heading2"/>
      </w:pPr>
      <w:r>
        <w:t xml:space="preserve">Aprendizaje con proveedores</w:t>
      </w:r>
    </w:p>
    <w:p>
      <w:pPr>
        <w:pStyle w:val="FirstParagraph"/>
      </w:pPr>
      <w:r>
        <w:t xml:space="preserve">Puede investigar Microsoft Learn Azure, AWS Skill Builder y Google Cloud Skills Boost. Parte del contenido puede ser gratuito; exámenes, labs o credenciales pueden tener costo. Verifique precio, disponibilidad regional y relevancia para el empleador antes de pagar.</w:t>
      </w:r>
    </w:p>
    <w:bookmarkEnd w:id="55"/>
    <w:bookmarkStart w:id="56" w:name="portafolio-seguro"/>
    <w:p>
      <w:pPr>
        <w:pStyle w:val="Heading2"/>
      </w:pPr>
      <w:r>
        <w:t xml:space="preserve">Portafolio seguro</w:t>
      </w:r>
    </w:p>
    <w:p>
      <w:pPr>
        <w:pStyle w:val="FirstParagraph"/>
      </w:pPr>
      <w:r>
        <w:t xml:space="preserve">Use solo ambientes propios, sandbox, training, open-source o expresamente autorizados. Ejemplos:</w:t>
      </w:r>
    </w:p>
    <w:p>
      <w:pPr>
        <w:numPr>
          <w:ilvl w:val="0"/>
          <w:numId w:val="1013"/>
        </w:numPr>
        <w:pStyle w:val="Compact"/>
      </w:pPr>
      <w:r>
        <w:t xml:space="preserve">ticket sintético de incidente cloud y escalamiento;</w:t>
      </w:r>
    </w:p>
    <w:p>
      <w:pPr>
        <w:numPr>
          <w:ilvl w:val="0"/>
          <w:numId w:val="1013"/>
        </w:numPr>
        <w:pStyle w:val="Compact"/>
      </w:pPr>
      <w:r>
        <w:t xml:space="preserve">diagrama de arquitectura de sandbox público;</w:t>
      </w:r>
    </w:p>
    <w:p>
      <w:pPr>
        <w:numPr>
          <w:ilvl w:val="0"/>
          <w:numId w:val="1013"/>
        </w:numPr>
        <w:pStyle w:val="Compact"/>
      </w:pPr>
      <w:r>
        <w:t xml:space="preserve">revisión IAM de mínimo privilegio de un lab propio;</w:t>
      </w:r>
    </w:p>
    <w:p>
      <w:pPr>
        <w:numPr>
          <w:ilvl w:val="0"/>
          <w:numId w:val="1013"/>
        </w:numPr>
        <w:pStyle w:val="Compact"/>
      </w:pPr>
      <w:r>
        <w:t xml:space="preserve">diagnóstico DNS/conectividad;</w:t>
      </w:r>
    </w:p>
    <w:p>
      <w:pPr>
        <w:numPr>
          <w:ilvl w:val="0"/>
          <w:numId w:val="1013"/>
        </w:numPr>
        <w:pStyle w:val="Compact"/>
      </w:pPr>
      <w:r>
        <w:t xml:space="preserve">dashboard con telemetría sintética;</w:t>
      </w:r>
    </w:p>
    <w:p>
      <w:pPr>
        <w:numPr>
          <w:ilvl w:val="0"/>
          <w:numId w:val="1013"/>
        </w:numPr>
        <w:pStyle w:val="Compact"/>
      </w:pPr>
      <w:r>
        <w:t xml:space="preserve">plan de backup/restore para un lab;</w:t>
      </w:r>
    </w:p>
    <w:p>
      <w:pPr>
        <w:numPr>
          <w:ilvl w:val="0"/>
          <w:numId w:val="1013"/>
        </w:numPr>
        <w:pStyle w:val="Compact"/>
      </w:pPr>
      <w:r>
        <w:t xml:space="preserve">ejercicio de correlación con provider status;</w:t>
      </w:r>
    </w:p>
    <w:p>
      <w:pPr>
        <w:numPr>
          <w:ilvl w:val="0"/>
          <w:numId w:val="1013"/>
        </w:numPr>
        <w:pStyle w:val="Compact"/>
      </w:pPr>
      <w:r>
        <w:t xml:space="preserve">IaC simple sin credenciales reales.</w:t>
      </w:r>
    </w:p>
    <w:p>
      <w:pPr>
        <w:pStyle w:val="FirstParagraph"/>
      </w:pPr>
      <w:r>
        <w:t xml:space="preserve">Nunca publique cuentas, arquitectura, keys, tokens, logs, vulnerabilidades o runbooks propietarios de empleadores/clientes.</w:t>
      </w:r>
    </w:p>
    <w:bookmarkEnd w:id="56"/>
    <w:bookmarkStart w:id="61" w:name="plan-inicial-de-cuatro-semanas"/>
    <w:p>
      <w:pPr>
        <w:pStyle w:val="Heading2"/>
      </w:pPr>
      <w:r>
        <w:t xml:space="preserve">Plan inicial de cuatro semanas</w:t>
      </w:r>
    </w:p>
    <w:bookmarkStart w:id="57" w:name="semana-1--fundamentos"/>
    <w:p>
      <w:pPr>
        <w:pStyle w:val="Heading3"/>
      </w:pPr>
      <w:r>
        <w:t xml:space="preserve">Semana 1 — fundamentos</w:t>
      </w:r>
    </w:p>
    <w:p>
      <w:pPr>
        <w:pStyle w:val="FirstParagraph"/>
      </w:pPr>
      <w:r>
        <w:t xml:space="preserve">Cuenta/tenant, regiones/zonas, compute, storage, networking, DNS e IAM. Use un lab personal de bajo costo o sandbox y configure alertas de costo si existen.</w:t>
      </w:r>
    </w:p>
    <w:bookmarkEnd w:id="57"/>
    <w:bookmarkStart w:id="58" w:name="semana-2--troubleshooting"/>
    <w:p>
      <w:pPr>
        <w:pStyle w:val="Heading3"/>
      </w:pPr>
      <w:r>
        <w:t xml:space="preserve">Semana 2 — troubleshooting</w:t>
      </w:r>
    </w:p>
    <w:p>
      <w:pPr>
        <w:pStyle w:val="FirstParagraph"/>
      </w:pPr>
      <w:r>
        <w:t xml:space="preserve">Practique tickets, service health, logs/métricas, análisis de packet path y pruebas de una hipótesis a la vez.</w:t>
      </w:r>
    </w:p>
    <w:bookmarkEnd w:id="58"/>
    <w:bookmarkStart w:id="59" w:name="semana-3--seguridad-y-recuperación"/>
    <w:p>
      <w:pPr>
        <w:pStyle w:val="Heading3"/>
      </w:pPr>
      <w:r>
        <w:t xml:space="preserve">Semana 3 — seguridad y recuperación</w:t>
      </w:r>
    </w:p>
    <w:p>
      <w:pPr>
        <w:pStyle w:val="FirstParagraph"/>
      </w:pPr>
      <w:r>
        <w:t xml:space="preserve">Practique MFA, mínimo privilegio, secretos, backup/restore, RPO/RTO, audit logs y change/rollback controlado.</w:t>
      </w:r>
    </w:p>
    <w:bookmarkEnd w:id="59"/>
    <w:bookmarkStart w:id="60" w:name="semana-4--evidencia-y-empleo"/>
    <w:p>
      <w:pPr>
        <w:pStyle w:val="Heading3"/>
      </w:pPr>
      <w:r>
        <w:t xml:space="preserve">Semana 4 — evidencia y empleo</w:t>
      </w:r>
    </w:p>
    <w:p>
      <w:pPr>
        <w:pStyle w:val="FirstParagraph"/>
      </w:pPr>
      <w:r>
        <w:t xml:space="preserve">Construya portafolio seguro, clasifique vacantes por infraestructura vs. soporte de usuario, verifique rutas de formación, practique entrevistas y documente qué puede hacer versus qué debe escalar.</w:t>
      </w:r>
    </w:p>
    <w:bookmarkEnd w:id="60"/>
    <w:bookmarkEnd w:id="61"/>
    <w:bookmarkStart w:id="62" w:name="preparación-para-entrevistas"/>
    <w:p>
      <w:pPr>
        <w:pStyle w:val="Heading2"/>
      </w:pPr>
      <w:r>
        <w:t xml:space="preserve">Preparación para entrevistas</w:t>
      </w:r>
    </w:p>
    <w:p>
      <w:pPr>
        <w:pStyle w:val="FirstParagraph"/>
      </w:pPr>
      <w:r>
        <w:t xml:space="preserve">Explique cómo aislaría conectividad cloud; autenticación vs. autorización; mínimo privilegio/MFA; por qué snapshot no prueba recuperabilidad; por qué replicación no es backup automático; provider health vs. configuración del cliente; DNS troubleshooting; verificación de cuenta/región; cuándo escalar un cambio privilegiado; exposición de secretos; y cómo valida consejo generado por IA.</w:t>
      </w:r>
    </w:p>
    <w:bookmarkEnd w:id="62"/>
    <w:bookmarkStart w:id="63" w:name="preguntas-al-empleador"/>
    <w:p>
      <w:pPr>
        <w:pStyle w:val="Heading2"/>
      </w:pPr>
      <w:r>
        <w:t xml:space="preserve">Preguntas al empleador</w:t>
      </w:r>
    </w:p>
    <w:p>
      <w:pPr>
        <w:numPr>
          <w:ilvl w:val="0"/>
          <w:numId w:val="1014"/>
        </w:numPr>
        <w:pStyle w:val="Compact"/>
      </w:pPr>
      <w:r>
        <w:t xml:space="preserve">¿Qué proveedores/servicios se soportan?</w:t>
      </w:r>
    </w:p>
    <w:p>
      <w:pPr>
        <w:numPr>
          <w:ilvl w:val="0"/>
          <w:numId w:val="1014"/>
        </w:numPr>
        <w:pStyle w:val="Compact"/>
      </w:pPr>
      <w:r>
        <w:t xml:space="preserve">¿El rol es infraestructura, SaaS/usuario o ambos?</w:t>
      </w:r>
    </w:p>
    <w:p>
      <w:pPr>
        <w:numPr>
          <w:ilvl w:val="0"/>
          <w:numId w:val="1014"/>
        </w:numPr>
        <w:pStyle w:val="Compact"/>
      </w:pPr>
      <w:r>
        <w:t xml:space="preserve">¿Qué privilegios de producción tiene?</w:t>
      </w:r>
    </w:p>
    <w:p>
      <w:pPr>
        <w:numPr>
          <w:ilvl w:val="0"/>
          <w:numId w:val="1014"/>
        </w:numPr>
        <w:pStyle w:val="Compact"/>
      </w:pPr>
      <w:r>
        <w:t xml:space="preserve">¿Existe on-call?</w:t>
      </w:r>
    </w:p>
    <w:p>
      <w:pPr>
        <w:numPr>
          <w:ilvl w:val="0"/>
          <w:numId w:val="1014"/>
        </w:numPr>
        <w:pStyle w:val="Compact"/>
      </w:pPr>
      <w:r>
        <w:t xml:space="preserve">¿Cómo se manejan severidades/incidentes?</w:t>
      </w:r>
    </w:p>
    <w:p>
      <w:pPr>
        <w:numPr>
          <w:ilvl w:val="0"/>
          <w:numId w:val="1014"/>
        </w:numPr>
        <w:pStyle w:val="Compact"/>
      </w:pPr>
      <w:r>
        <w:t xml:space="preserve">¿Quién aprueba excepciones IAM/seguridad?</w:t>
      </w:r>
    </w:p>
    <w:p>
      <w:pPr>
        <w:numPr>
          <w:ilvl w:val="0"/>
          <w:numId w:val="1014"/>
        </w:numPr>
        <w:pStyle w:val="Compact"/>
      </w:pPr>
      <w:r>
        <w:t xml:space="preserve">¿Quién diseña arquitectura y recovery?</w:t>
      </w:r>
    </w:p>
    <w:p>
      <w:pPr>
        <w:numPr>
          <w:ilvl w:val="0"/>
          <w:numId w:val="1014"/>
        </w:numPr>
        <w:pStyle w:val="Compact"/>
      </w:pPr>
      <w:r>
        <w:t xml:space="preserve">¿Qué change/release controls aplican?</w:t>
      </w:r>
    </w:p>
    <w:p>
      <w:pPr>
        <w:numPr>
          <w:ilvl w:val="0"/>
          <w:numId w:val="1014"/>
        </w:numPr>
        <w:pStyle w:val="Compact"/>
      </w:pPr>
      <w:r>
        <w:t xml:space="preserve">¿Scripts/IaC requieren revisión?</w:t>
      </w:r>
    </w:p>
    <w:p>
      <w:pPr>
        <w:numPr>
          <w:ilvl w:val="0"/>
          <w:numId w:val="1014"/>
        </w:numPr>
        <w:pStyle w:val="Compact"/>
      </w:pPr>
      <w:r>
        <w:t xml:space="preserve">¿Hay apoyo para training/certificaciones?</w:t>
      </w:r>
    </w:p>
    <w:p>
      <w:pPr>
        <w:numPr>
          <w:ilvl w:val="0"/>
          <w:numId w:val="1014"/>
        </w:numPr>
        <w:pStyle w:val="Compact"/>
      </w:pPr>
      <w:r>
        <w:t xml:space="preserve">¿Cómo se manejan privacidad, residencia de datos y acceso a clientes?</w:t>
      </w:r>
    </w:p>
    <w:bookmarkEnd w:id="63"/>
    <w:bookmarkStart w:id="94" w:name="enlaces-de-verificación-para-lectores"/>
    <w:p>
      <w:pPr>
        <w:pStyle w:val="Heading2"/>
      </w:pPr>
      <w:r>
        <w:t xml:space="preserve">Enlaces de verificación para lectores</w:t>
      </w:r>
    </w:p>
    <w:p>
      <w:pPr>
        <w:numPr>
          <w:ilvl w:val="0"/>
          <w:numId w:val="1015"/>
        </w:numPr>
        <w:pStyle w:val="Compact"/>
      </w:pPr>
      <w:hyperlink r:id="rId64">
        <w:hyperlink r:id="rId6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65">
        <w:hyperlink r:id="rId6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66">
        <w:hyperlink r:id="rId6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67">
        <w:hyperlink r:id="rId6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68">
        <w:hyperlink r:id="rId6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69">
        <w:hyperlink r:id="rId6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70">
        <w:r>
          <w:rPr>
            <w:rStyle w:val="Hyperlink"/>
          </w:rPr>
          <w:t xml:space="preserve">https://www.apprenticeship.gov/</w:t>
        </w:r>
      </w:hyperlink>
    </w:p>
    <w:p>
      <w:pPr>
        <w:numPr>
          <w:ilvl w:val="0"/>
          <w:numId w:val="1015"/>
        </w:numPr>
        <w:pStyle w:val="Compact"/>
      </w:pPr>
      <w:hyperlink r:id="rId71">
        <w:hyperlink r:id="rId7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72">
        <w:hyperlink r:id="rId7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73">
        <w:r>
          <w:rPr>
            <w:rStyle w:val="Hyperlink"/>
          </w:rPr>
          <w:t xml:space="preserve">https://skillbuilder.aws/</w:t>
        </w:r>
      </w:hyperlink>
    </w:p>
    <w:p>
      <w:pPr>
        <w:numPr>
          <w:ilvl w:val="0"/>
          <w:numId w:val="1015"/>
        </w:numPr>
        <w:pStyle w:val="Compact"/>
      </w:pPr>
      <w:hyperlink r:id="rId74">
        <w:r>
          <w:rPr>
            <w:rStyle w:val="Hyperlink"/>
          </w:rPr>
          <w:t xml:space="preserve">https://www.cloudskillsboost.google/</w:t>
        </w:r>
      </w:hyperlink>
    </w:p>
    <w:p>
      <w:pPr>
        <w:numPr>
          <w:ilvl w:val="0"/>
          <w:numId w:val="1015"/>
        </w:numPr>
        <w:pStyle w:val="Compact"/>
      </w:pP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80">
        <w:hyperlink r:id="rId8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82">
        <w:hyperlink r:id="rId8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83">
        <w:hyperlink r:id="rId8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84">
        <w:r>
          <w:rPr>
            <w:rStyle w:val="Hyperlink"/>
          </w:rPr>
          <w:t xml:space="preserve">https://www.oitcinterfor.org/statsfp/paises</w:t>
        </w:r>
      </w:hyperlink>
    </w:p>
    <w:p>
      <w:pPr>
        <w:numPr>
          <w:ilvl w:val="0"/>
          <w:numId w:val="1015"/>
        </w:numPr>
        <w:pStyle w:val="Compact"/>
      </w:pPr>
      <w:hyperlink r:id="rId85">
        <w:hyperlink r:id="rId8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86">
        <w:hyperlink r:id="rId8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87">
        <w:hyperlink r:id="rId8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88">
        <w:r>
          <w:rPr>
            <w:rStyle w:val="Hyperlink"/>
          </w:rPr>
          <w:t xml:space="preserve">https://www.nist.gov/cyberframework</w:t>
        </w:r>
      </w:hyperlink>
    </w:p>
    <w:p>
      <w:pPr>
        <w:numPr>
          <w:ilvl w:val="0"/>
          <w:numId w:val="1015"/>
        </w:numPr>
        <w:pStyle w:val="Compact"/>
      </w:pPr>
      <w:hyperlink r:id="rId89">
        <w:r>
          <w:rPr>
            <w:rStyle w:val="Hyperlink"/>
          </w:rPr>
          <w:t xml:space="preserve">https://www.nist.gov/privacy-framework</w:t>
        </w:r>
      </w:hyperlink>
    </w:p>
    <w:p>
      <w:pPr>
        <w:numPr>
          <w:ilvl w:val="0"/>
          <w:numId w:val="1015"/>
        </w:numPr>
        <w:pStyle w:val="Compact"/>
      </w:pPr>
      <w:hyperlink r:id="rId90">
        <w:hyperlink r:id="rId9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hyperlink r:id="rId91">
        <w:r>
          <w:rPr>
            <w:rStyle w:val="Hyperlink"/>
          </w:rPr>
          <w:t xml:space="preserve">https://www.cisa.gov/secure-our-world</w:t>
        </w:r>
      </w:hyperlink>
    </w:p>
    <w:p>
      <w:pPr>
        <w:numPr>
          <w:ilvl w:val="0"/>
          <w:numId w:val="1015"/>
        </w:numPr>
        <w:pStyle w:val="Compact"/>
      </w:pPr>
      <w:hyperlink r:id="rId92">
        <w:r>
          <w:rPr>
            <w:rStyle w:val="Hyperlink"/>
          </w:rPr>
          <w:t xml:space="preserve">https://www.section508.gov/create/</w:t>
        </w:r>
      </w:hyperlink>
    </w:p>
    <w:p>
      <w:pPr>
        <w:numPr>
          <w:ilvl w:val="0"/>
          <w:numId w:val="1015"/>
        </w:numPr>
        <w:pStyle w:val="Compact"/>
      </w:pPr>
      <w:hyperlink r:id="rId93">
        <w:r>
          <w:rPr>
            <w:rStyle w:val="Hyperlink"/>
          </w:rPr>
          <w:t xml:space="preserve">https://www.w3.org/TR/WCAG22/</w:t>
        </w:r>
      </w:hyperlink>
    </w:p>
    <w:bookmarkEnd w:id="94"/>
    <w:bookmarkStart w:id="95" w:name="límites-importantes"/>
    <w:p>
      <w:pPr>
        <w:pStyle w:val="Heading2"/>
      </w:pPr>
      <w:r>
        <w:t xml:space="preserve">Límites importantes</w:t>
      </w:r>
    </w:p>
    <w:p>
      <w:pPr>
        <w:pStyle w:val="FirstParagraph"/>
      </w:pPr>
      <w:r>
        <w:t xml:space="preserve">Esta guía ofrece información educativa y de planificación profesional. No garantiza empleo, compensación, admisión, financiamiento, apprenticeship, certificación, disponibilidad de servicios cloud o promoción. No constituye certificación legal, de privacidad, ciberseguridad, arquitectura, recovery, proveedor o accesibilidad. Las ediciones lingüísticas son localizaciones controladas del proyecto, no traducciones certificadas.</w:t>
      </w:r>
    </w:p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5" Target="https://aws.amazon.com/compliance/shared-responsibility-model/" TargetMode="External" /><Relationship Type="http://schemas.openxmlformats.org/officeDocument/2006/relationships/hyperlink" Id="rId83" Target="https://betowa.sena.edu.co/oferta/implementacion-de-servicios-de-computacion-en-la-nube?modality=V&amp;programId=229523" TargetMode="External" /><Relationship Type="http://schemas.openxmlformats.org/officeDocument/2006/relationships/hyperlink" Id="rId82" Target="https://betowa.sena.edu.co/oferta/programacion-de-aplicaciones-y-servicios-para-la-nube?modality=V&amp;programId=165934" TargetMode="External" /><Relationship Type="http://schemas.openxmlformats.org/officeDocument/2006/relationships/hyperlink" Id="rId87" Target="https://cloud.google.com/architecture/framework/security/shared-responsibility-shared-fate" TargetMode="External" /><Relationship Type="http://schemas.openxmlformats.org/officeDocument/2006/relationships/hyperlink" Id="rId86" Target="https://learn.microsoft.com/en-us/azure/security/fundamentals/shared-responsibility" TargetMode="External" /><Relationship Type="http://schemas.openxmlformats.org/officeDocument/2006/relationships/hyperlink" Id="rId72" Target="https://learn.microsoft.com/en-us/training/azure/" TargetMode="External" /><Relationship Type="http://schemas.openxmlformats.org/officeDocument/2006/relationships/hyperlink" Id="rId81" Target="https://ocupacol.mintrabajo.gov.co/Profile/OccupationalProfile/35121" TargetMode="External" /><Relationship Type="http://schemas.openxmlformats.org/officeDocument/2006/relationships/hyperlink" Id="rId80" Target="https://ocupacol.mintrabajo.gov.co/Profile/OccupationalProfile/35130" TargetMode="External" /><Relationship Type="http://schemas.openxmlformats.org/officeDocument/2006/relationships/hyperlink" Id="rId73" Target="https://skillbuilder.aws/" TargetMode="External" /><Relationship Type="http://schemas.openxmlformats.org/officeDocument/2006/relationships/hyperlink" Id="rId70" Target="https://www.apprenticeship.gov/" TargetMode="External" /><Relationship Type="http://schemas.openxmlformats.org/officeDocument/2006/relationships/hyperlink" Id="rId79" Target="https://www.canada.ca/en/services/jobs/training.html" TargetMode="External" /><Relationship Type="http://schemas.openxmlformats.org/officeDocument/2006/relationships/hyperlink" Id="rId69" Target="https://www.careeronestop.org/LocalHelp/EmploymentAndTraining/find-WIOA-training-programs.aspx" TargetMode="External" /><Relationship Type="http://schemas.openxmlformats.org/officeDocument/2006/relationships/hyperlink" Id="rId91" Target="https://www.cisa.gov/secure-our-world" TargetMode="External" /><Relationship Type="http://schemas.openxmlformats.org/officeDocument/2006/relationships/hyperlink" Id="rId74" Target="https://www.cloudskillsboost.google/" TargetMode="External" /><Relationship Type="http://schemas.openxmlformats.org/officeDocument/2006/relationships/hyperlink" Id="rId71" Target="https://www.indeed.com/career/cloud-engineer/salaries" TargetMode="External" /><Relationship Type="http://schemas.openxmlformats.org/officeDocument/2006/relationships/hyperlink" Id="rId75" Target="https://www.jobbank.gc.ca/marketreport/summary-occupation/24514/ca" TargetMode="External" /><Relationship Type="http://schemas.openxmlformats.org/officeDocument/2006/relationships/hyperlink" Id="rId77" Target="https://www.jobbank.gc.ca/marketreport/summary-occupation/3772/ca" TargetMode="External" /><Relationship Type="http://schemas.openxmlformats.org/officeDocument/2006/relationships/hyperlink" Id="rId78" Target="https://www.jobbank.gc.ca/marketreport/wages-occupation/3772/ca" TargetMode="External" /><Relationship Type="http://schemas.openxmlformats.org/officeDocument/2006/relationships/hyperlink" Id="rId76" Target="https://www.jobbank.gc.ca/wagereport/occupation/3757" TargetMode="External" /><Relationship Type="http://schemas.openxmlformats.org/officeDocument/2006/relationships/hyperlink" Id="rId88" Target="https://www.nist.gov/cyberframework" TargetMode="External" /><Relationship Type="http://schemas.openxmlformats.org/officeDocument/2006/relationships/hyperlink" Id="rId90" Target="https://www.nist.gov/itl/ai-risk-management-framework" TargetMode="External" /><Relationship Type="http://schemas.openxmlformats.org/officeDocument/2006/relationships/hyperlink" Id="rId89" Target="https://www.nist.gov/privacy-framework" TargetMode="External" /><Relationship Type="http://schemas.openxmlformats.org/officeDocument/2006/relationships/hyperlink" Id="rId84" Target="https://www.oitcinterfor.org/statsfp/paises" TargetMode="External" /><Relationship Type="http://schemas.openxmlformats.org/officeDocument/2006/relationships/hyperlink" Id="rId68" Target="https://www.onetonline.org/link/demand/15-1231.00" TargetMode="External" /><Relationship Type="http://schemas.openxmlformats.org/officeDocument/2006/relationships/hyperlink" Id="rId64" Target="https://www.onetonline.org/link/details/15-1231.00" TargetMode="External" /><Relationship Type="http://schemas.openxmlformats.org/officeDocument/2006/relationships/hyperlink" Id="rId67" Target="https://www.onetonline.org/link/hot_tech/15-1231.00" TargetMode="External" /><Relationship Type="http://schemas.openxmlformats.org/officeDocument/2006/relationships/hyperlink" Id="rId66" Target="https://www.onetonline.org/link/localtrends/15-1231.00" TargetMode="External" /><Relationship Type="http://schemas.openxmlformats.org/officeDocument/2006/relationships/hyperlink" Id="rId65" Target="https://www.onetonline.org/link/localwages/15-1231.00" TargetMode="External" /><Relationship Type="http://schemas.openxmlformats.org/officeDocument/2006/relationships/hyperlink" Id="rId92" Target="https://www.section508.gov/create/" TargetMode="External" /><Relationship Type="http://schemas.openxmlformats.org/officeDocument/2006/relationships/hyperlink" Id="rId93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aws.amazon.com/compliance/shared-responsibility-model/" TargetMode="External" /><Relationship Type="http://schemas.openxmlformats.org/officeDocument/2006/relationships/hyperlink" Id="rId83" Target="https://betowa.sena.edu.co/oferta/implementacion-de-servicios-de-computacion-en-la-nube?modality=V&amp;programId=229523" TargetMode="External" /><Relationship Type="http://schemas.openxmlformats.org/officeDocument/2006/relationships/hyperlink" Id="rId82" Target="https://betowa.sena.edu.co/oferta/programacion-de-aplicaciones-y-servicios-para-la-nube?modality=V&amp;programId=165934" TargetMode="External" /><Relationship Type="http://schemas.openxmlformats.org/officeDocument/2006/relationships/hyperlink" Id="rId87" Target="https://cloud.google.com/architecture/framework/security/shared-responsibility-shared-fate" TargetMode="External" /><Relationship Type="http://schemas.openxmlformats.org/officeDocument/2006/relationships/hyperlink" Id="rId86" Target="https://learn.microsoft.com/en-us/azure/security/fundamentals/shared-responsibility" TargetMode="External" /><Relationship Type="http://schemas.openxmlformats.org/officeDocument/2006/relationships/hyperlink" Id="rId72" Target="https://learn.microsoft.com/en-us/training/azure/" TargetMode="External" /><Relationship Type="http://schemas.openxmlformats.org/officeDocument/2006/relationships/hyperlink" Id="rId81" Target="https://ocupacol.mintrabajo.gov.co/Profile/OccupationalProfile/35121" TargetMode="External" /><Relationship Type="http://schemas.openxmlformats.org/officeDocument/2006/relationships/hyperlink" Id="rId80" Target="https://ocupacol.mintrabajo.gov.co/Profile/OccupationalProfile/35130" TargetMode="External" /><Relationship Type="http://schemas.openxmlformats.org/officeDocument/2006/relationships/hyperlink" Id="rId73" Target="https://skillbuilder.aws/" TargetMode="External" /><Relationship Type="http://schemas.openxmlformats.org/officeDocument/2006/relationships/hyperlink" Id="rId70" Target="https://www.apprenticeship.gov/" TargetMode="External" /><Relationship Type="http://schemas.openxmlformats.org/officeDocument/2006/relationships/hyperlink" Id="rId79" Target="https://www.canada.ca/en/services/jobs/training.html" TargetMode="External" /><Relationship Type="http://schemas.openxmlformats.org/officeDocument/2006/relationships/hyperlink" Id="rId69" Target="https://www.careeronestop.org/LocalHelp/EmploymentAndTraining/find-WIOA-training-programs.aspx" TargetMode="External" /><Relationship Type="http://schemas.openxmlformats.org/officeDocument/2006/relationships/hyperlink" Id="rId91" Target="https://www.cisa.gov/secure-our-world" TargetMode="External" /><Relationship Type="http://schemas.openxmlformats.org/officeDocument/2006/relationships/hyperlink" Id="rId74" Target="https://www.cloudskillsboost.google/" TargetMode="External" /><Relationship Type="http://schemas.openxmlformats.org/officeDocument/2006/relationships/hyperlink" Id="rId71" Target="https://www.indeed.com/career/cloud-engineer/salaries" TargetMode="External" /><Relationship Type="http://schemas.openxmlformats.org/officeDocument/2006/relationships/hyperlink" Id="rId75" Target="https://www.jobbank.gc.ca/marketreport/summary-occupation/24514/ca" TargetMode="External" /><Relationship Type="http://schemas.openxmlformats.org/officeDocument/2006/relationships/hyperlink" Id="rId77" Target="https://www.jobbank.gc.ca/marketreport/summary-occupation/3772/ca" TargetMode="External" /><Relationship Type="http://schemas.openxmlformats.org/officeDocument/2006/relationships/hyperlink" Id="rId78" Target="https://www.jobbank.gc.ca/marketreport/wages-occupation/3772/ca" TargetMode="External" /><Relationship Type="http://schemas.openxmlformats.org/officeDocument/2006/relationships/hyperlink" Id="rId76" Target="https://www.jobbank.gc.ca/wagereport/occupation/3757" TargetMode="External" /><Relationship Type="http://schemas.openxmlformats.org/officeDocument/2006/relationships/hyperlink" Id="rId88" Target="https://www.nist.gov/cyberframework" TargetMode="External" /><Relationship Type="http://schemas.openxmlformats.org/officeDocument/2006/relationships/hyperlink" Id="rId90" Target="https://www.nist.gov/itl/ai-risk-management-framework" TargetMode="External" /><Relationship Type="http://schemas.openxmlformats.org/officeDocument/2006/relationships/hyperlink" Id="rId89" Target="https://www.nist.gov/privacy-framework" TargetMode="External" /><Relationship Type="http://schemas.openxmlformats.org/officeDocument/2006/relationships/hyperlink" Id="rId84" Target="https://www.oitcinterfor.org/statsfp/paises" TargetMode="External" /><Relationship Type="http://schemas.openxmlformats.org/officeDocument/2006/relationships/hyperlink" Id="rId68" Target="https://www.onetonline.org/link/demand/15-1231.00" TargetMode="External" /><Relationship Type="http://schemas.openxmlformats.org/officeDocument/2006/relationships/hyperlink" Id="rId64" Target="https://www.onetonline.org/link/details/15-1231.00" TargetMode="External" /><Relationship Type="http://schemas.openxmlformats.org/officeDocument/2006/relationships/hyperlink" Id="rId67" Target="https://www.onetonline.org/link/hot_tech/15-1231.00" TargetMode="External" /><Relationship Type="http://schemas.openxmlformats.org/officeDocument/2006/relationships/hyperlink" Id="rId66" Target="https://www.onetonline.org/link/localtrends/15-1231.00" TargetMode="External" /><Relationship Type="http://schemas.openxmlformats.org/officeDocument/2006/relationships/hyperlink" Id="rId65" Target="https://www.onetonline.org/link/localwages/15-1231.00" TargetMode="External" /><Relationship Type="http://schemas.openxmlformats.org/officeDocument/2006/relationships/hyperlink" Id="rId92" Target="https://www.section508.gov/create/" TargetMode="External" /><Relationship Type="http://schemas.openxmlformats.org/officeDocument/2006/relationships/hyperlink" Id="rId93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2026-08-22T08:19:36Z</dcterms:created>
  <dcterms:modified xsi:type="dcterms:W3CDTF">2026-08-22T08:19:36Z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