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1fa1b6f4da2b39fdeb8a6c5f05e28ca2f28e228"/>
    <w:p>
      <w:pPr>
        <w:pStyle w:val="Heading1"/>
      </w:pPr>
      <w:r>
        <w:t xml:space="preserve">Guía de Oportunidades para Toda la Vida 93 — Técnico en Topografía y Cartografía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maestra de trabajo controlada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neutro de América Latina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Referencia principal de EE. UU.:</w:t>
      </w:r>
      <w:r>
        <w:t xml:space="preserve"> </w:t>
      </w:r>
      <w:r>
        <w:t xml:space="preserve">O*NET-SOC 17-3031.00 — Surveying and Mapping Technicians</w:t>
      </w:r>
      <w:r>
        <w:br/>
      </w:r>
      <w:r>
        <w:rPr>
          <w:bCs/>
          <w:b/>
        </w:rPr>
        <w:t xml:space="preserve">Comparación de Canadá:</w:t>
      </w:r>
      <w:r>
        <w:t xml:space="preserve"> </w:t>
      </w:r>
      <w:r>
        <w:t xml:space="preserve">NOC 22213 — Land survey technologists and technicians</w:t>
      </w:r>
      <w:r>
        <w:br/>
      </w:r>
      <w:r>
        <w:rPr>
          <w:bCs/>
          <w:b/>
        </w:rPr>
        <w:t xml:space="preserve">Comparación de Colombia:</w:t>
      </w:r>
      <w:r>
        <w:t xml:space="preserve"> </w:t>
      </w:r>
      <w:r>
        <w:t xml:space="preserve">CUOC 31122 — Técnicos en topografía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2026-08-22</w:t>
      </w:r>
      <w:r>
        <w:br/>
      </w:r>
      <w:r>
        <w:rPr>
          <w:bCs/>
          <w:b/>
        </w:rPr>
        <w:t xml:space="preserve">Fuente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effdfcd7908596a0285100e7856d898ee60abfe7</w:t>
      </w:r>
    </w:p>
    <w:bookmarkStart w:id="20" w:name="qué-es-esta-carrera"/>
    <w:p>
      <w:pPr>
        <w:pStyle w:val="Heading2"/>
      </w:pPr>
      <w:r>
        <w:t xml:space="preserve">Qué es esta carrera</w:t>
      </w:r>
    </w:p>
    <w:p>
      <w:pPr>
        <w:pStyle w:val="FirstParagraph"/>
      </w:pPr>
      <w:r>
        <w:t xml:space="preserve">Los Técnicos en Topografía y Cartografía ayudan a medir, documentar y representar el mundo físico. Según el empleador y el proyecto, pueden recolectar mediciones en campo, operar instrumentos topográficos, establecer o verificar puntos de referencia, apoyar replanteos de construcción, calcular ángulos/elevaciones/distancias, procesar datos de levantamiento, preparar planos o mapas, mantener registros, trabajar con sistemas GIS/CAD, interpretar imágenes aéreas o satelitales y apoyar a topógrafos/agrimensores autorizados, ingenieros, cartógrafos o fotogrametristas.</w:t>
      </w:r>
    </w:p>
    <w:p>
      <w:pPr>
        <w:pStyle w:val="BodyText"/>
      </w:pPr>
      <w:r>
        <w:t xml:space="preserve">El trabajo combina medición de campo, matemáticas, tecnología geoespacial y documentación técnica. Los títulos pueden incluir Técnico de Topografía, Técnico Cartográfico, Técnico Geomático, Instrumentista, Auxiliar de Topografía, Técnico Fotogramétrico y otros títulos relacionados.</w:t>
      </w:r>
    </w:p>
    <w:p>
      <w:pPr>
        <w:pStyle w:val="BodyText"/>
      </w:pPr>
      <w:r>
        <w:t xml:space="preserve">El nombre del cargo no define por sí solo la autoridad profesional. Un técnico puede realizar mediciones y cálculos importantes sin tener autoridad legal para establecer, certificar, firmar o sellar un límite de propiedad. Siempre revise las funciones reales y las reglas de la jurisdicción.</w:t>
      </w:r>
    </w:p>
    <w:bookmarkEnd w:id="20"/>
    <w:bookmarkStart w:id="21" w:name="qué-hace-un-técnico"/>
    <w:p>
      <w:pPr>
        <w:pStyle w:val="Heading2"/>
      </w:pPr>
      <w:r>
        <w:t xml:space="preserve">Qué hace un técnico</w:t>
      </w:r>
    </w:p>
    <w:p>
      <w:pPr>
        <w:pStyle w:val="FirstParagraph"/>
      </w:pPr>
      <w:r>
        <w:t xml:space="preserve">La evidencia actual de O*NET/BLS respalda trabajo como:</w:t>
      </w:r>
    </w:p>
    <w:p>
      <w:pPr>
        <w:numPr>
          <w:ilvl w:val="0"/>
          <w:numId w:val="1001"/>
        </w:numPr>
        <w:pStyle w:val="Compact"/>
      </w:pPr>
      <w:r>
        <w:t xml:space="preserve">recolectar datos topográficos en campo;</w:t>
      </w:r>
    </w:p>
    <w:p>
      <w:pPr>
        <w:numPr>
          <w:ilvl w:val="0"/>
          <w:numId w:val="1001"/>
        </w:numPr>
        <w:pStyle w:val="Compact"/>
      </w:pPr>
      <w:r>
        <w:t xml:space="preserve">medir ángulos, distancias y elevaciones;</w:t>
      </w:r>
    </w:p>
    <w:p>
      <w:pPr>
        <w:numPr>
          <w:ilvl w:val="0"/>
          <w:numId w:val="1001"/>
        </w:numPr>
        <w:pStyle w:val="Compact"/>
      </w:pPr>
      <w:r>
        <w:t xml:space="preserve">operar equipos de topografía/cartografía dentro del alcance asignado;</w:t>
      </w:r>
    </w:p>
    <w:p>
      <w:pPr>
        <w:numPr>
          <w:ilvl w:val="0"/>
          <w:numId w:val="1001"/>
        </w:numPr>
        <w:pStyle w:val="Compact"/>
      </w:pPr>
      <w:r>
        <w:t xml:space="preserve">colocar, sostener o verificar objetivos, miras, prismas y equipos de referencia;</w:t>
      </w:r>
    </w:p>
    <w:p>
      <w:pPr>
        <w:numPr>
          <w:ilvl w:val="0"/>
          <w:numId w:val="1001"/>
        </w:numPr>
        <w:pStyle w:val="Compact"/>
      </w:pPr>
      <w:r>
        <w:t xml:space="preserve">calcular posiciones geográficas a partir de datos topográficos;</w:t>
      </w:r>
    </w:p>
    <w:p>
      <w:pPr>
        <w:numPr>
          <w:ilvl w:val="0"/>
          <w:numId w:val="1001"/>
        </w:numPr>
        <w:pStyle w:val="Compact"/>
      </w:pPr>
      <w:r>
        <w:t xml:space="preserve">revisar cálculos matemáticos;</w:t>
      </w:r>
    </w:p>
    <w:p>
      <w:pPr>
        <w:numPr>
          <w:ilvl w:val="0"/>
          <w:numId w:val="1001"/>
        </w:numPr>
        <w:pStyle w:val="Compact"/>
      </w:pPr>
      <w:r>
        <w:t xml:space="preserve">apoyar replanteos y localización de construcción;</w:t>
      </w:r>
    </w:p>
    <w:p>
      <w:pPr>
        <w:numPr>
          <w:ilvl w:val="0"/>
          <w:numId w:val="1001"/>
        </w:numPr>
        <w:pStyle w:val="Compact"/>
      </w:pPr>
      <w:r>
        <w:t xml:space="preserve">compilar información de planos de ingeniería;</w:t>
      </w:r>
    </w:p>
    <w:p>
      <w:pPr>
        <w:numPr>
          <w:ilvl w:val="0"/>
          <w:numId w:val="1001"/>
        </w:numPr>
        <w:pStyle w:val="Compact"/>
      </w:pPr>
      <w:r>
        <w:t xml:space="preserve">producir o actualizar mapas;</w:t>
      </w:r>
    </w:p>
    <w:p>
      <w:pPr>
        <w:numPr>
          <w:ilvl w:val="0"/>
          <w:numId w:val="1001"/>
        </w:numPr>
        <w:pStyle w:val="Compact"/>
      </w:pPr>
      <w:r>
        <w:t xml:space="preserve">revisar capas cartográficas para detectar errores o faltantes;</w:t>
      </w:r>
    </w:p>
    <w:p>
      <w:pPr>
        <w:numPr>
          <w:ilvl w:val="0"/>
          <w:numId w:val="1001"/>
        </w:numPr>
        <w:pStyle w:val="Compact"/>
      </w:pPr>
      <w:r>
        <w:t xml:space="preserve">crear o mantener bases de datos geográficas/topográficas;</w:t>
      </w:r>
    </w:p>
    <w:p>
      <w:pPr>
        <w:numPr>
          <w:ilvl w:val="0"/>
          <w:numId w:val="1001"/>
        </w:numPr>
        <w:pStyle w:val="Compact"/>
      </w:pPr>
      <w:r>
        <w:t xml:space="preserve">procesar material aéreo, satelital o fotogramétrico;</w:t>
      </w:r>
    </w:p>
    <w:p>
      <w:pPr>
        <w:numPr>
          <w:ilvl w:val="0"/>
          <w:numId w:val="1001"/>
        </w:numPr>
        <w:pStyle w:val="Compact"/>
      </w:pPr>
      <w:r>
        <w:t xml:space="preserve">documentar observaciones de campo y detalles técnicos;</w:t>
      </w:r>
    </w:p>
    <w:p>
      <w:pPr>
        <w:numPr>
          <w:ilvl w:val="0"/>
          <w:numId w:val="1001"/>
        </w:numPr>
        <w:pStyle w:val="Compact"/>
      </w:pPr>
      <w:r>
        <w:t xml:space="preserve">apoyar a ingenieros, topógrafos/agrimensores, cartógrafos y otros profesionales.</w:t>
      </w:r>
    </w:p>
    <w:p>
      <w:pPr>
        <w:pStyle w:val="FirstParagraph"/>
      </w:pPr>
      <w:r>
        <w:t xml:space="preserve">El trabajo de campo y oficina están directamente conectados: notas deficientes o una instalación incorrecta pueden producir errores posteriores que ningún software CAD/GIS corrige automáticamente.</w:t>
      </w:r>
    </w:p>
    <w:bookmarkEnd w:id="21"/>
    <w:bookmarkStart w:id="24" w:name="X24ae7b1ebc301358a477bb309dba861e4552ade"/>
    <w:p>
      <w:pPr>
        <w:pStyle w:val="Heading2"/>
      </w:pPr>
      <w:r>
        <w:t xml:space="preserve">Técnico versus topógrafo/agrimensor autorizado</w:t>
      </w:r>
    </w:p>
    <w:p>
      <w:pPr>
        <w:pStyle w:val="FirstParagraph"/>
      </w:pPr>
      <w:r>
        <w:t xml:space="preserve">Esta diferencia es esencial.</w:t>
      </w:r>
    </w:p>
    <w:bookmarkStart w:id="22" w:name="el-alcance-técnico-puede-incluir"/>
    <w:p>
      <w:pPr>
        <w:pStyle w:val="Heading3"/>
      </w:pPr>
      <w:r>
        <w:t xml:space="preserve">El alcance técnico puede incluir</w:t>
      </w:r>
    </w:p>
    <w:p>
      <w:pPr>
        <w:numPr>
          <w:ilvl w:val="0"/>
          <w:numId w:val="1002"/>
        </w:numPr>
        <w:pStyle w:val="Compact"/>
      </w:pPr>
      <w:r>
        <w:t xml:space="preserve">recolectar mediciones;</w:t>
      </w:r>
    </w:p>
    <w:p>
      <w:pPr>
        <w:numPr>
          <w:ilvl w:val="0"/>
          <w:numId w:val="1002"/>
        </w:numPr>
        <w:pStyle w:val="Compact"/>
      </w:pPr>
      <w:r>
        <w:t xml:space="preserve">instalar y operar equipos según procedimientos asignados;</w:t>
      </w:r>
    </w:p>
    <w:p>
      <w:pPr>
        <w:numPr>
          <w:ilvl w:val="0"/>
          <w:numId w:val="1002"/>
        </w:numPr>
        <w:pStyle w:val="Compact"/>
      </w:pPr>
      <w:r>
        <w:t xml:space="preserve">mantener notas de campo;</w:t>
      </w:r>
    </w:p>
    <w:p>
      <w:pPr>
        <w:numPr>
          <w:ilvl w:val="0"/>
          <w:numId w:val="1002"/>
        </w:numPr>
        <w:pStyle w:val="Compact"/>
      </w:pPr>
      <w:r>
        <w:t xml:space="preserve">calcular coordenadas, elevaciones y distancias;</w:t>
      </w:r>
    </w:p>
    <w:p>
      <w:pPr>
        <w:numPr>
          <w:ilvl w:val="0"/>
          <w:numId w:val="1002"/>
        </w:numPr>
        <w:pStyle w:val="Compact"/>
      </w:pPr>
      <w:r>
        <w:t xml:space="preserve">procesar observaciones;</w:t>
      </w:r>
    </w:p>
    <w:p>
      <w:pPr>
        <w:numPr>
          <w:ilvl w:val="0"/>
          <w:numId w:val="1002"/>
        </w:numPr>
        <w:pStyle w:val="Compact"/>
      </w:pPr>
      <w:r>
        <w:t xml:space="preserve">dibujar o mapear;</w:t>
      </w:r>
    </w:p>
    <w:p>
      <w:pPr>
        <w:numPr>
          <w:ilvl w:val="0"/>
          <w:numId w:val="1002"/>
        </w:numPr>
        <w:pStyle w:val="Compact"/>
      </w:pPr>
      <w:r>
        <w:t xml:space="preserve">apoyar replanteos de construcción;</w:t>
      </w:r>
    </w:p>
    <w:p>
      <w:pPr>
        <w:numPr>
          <w:ilvl w:val="0"/>
          <w:numId w:val="1002"/>
        </w:numPr>
        <w:pStyle w:val="Compact"/>
      </w:pPr>
      <w:r>
        <w:t xml:space="preserve">controles de calidad;</w:t>
      </w:r>
    </w:p>
    <w:p>
      <w:pPr>
        <w:numPr>
          <w:ilvl w:val="0"/>
          <w:numId w:val="1002"/>
        </w:numPr>
        <w:pStyle w:val="Compact"/>
      </w:pPr>
      <w:r>
        <w:t xml:space="preserve">conversión de datos;</w:t>
      </w:r>
    </w:p>
    <w:p>
      <w:pPr>
        <w:numPr>
          <w:ilvl w:val="0"/>
          <w:numId w:val="1002"/>
        </w:numPr>
        <w:pStyle w:val="Compact"/>
      </w:pPr>
      <w:r>
        <w:t xml:space="preserve">procesamiento fotogramétrico o de drones cuando esté autorizado;</w:t>
      </w:r>
    </w:p>
    <w:p>
      <w:pPr>
        <w:numPr>
          <w:ilvl w:val="0"/>
          <w:numId w:val="1002"/>
        </w:numPr>
        <w:pStyle w:val="Compact"/>
      </w:pPr>
      <w:r>
        <w:t xml:space="preserve">soporte GIS/CAD.</w:t>
      </w:r>
    </w:p>
    <w:bookmarkEnd w:id="22"/>
    <w:bookmarkStart w:id="23" w:name="X59b8309349cfa785882fa48d0f746ce67220f3a"/>
    <w:p>
      <w:pPr>
        <w:pStyle w:val="Heading3"/>
      </w:pPr>
      <w:r>
        <w:t xml:space="preserve">El alcance profesional autorizado puede incluir</w:t>
      </w:r>
    </w:p>
    <w:p>
      <w:pPr>
        <w:pStyle w:val="FirstParagraph"/>
      </w:pPr>
      <w:r>
        <w:t xml:space="preserve">Según la jurisdicción:</w:t>
      </w:r>
    </w:p>
    <w:p>
      <w:pPr>
        <w:numPr>
          <w:ilvl w:val="0"/>
          <w:numId w:val="1003"/>
        </w:numPr>
        <w:pStyle w:val="Compact"/>
      </w:pPr>
      <w:r>
        <w:t xml:space="preserve">determinar legalmente límites de propiedad;</w:t>
      </w:r>
    </w:p>
    <w:p>
      <w:pPr>
        <w:numPr>
          <w:ilvl w:val="0"/>
          <w:numId w:val="1003"/>
        </w:numPr>
        <w:pStyle w:val="Compact"/>
      </w:pPr>
      <w:r>
        <w:t xml:space="preserve">certificar posiciones de linderos;</w:t>
      </w:r>
    </w:p>
    <w:p>
      <w:pPr>
        <w:numPr>
          <w:ilvl w:val="0"/>
          <w:numId w:val="1003"/>
        </w:numPr>
        <w:pStyle w:val="Compact"/>
      </w:pPr>
      <w:r>
        <w:t xml:space="preserve">firmar o sellar documentos topográficos;</w:t>
      </w:r>
    </w:p>
    <w:p>
      <w:pPr>
        <w:numPr>
          <w:ilvl w:val="0"/>
          <w:numId w:val="1003"/>
        </w:numPr>
        <w:pStyle w:val="Compact"/>
      </w:pPr>
      <w:r>
        <w:t xml:space="preserve">emitir opiniones catastrales o legales autoritativas;</w:t>
      </w:r>
    </w:p>
    <w:p>
      <w:pPr>
        <w:numPr>
          <w:ilvl w:val="0"/>
          <w:numId w:val="1003"/>
        </w:numPr>
        <w:pStyle w:val="Compact"/>
      </w:pPr>
      <w:r>
        <w:t xml:space="preserve">supervisar trabajo cuando la ley lo exige;</w:t>
      </w:r>
    </w:p>
    <w:p>
      <w:pPr>
        <w:numPr>
          <w:ilvl w:val="0"/>
          <w:numId w:val="1003"/>
        </w:numPr>
        <w:pStyle w:val="Compact"/>
      </w:pPr>
      <w:r>
        <w:t xml:space="preserve">representar conclusiones topográficas como legalmente vinculantes.</w:t>
      </w:r>
    </w:p>
    <w:p>
      <w:pPr>
        <w:pStyle w:val="FirstParagraph"/>
      </w:pPr>
      <w:r>
        <w:t xml:space="preserve">BLS indica que en Estados Unidos los técnicos en topografía y cartografía no requieren licencia de topógrafo, aunque técnicos con experiencia y formación adicional pueden posteriormente calificar para convertirse en topógrafos licenciados.</w:t>
      </w:r>
    </w:p>
    <w:p>
      <w:pPr>
        <w:pStyle w:val="BodyText"/>
      </w:pPr>
      <w:r>
        <w:t xml:space="preserve">No presente un cálculo técnico, coordenada GNSS, ortomosaico de dron, dibujo CAD o capa GIS como límite legal autoritativo salvo que existan la autoridad profesional y la evidencia exigidas.</w:t>
      </w:r>
    </w:p>
    <w:bookmarkEnd w:id="23"/>
    <w:bookmarkEnd w:id="24"/>
    <w:bookmarkStart w:id="25" w:name="fundamentos-de-medición"/>
    <w:p>
      <w:pPr>
        <w:pStyle w:val="Heading2"/>
      </w:pPr>
      <w:r>
        <w:t xml:space="preserve">Fundamentos de medición</w:t>
      </w:r>
    </w:p>
    <w:p>
      <w:pPr>
        <w:pStyle w:val="FirstParagraph"/>
      </w:pPr>
      <w:r>
        <w:t xml:space="preserve">La topografía depende de mediciones disciplinadas y no simplemente de leer números en un instrumento.</w:t>
      </w:r>
    </w:p>
    <w:p>
      <w:pPr>
        <w:pStyle w:val="BodyText"/>
      </w:pPr>
      <w:r>
        <w:t xml:space="preserve">Comprenda:</w:t>
      </w:r>
    </w:p>
    <w:p>
      <w:pPr>
        <w:numPr>
          <w:ilvl w:val="0"/>
          <w:numId w:val="1004"/>
        </w:numPr>
        <w:pStyle w:val="Compact"/>
      </w:pPr>
      <w:r>
        <w:t xml:space="preserve">distancia;</w:t>
      </w:r>
    </w:p>
    <w:p>
      <w:pPr>
        <w:numPr>
          <w:ilvl w:val="0"/>
          <w:numId w:val="1004"/>
        </w:numPr>
        <w:pStyle w:val="Compact"/>
      </w:pPr>
      <w:r>
        <w:t xml:space="preserve">ángulo horizontal;</w:t>
      </w:r>
    </w:p>
    <w:p>
      <w:pPr>
        <w:numPr>
          <w:ilvl w:val="0"/>
          <w:numId w:val="1004"/>
        </w:numPr>
        <w:pStyle w:val="Compact"/>
      </w:pPr>
      <w:r>
        <w:t xml:space="preserve">ángulo vertical;</w:t>
      </w:r>
    </w:p>
    <w:p>
      <w:pPr>
        <w:numPr>
          <w:ilvl w:val="0"/>
          <w:numId w:val="1004"/>
        </w:numPr>
        <w:pStyle w:val="Compact"/>
      </w:pPr>
      <w:r>
        <w:t xml:space="preserve">elevación/cota;</w:t>
      </w:r>
    </w:p>
    <w:p>
      <w:pPr>
        <w:numPr>
          <w:ilvl w:val="0"/>
          <w:numId w:val="1004"/>
        </w:numPr>
        <w:pStyle w:val="Compact"/>
      </w:pPr>
      <w:r>
        <w:t xml:space="preserve">pendiente;</w:t>
      </w:r>
    </w:p>
    <w:p>
      <w:pPr>
        <w:numPr>
          <w:ilvl w:val="0"/>
          <w:numId w:val="1004"/>
        </w:numPr>
        <w:pStyle w:val="Compact"/>
      </w:pPr>
      <w:r>
        <w:t xml:space="preserve">coordenada;</w:t>
      </w:r>
    </w:p>
    <w:p>
      <w:pPr>
        <w:numPr>
          <w:ilvl w:val="0"/>
          <w:numId w:val="1004"/>
        </w:numPr>
        <w:pStyle w:val="Compact"/>
      </w:pPr>
      <w:r>
        <w:t xml:space="preserve">rumbo/azimut;</w:t>
      </w:r>
    </w:p>
    <w:p>
      <w:pPr>
        <w:numPr>
          <w:ilvl w:val="0"/>
          <w:numId w:val="1004"/>
        </w:numPr>
        <w:pStyle w:val="Compact"/>
      </w:pPr>
      <w:r>
        <w:t xml:space="preserve">estación/progresiva cuando aplique;</w:t>
      </w:r>
    </w:p>
    <w:p>
      <w:pPr>
        <w:numPr>
          <w:ilvl w:val="0"/>
          <w:numId w:val="1004"/>
        </w:numPr>
        <w:pStyle w:val="Compact"/>
      </w:pPr>
      <w:r>
        <w:t xml:space="preserve">punto de control/benchmark;</w:t>
      </w:r>
    </w:p>
    <w:p>
      <w:pPr>
        <w:numPr>
          <w:ilvl w:val="0"/>
          <w:numId w:val="1004"/>
        </w:numPr>
        <w:pStyle w:val="Compact"/>
      </w:pPr>
      <w:r>
        <w:t xml:space="preserve">poligonal;</w:t>
      </w:r>
    </w:p>
    <w:p>
      <w:pPr>
        <w:numPr>
          <w:ilvl w:val="0"/>
          <w:numId w:val="1004"/>
        </w:numPr>
        <w:pStyle w:val="Compact"/>
      </w:pPr>
      <w:r>
        <w:t xml:space="preserve">conceptos de visual atrás/visual adelante cuando aplique;</w:t>
      </w:r>
    </w:p>
    <w:p>
      <w:pPr>
        <w:numPr>
          <w:ilvl w:val="0"/>
          <w:numId w:val="1004"/>
        </w:numPr>
        <w:pStyle w:val="Compact"/>
      </w:pPr>
      <w:r>
        <w:t xml:space="preserve">cierre/error;</w:t>
      </w:r>
    </w:p>
    <w:p>
      <w:pPr>
        <w:numPr>
          <w:ilvl w:val="0"/>
          <w:numId w:val="1004"/>
        </w:numPr>
        <w:pStyle w:val="Compact"/>
      </w:pPr>
      <w:r>
        <w:t xml:space="preserve">precisión versus exactitud;</w:t>
      </w:r>
    </w:p>
    <w:p>
      <w:pPr>
        <w:numPr>
          <w:ilvl w:val="0"/>
          <w:numId w:val="1004"/>
        </w:numPr>
        <w:pStyle w:val="Compact"/>
      </w:pPr>
      <w:r>
        <w:t xml:space="preserve">tolerancia;</w:t>
      </w:r>
    </w:p>
    <w:p>
      <w:pPr>
        <w:numPr>
          <w:ilvl w:val="0"/>
          <w:numId w:val="1004"/>
        </w:numPr>
        <w:pStyle w:val="Compact"/>
      </w:pPr>
      <w:r>
        <w:t xml:space="preserve">cifras significativas y unidades.</w:t>
      </w:r>
    </w:p>
    <w:p>
      <w:pPr>
        <w:pStyle w:val="FirstParagraph"/>
      </w:pPr>
      <w:r>
        <w:t xml:space="preserve">Una medición puede ser precisa pero incorrecta. La repetibilidad no demuestra que el montaje, control, calibración, sistema de coordenadas o punto de referencia sean correctos.</w:t>
      </w:r>
    </w:p>
    <w:bookmarkEnd w:id="25"/>
    <w:bookmarkStart w:id="26" w:name="unidades-y-conversiones"/>
    <w:p>
      <w:pPr>
        <w:pStyle w:val="Heading2"/>
      </w:pPr>
      <w:r>
        <w:t xml:space="preserve">Unidades y conversiones</w:t>
      </w:r>
    </w:p>
    <w:p>
      <w:pPr>
        <w:pStyle w:val="FirstParagraph"/>
      </w:pPr>
      <w:r>
        <w:t xml:space="preserve">Los proyectos pueden usar metros, milímetros, pies, pies decimales u otras unidades definidas.</w:t>
      </w:r>
    </w:p>
    <w:p>
      <w:pPr>
        <w:pStyle w:val="BodyText"/>
      </w:pPr>
      <w:r>
        <w:t xml:space="preserve">Controles:</w:t>
      </w:r>
    </w:p>
    <w:p>
      <w:pPr>
        <w:numPr>
          <w:ilvl w:val="0"/>
          <w:numId w:val="1005"/>
        </w:numPr>
        <w:pStyle w:val="Compact"/>
      </w:pPr>
      <w:r>
        <w:t xml:space="preserve">identifique las unidades antes de medir o importar;</w:t>
      </w:r>
    </w:p>
    <w:p>
      <w:pPr>
        <w:numPr>
          <w:ilvl w:val="0"/>
          <w:numId w:val="1005"/>
        </w:numPr>
        <w:pStyle w:val="Compact"/>
      </w:pPr>
      <w:r>
        <w:t xml:space="preserve">registre las unidades explícitamente;</w:t>
      </w:r>
    </w:p>
    <w:p>
      <w:pPr>
        <w:numPr>
          <w:ilvl w:val="0"/>
          <w:numId w:val="1005"/>
        </w:numPr>
        <w:pStyle w:val="Compact"/>
      </w:pPr>
      <w:r>
        <w:t xml:space="preserve">confirme configuración del instrumento y software;</w:t>
      </w:r>
    </w:p>
    <w:p>
      <w:pPr>
        <w:numPr>
          <w:ilvl w:val="0"/>
          <w:numId w:val="1005"/>
        </w:numPr>
        <w:pStyle w:val="Compact"/>
      </w:pPr>
      <w:r>
        <w:t xml:space="preserve">no suponga que un archivo CAD/GIS usa las unidades esperadas;</w:t>
      </w:r>
    </w:p>
    <w:p>
      <w:pPr>
        <w:numPr>
          <w:ilvl w:val="0"/>
          <w:numId w:val="1005"/>
        </w:numPr>
        <w:pStyle w:val="Compact"/>
      </w:pPr>
      <w:r>
        <w:t xml:space="preserve">documente las conversiones;</w:t>
      </w:r>
    </w:p>
    <w:p>
      <w:pPr>
        <w:numPr>
          <w:ilvl w:val="0"/>
          <w:numId w:val="1005"/>
        </w:numPr>
        <w:pStyle w:val="Compact"/>
      </w:pPr>
      <w:r>
        <w:t xml:space="preserve">verifique de manera independiente los factores de conversión;</w:t>
      </w:r>
    </w:p>
    <w:p>
      <w:pPr>
        <w:numPr>
          <w:ilvl w:val="0"/>
          <w:numId w:val="1005"/>
        </w:numPr>
        <w:pStyle w:val="Compact"/>
      </w:pPr>
      <w:r>
        <w:t xml:space="preserve">no mezcle valores de grilla, terreno o coordenadas locales sin comprender el método del proyecto.</w:t>
      </w:r>
    </w:p>
    <w:p>
      <w:pPr>
        <w:pStyle w:val="FirstParagraph"/>
      </w:pPr>
      <w:r>
        <w:t xml:space="preserve">Un error de unidades puede causar consecuencias importantes en construcción o delimitación.</w:t>
      </w:r>
    </w:p>
    <w:bookmarkEnd w:id="26"/>
    <w:bookmarkStart w:id="27" w:name="puntos-de-control-y-benchmarks"/>
    <w:p>
      <w:pPr>
        <w:pStyle w:val="Heading2"/>
      </w:pPr>
      <w:r>
        <w:t xml:space="preserve">Puntos de control y benchmarks</w:t>
      </w:r>
    </w:p>
    <w:p>
      <w:pPr>
        <w:pStyle w:val="FirstParagraph"/>
      </w:pPr>
      <w:r>
        <w:t xml:space="preserve">El control establece el marco de referencia de las mediciones.</w:t>
      </w:r>
    </w:p>
    <w:p>
      <w:pPr>
        <w:pStyle w:val="BodyText"/>
      </w:pPr>
      <w:r>
        <w:t xml:space="preserve">Antes de usar un punto de control:</w:t>
      </w:r>
    </w:p>
    <w:p>
      <w:pPr>
        <w:numPr>
          <w:ilvl w:val="0"/>
          <w:numId w:val="1006"/>
        </w:numPr>
        <w:pStyle w:val="Compact"/>
      </w:pPr>
      <w:r>
        <w:t xml:space="preserve">verifique la identificación;</w:t>
      </w:r>
    </w:p>
    <w:p>
      <w:pPr>
        <w:numPr>
          <w:ilvl w:val="0"/>
          <w:numId w:val="1006"/>
        </w:numPr>
        <w:pStyle w:val="Compact"/>
      </w:pPr>
      <w:r>
        <w:t xml:space="preserve">confirme la fuente de coordenada/elevación;</w:t>
      </w:r>
    </w:p>
    <w:p>
      <w:pPr>
        <w:numPr>
          <w:ilvl w:val="0"/>
          <w:numId w:val="1006"/>
        </w:numPr>
        <w:pStyle w:val="Compact"/>
      </w:pPr>
      <w:r>
        <w:t xml:space="preserve">confirme datum/marco de referencia cuando corresponda;</w:t>
      </w:r>
    </w:p>
    <w:p>
      <w:pPr>
        <w:numPr>
          <w:ilvl w:val="0"/>
          <w:numId w:val="1006"/>
        </w:numPr>
        <w:pStyle w:val="Compact"/>
      </w:pPr>
      <w:r>
        <w:t xml:space="preserve">revise si el monumento o marca parece alterado;</w:t>
      </w:r>
    </w:p>
    <w:p>
      <w:pPr>
        <w:numPr>
          <w:ilvl w:val="0"/>
          <w:numId w:val="1006"/>
        </w:numPr>
        <w:pStyle w:val="Compact"/>
      </w:pPr>
      <w:r>
        <w:t xml:space="preserve">siga los procedimientos del proyecto para verificaciones independientes;</w:t>
      </w:r>
    </w:p>
    <w:p>
      <w:pPr>
        <w:numPr>
          <w:ilvl w:val="0"/>
          <w:numId w:val="1006"/>
        </w:numPr>
        <w:pStyle w:val="Compact"/>
      </w:pPr>
      <w:r>
        <w:t xml:space="preserve">registre instalación y observaciones;</w:t>
      </w:r>
    </w:p>
    <w:p>
      <w:pPr>
        <w:numPr>
          <w:ilvl w:val="0"/>
          <w:numId w:val="1006"/>
        </w:numPr>
        <w:pStyle w:val="Compact"/>
      </w:pPr>
      <w:r>
        <w:t xml:space="preserve">escale discrepancias en lugar de escoger silenciosamente un valor.</w:t>
      </w:r>
    </w:p>
    <w:p>
      <w:pPr>
        <w:pStyle w:val="FirstParagraph"/>
      </w:pPr>
      <w:r>
        <w:t xml:space="preserve">Nunca fabrique ni “corrija” un punto de control autoritativo porque otra medición parezca más conveniente.</w:t>
      </w:r>
    </w:p>
    <w:bookmarkEnd w:id="27"/>
    <w:bookmarkStart w:id="28" w:name="estaciones-totales"/>
    <w:p>
      <w:pPr>
        <w:pStyle w:val="Heading2"/>
      </w:pPr>
      <w:r>
        <w:t xml:space="preserve">Estaciones totales</w:t>
      </w:r>
    </w:p>
    <w:p>
      <w:pPr>
        <w:pStyle w:val="FirstParagraph"/>
      </w:pPr>
      <w:r>
        <w:t xml:space="preserve">Una estación total combina medición angular con medición electrónica de distancia y puede calcular/almacenar coordenadas.</w:t>
      </w:r>
    </w:p>
    <w:p>
      <w:pPr>
        <w:pStyle w:val="BodyText"/>
      </w:pPr>
      <w:r>
        <w:t xml:space="preserve">Un montaje controlado puede incluir:</w:t>
      </w:r>
    </w:p>
    <w:p>
      <w:pPr>
        <w:numPr>
          <w:ilvl w:val="0"/>
          <w:numId w:val="1007"/>
        </w:numPr>
        <w:pStyle w:val="Compact"/>
      </w:pPr>
      <w:r>
        <w:t xml:space="preserve">inspeccionar instrumento, trípode, tribrach, prisma/objetivo y baterías;</w:t>
      </w:r>
    </w:p>
    <w:p>
      <w:pPr>
        <w:numPr>
          <w:ilvl w:val="0"/>
          <w:numId w:val="1007"/>
        </w:numPr>
        <w:pStyle w:val="Compact"/>
      </w:pPr>
      <w:r>
        <w:t xml:space="preserve">identificar el punto ocupado correcto y la referencia/backsight;</w:t>
      </w:r>
    </w:p>
    <w:p>
      <w:pPr>
        <w:numPr>
          <w:ilvl w:val="0"/>
          <w:numId w:val="1007"/>
        </w:numPr>
        <w:pStyle w:val="Compact"/>
      </w:pPr>
      <w:r>
        <w:t xml:space="preserve">centrar y nivelar el instrumento;</w:t>
      </w:r>
    </w:p>
    <w:p>
      <w:pPr>
        <w:numPr>
          <w:ilvl w:val="0"/>
          <w:numId w:val="1007"/>
        </w:numPr>
        <w:pStyle w:val="Compact"/>
      </w:pPr>
      <w:r>
        <w:t xml:space="preserve">ingresar/verificar unidades, constantes, coordenadas y condiciones atmosféricas cuando se requiera;</w:t>
      </w:r>
    </w:p>
    <w:p>
      <w:pPr>
        <w:numPr>
          <w:ilvl w:val="0"/>
          <w:numId w:val="1007"/>
        </w:numPr>
        <w:pStyle w:val="Compact"/>
      </w:pPr>
      <w:r>
        <w:t xml:space="preserve">orientar el instrumento con el procedimiento aprobado;</w:t>
      </w:r>
    </w:p>
    <w:p>
      <w:pPr>
        <w:numPr>
          <w:ilvl w:val="0"/>
          <w:numId w:val="1007"/>
        </w:numPr>
        <w:pStyle w:val="Compact"/>
      </w:pPr>
      <w:r>
        <w:t xml:space="preserve">realizar observaciones de control;</w:t>
      </w:r>
    </w:p>
    <w:p>
      <w:pPr>
        <w:numPr>
          <w:ilvl w:val="0"/>
          <w:numId w:val="1007"/>
        </w:numPr>
        <w:pStyle w:val="Compact"/>
      </w:pPr>
      <w:r>
        <w:t xml:space="preserve">recolectar puntos con códigos/descripciones requeridos;</w:t>
      </w:r>
    </w:p>
    <w:p>
      <w:pPr>
        <w:numPr>
          <w:ilvl w:val="0"/>
          <w:numId w:val="1007"/>
        </w:numPr>
        <w:pStyle w:val="Compact"/>
      </w:pPr>
      <w:r>
        <w:t xml:space="preserve">revisar mediciones inesperadas antes de desmontar;</w:t>
      </w:r>
    </w:p>
    <w:p>
      <w:pPr>
        <w:numPr>
          <w:ilvl w:val="0"/>
          <w:numId w:val="1007"/>
        </w:numPr>
        <w:pStyle w:val="Compact"/>
      </w:pPr>
      <w:r>
        <w:t xml:space="preserve">preservar observaciones crudas y notas de campo;</w:t>
      </w:r>
    </w:p>
    <w:p>
      <w:pPr>
        <w:numPr>
          <w:ilvl w:val="0"/>
          <w:numId w:val="1007"/>
        </w:numPr>
        <w:pStyle w:val="Compact"/>
      </w:pPr>
      <w:r>
        <w:t xml:space="preserve">transferir datos con controles aprobados de almacenamiento y nombres.</w:t>
      </w:r>
    </w:p>
    <w:p>
      <w:pPr>
        <w:pStyle w:val="FirstParagraph"/>
      </w:pPr>
      <w:r>
        <w:t xml:space="preserve">El software del equipo puede automatizar cálculos, pero no sabe si usted ocupó el punto equivocado o ingresó una constante de prisma incorrecta.</w:t>
      </w:r>
    </w:p>
    <w:bookmarkEnd w:id="28"/>
    <w:bookmarkStart w:id="29" w:name="niveles-y-trabajo-de-elevación"/>
    <w:p>
      <w:pPr>
        <w:pStyle w:val="Heading2"/>
      </w:pPr>
      <w:r>
        <w:t xml:space="preserve">Niveles y trabajo de elevación</w:t>
      </w:r>
    </w:p>
    <w:p>
      <w:pPr>
        <w:pStyle w:val="FirstParagraph"/>
      </w:pPr>
      <w:r>
        <w:t xml:space="preserve">Niveles ópticos, digitales o láser pueden utilizarse para transferir elevaciones y controlar construcción según el proyecto.</w:t>
      </w:r>
    </w:p>
    <w:p>
      <w:pPr>
        <w:pStyle w:val="BodyText"/>
      </w:pPr>
      <w:r>
        <w:t xml:space="preserve">Controles clave:</w:t>
      </w:r>
    </w:p>
    <w:p>
      <w:pPr>
        <w:numPr>
          <w:ilvl w:val="0"/>
          <w:numId w:val="1008"/>
        </w:numPr>
        <w:pStyle w:val="Compact"/>
      </w:pPr>
      <w:r>
        <w:t xml:space="preserve">montaje estable;</w:t>
      </w:r>
    </w:p>
    <w:p>
      <w:pPr>
        <w:numPr>
          <w:ilvl w:val="0"/>
          <w:numId w:val="1008"/>
        </w:numPr>
        <w:pStyle w:val="Compact"/>
      </w:pPr>
      <w:r>
        <w:t xml:space="preserve">líneas de visión claras;</w:t>
      </w:r>
    </w:p>
    <w:p>
      <w:pPr>
        <w:numPr>
          <w:ilvl w:val="0"/>
          <w:numId w:val="1008"/>
        </w:numPr>
        <w:pStyle w:val="Compact"/>
      </w:pPr>
      <w:r>
        <w:t xml:space="preserve">mira correctamente sostenida/verificada;</w:t>
      </w:r>
    </w:p>
    <w:p>
      <w:pPr>
        <w:numPr>
          <w:ilvl w:val="0"/>
          <w:numId w:val="1008"/>
        </w:numPr>
        <w:pStyle w:val="Compact"/>
      </w:pPr>
      <w:r>
        <w:t xml:space="preserve">benchmark conocido;</w:t>
      </w:r>
    </w:p>
    <w:p>
      <w:pPr>
        <w:numPr>
          <w:ilvl w:val="0"/>
          <w:numId w:val="1008"/>
        </w:numPr>
        <w:pStyle w:val="Compact"/>
      </w:pPr>
      <w:r>
        <w:t xml:space="preserve">distancias de visual balanceadas cuando el procedimiento lo exija;</w:t>
      </w:r>
    </w:p>
    <w:p>
      <w:pPr>
        <w:numPr>
          <w:ilvl w:val="0"/>
          <w:numId w:val="1008"/>
        </w:numPr>
        <w:pStyle w:val="Compact"/>
      </w:pPr>
      <w:r>
        <w:t xml:space="preserve">secuencia correcta de lecturas;</w:t>
      </w:r>
    </w:p>
    <w:p>
      <w:pPr>
        <w:numPr>
          <w:ilvl w:val="0"/>
          <w:numId w:val="1008"/>
        </w:numPr>
        <w:pStyle w:val="Compact"/>
      </w:pPr>
      <w:r>
        <w:t xml:space="preserve">comprobaciones aritméticas;</w:t>
      </w:r>
    </w:p>
    <w:p>
      <w:pPr>
        <w:numPr>
          <w:ilvl w:val="0"/>
          <w:numId w:val="1008"/>
        </w:numPr>
        <w:pStyle w:val="Compact"/>
      </w:pPr>
      <w:r>
        <w:t xml:space="preserve">cierre;</w:t>
      </w:r>
    </w:p>
    <w:p>
      <w:pPr>
        <w:numPr>
          <w:ilvl w:val="0"/>
          <w:numId w:val="1008"/>
        </w:numPr>
        <w:pStyle w:val="Compact"/>
      </w:pPr>
      <w:r>
        <w:t xml:space="preserve">documentación de puntos de cambio;</w:t>
      </w:r>
    </w:p>
    <w:p>
      <w:pPr>
        <w:numPr>
          <w:ilvl w:val="0"/>
          <w:numId w:val="1008"/>
        </w:numPr>
        <w:pStyle w:val="Compact"/>
      </w:pPr>
      <w:r>
        <w:t xml:space="preserve">protección frente a puntos alterados.</w:t>
      </w:r>
    </w:p>
    <w:p>
      <w:pPr>
        <w:pStyle w:val="FirstParagraph"/>
      </w:pPr>
      <w:r>
        <w:t xml:space="preserve">No reporte una precisión de elevación superior a la que pueden sustentar el método, el equipo y la red de control.</w:t>
      </w:r>
    </w:p>
    <w:bookmarkEnd w:id="29"/>
    <w:bookmarkStart w:id="30" w:name="gnssgps"/>
    <w:p>
      <w:pPr>
        <w:pStyle w:val="Heading2"/>
      </w:pPr>
      <w:r>
        <w:t xml:space="preserve">GNSS/GPS</w:t>
      </w:r>
    </w:p>
    <w:p>
      <w:pPr>
        <w:pStyle w:val="FirstParagraph"/>
      </w:pPr>
      <w:r>
        <w:t xml:space="preserve">GNSS permite posicionamiento potente, pero una coordenada no es automáticamente de grado topográfico.</w:t>
      </w:r>
    </w:p>
    <w:p>
      <w:pPr>
        <w:pStyle w:val="BodyText"/>
      </w:pPr>
      <w:r>
        <w:t xml:space="preserve">La calidad puede verse afectada por:</w:t>
      </w:r>
    </w:p>
    <w:p>
      <w:pPr>
        <w:numPr>
          <w:ilvl w:val="0"/>
          <w:numId w:val="1009"/>
        </w:numPr>
        <w:pStyle w:val="Compact"/>
      </w:pPr>
      <w:r>
        <w:t xml:space="preserve">geometría satelital;</w:t>
      </w:r>
    </w:p>
    <w:p>
      <w:pPr>
        <w:numPr>
          <w:ilvl w:val="0"/>
          <w:numId w:val="1009"/>
        </w:numPr>
        <w:pStyle w:val="Compact"/>
      </w:pPr>
      <w:r>
        <w:t xml:space="preserve">obstrucciones;</w:t>
      </w:r>
    </w:p>
    <w:p>
      <w:pPr>
        <w:numPr>
          <w:ilvl w:val="0"/>
          <w:numId w:val="1009"/>
        </w:numPr>
        <w:pStyle w:val="Compact"/>
      </w:pPr>
      <w:r>
        <w:t xml:space="preserve">multipath;</w:t>
      </w:r>
    </w:p>
    <w:p>
      <w:pPr>
        <w:numPr>
          <w:ilvl w:val="0"/>
          <w:numId w:val="1009"/>
        </w:numPr>
        <w:pStyle w:val="Compact"/>
      </w:pPr>
      <w:r>
        <w:t xml:space="preserve">fuente de corrección;</w:t>
      </w:r>
    </w:p>
    <w:p>
      <w:pPr>
        <w:numPr>
          <w:ilvl w:val="0"/>
          <w:numId w:val="1009"/>
        </w:numPr>
        <w:pStyle w:val="Compact"/>
      </w:pPr>
      <w:r>
        <w:t xml:space="preserve">altura de antena;</w:t>
      </w:r>
    </w:p>
    <w:p>
      <w:pPr>
        <w:numPr>
          <w:ilvl w:val="0"/>
          <w:numId w:val="1009"/>
        </w:numPr>
        <w:pStyle w:val="Compact"/>
      </w:pPr>
      <w:r>
        <w:t xml:space="preserve">configuración base/rover;</w:t>
      </w:r>
    </w:p>
    <w:p>
      <w:pPr>
        <w:numPr>
          <w:ilvl w:val="0"/>
          <w:numId w:val="1009"/>
        </w:numPr>
        <w:pStyle w:val="Compact"/>
      </w:pPr>
      <w:r>
        <w:t xml:space="preserve">disponibilidad de red/servicio;</w:t>
      </w:r>
    </w:p>
    <w:p>
      <w:pPr>
        <w:numPr>
          <w:ilvl w:val="0"/>
          <w:numId w:val="1009"/>
        </w:numPr>
        <w:pStyle w:val="Compact"/>
      </w:pPr>
      <w:r>
        <w:t xml:space="preserve">datum/marco de referencia;</w:t>
      </w:r>
    </w:p>
    <w:p>
      <w:pPr>
        <w:numPr>
          <w:ilvl w:val="0"/>
          <w:numId w:val="1009"/>
        </w:numPr>
        <w:pStyle w:val="Compact"/>
      </w:pPr>
      <w:r>
        <w:t xml:space="preserve">parámetros de transformación;</w:t>
      </w:r>
    </w:p>
    <w:p>
      <w:pPr>
        <w:numPr>
          <w:ilvl w:val="0"/>
          <w:numId w:val="1009"/>
        </w:numPr>
        <w:pStyle w:val="Compact"/>
      </w:pPr>
      <w:r>
        <w:t xml:space="preserve">duración de observación;</w:t>
      </w:r>
    </w:p>
    <w:p>
      <w:pPr>
        <w:numPr>
          <w:ilvl w:val="0"/>
          <w:numId w:val="1009"/>
        </w:numPr>
        <w:pStyle w:val="Compact"/>
      </w:pPr>
      <w:r>
        <w:t xml:space="preserve">configuración del equipo;</w:t>
      </w:r>
    </w:p>
    <w:p>
      <w:pPr>
        <w:numPr>
          <w:ilvl w:val="0"/>
          <w:numId w:val="1009"/>
        </w:numPr>
        <w:pStyle w:val="Compact"/>
      </w:pPr>
      <w:r>
        <w:t xml:space="preserve">condiciones ambientales.</w:t>
      </w:r>
    </w:p>
    <w:p>
      <w:pPr>
        <w:pStyle w:val="FirstParagraph"/>
      </w:pPr>
      <w:r>
        <w:t xml:space="preserve">Registre el método y los indicadores de calidad exigidos. No trate una ubicación de teléfono, una posición autónoma o un RTK no verificado como equivalente a control profesional validado.</w:t>
      </w:r>
    </w:p>
    <w:bookmarkEnd w:id="30"/>
    <w:bookmarkStart w:id="31" w:name="sistemas-de-referencia-de-coordenadas"/>
    <w:p>
      <w:pPr>
        <w:pStyle w:val="Heading2"/>
      </w:pPr>
      <w:r>
        <w:t xml:space="preserve">Sistemas de referencia de coordenadas</w:t>
      </w:r>
    </w:p>
    <w:p>
      <w:pPr>
        <w:pStyle w:val="FirstParagraph"/>
      </w:pPr>
      <w:r>
        <w:t xml:space="preserve">Los datos topográficos y cartográficos pueden quedar inutilizables cuando falta o es incorrecta la metadata del sistema de coordenadas.</w:t>
      </w:r>
    </w:p>
    <w:p>
      <w:pPr>
        <w:pStyle w:val="BodyText"/>
      </w:pPr>
      <w:r>
        <w:t xml:space="preserve">Distinga:</w:t>
      </w:r>
    </w:p>
    <w:p>
      <w:pPr>
        <w:numPr>
          <w:ilvl w:val="0"/>
          <w:numId w:val="1010"/>
        </w:numPr>
        <w:pStyle w:val="Compact"/>
      </w:pPr>
      <w:r>
        <w:t xml:space="preserve">coordenadas geográficas como latitud/longitud;</w:t>
      </w:r>
    </w:p>
    <w:p>
      <w:pPr>
        <w:numPr>
          <w:ilvl w:val="0"/>
          <w:numId w:val="1010"/>
        </w:numPr>
        <w:pStyle w:val="Compact"/>
      </w:pPr>
      <w:r>
        <w:t xml:space="preserve">coordenadas proyectadas;</w:t>
      </w:r>
    </w:p>
    <w:p>
      <w:pPr>
        <w:numPr>
          <w:ilvl w:val="0"/>
          <w:numId w:val="1010"/>
        </w:numPr>
        <w:pStyle w:val="Compact"/>
      </w:pPr>
      <w:r>
        <w:t xml:space="preserve">datum/marco de referencia;</w:t>
      </w:r>
    </w:p>
    <w:p>
      <w:pPr>
        <w:numPr>
          <w:ilvl w:val="0"/>
          <w:numId w:val="1010"/>
        </w:numPr>
        <w:pStyle w:val="Compact"/>
      </w:pPr>
      <w:r>
        <w:t xml:space="preserve">proyección;</w:t>
      </w:r>
    </w:p>
    <w:p>
      <w:pPr>
        <w:numPr>
          <w:ilvl w:val="0"/>
          <w:numId w:val="1010"/>
        </w:numPr>
        <w:pStyle w:val="Compact"/>
      </w:pPr>
      <w:r>
        <w:t xml:space="preserve">zona de grilla;</w:t>
      </w:r>
    </w:p>
    <w:p>
      <w:pPr>
        <w:numPr>
          <w:ilvl w:val="0"/>
          <w:numId w:val="1010"/>
        </w:numPr>
        <w:pStyle w:val="Compact"/>
      </w:pPr>
      <w:r>
        <w:t xml:space="preserve">datum vertical/referencia de elevación;</w:t>
      </w:r>
    </w:p>
    <w:p>
      <w:pPr>
        <w:numPr>
          <w:ilvl w:val="0"/>
          <w:numId w:val="1010"/>
        </w:numPr>
        <w:pStyle w:val="Compact"/>
      </w:pPr>
      <w:r>
        <w:t xml:space="preserve">sistema local/de proyecto;</w:t>
      </w:r>
    </w:p>
    <w:p>
      <w:pPr>
        <w:numPr>
          <w:ilvl w:val="0"/>
          <w:numId w:val="1010"/>
        </w:numPr>
        <w:pStyle w:val="Compact"/>
      </w:pPr>
      <w:r>
        <w:t xml:space="preserve">transformación/reproyección.</w:t>
      </w:r>
    </w:p>
    <w:p>
      <w:pPr>
        <w:pStyle w:val="FirstParagraph"/>
      </w:pPr>
      <w:r>
        <w:t xml:space="preserve">Dos datasets pueden contener números razonables y ser incompatibles.</w:t>
      </w:r>
    </w:p>
    <w:p>
      <w:pPr>
        <w:pStyle w:val="BodyText"/>
      </w:pPr>
      <w:r>
        <w:t xml:space="preserve">Antes de combinar o comparar, verifique referencia de coordenadas, unidades, época/fecha cuando sea relevante, método de transformación y especificaciones del proyecto.</w:t>
      </w:r>
    </w:p>
    <w:bookmarkEnd w:id="31"/>
    <w:bookmarkStart w:id="32" w:name="poligonales-y-cierre"/>
    <w:p>
      <w:pPr>
        <w:pStyle w:val="Heading2"/>
      </w:pPr>
      <w:r>
        <w:t xml:space="preserve">Poligonales y cierre</w:t>
      </w:r>
    </w:p>
    <w:p>
      <w:pPr>
        <w:pStyle w:val="FirstParagraph"/>
      </w:pPr>
      <w:r>
        <w:t xml:space="preserve">Las poligonales conectan una secuencia de líneas y ángulos medidos.</w:t>
      </w:r>
    </w:p>
    <w:p>
      <w:pPr>
        <w:pStyle w:val="BodyText"/>
      </w:pPr>
      <w:r>
        <w:t xml:space="preserve">Comprenda conceptualmente:</w:t>
      </w:r>
    </w:p>
    <w:p>
      <w:pPr>
        <w:numPr>
          <w:ilvl w:val="0"/>
          <w:numId w:val="1011"/>
        </w:numPr>
        <w:pStyle w:val="Compact"/>
      </w:pPr>
      <w:r>
        <w:t xml:space="preserve">poligonal abierta versus cerrada;</w:t>
      </w:r>
    </w:p>
    <w:p>
      <w:pPr>
        <w:numPr>
          <w:ilvl w:val="0"/>
          <w:numId w:val="1011"/>
        </w:numPr>
        <w:pStyle w:val="Compact"/>
      </w:pPr>
      <w:r>
        <w:t xml:space="preserve">cierre angular;</w:t>
      </w:r>
    </w:p>
    <w:p>
      <w:pPr>
        <w:numPr>
          <w:ilvl w:val="0"/>
          <w:numId w:val="1011"/>
        </w:numPr>
        <w:pStyle w:val="Compact"/>
      </w:pPr>
      <w:r>
        <w:t xml:space="preserve">cierre lineal/de coordenadas;</w:t>
      </w:r>
    </w:p>
    <w:p>
      <w:pPr>
        <w:numPr>
          <w:ilvl w:val="0"/>
          <w:numId w:val="1011"/>
        </w:numPr>
        <w:pStyle w:val="Compact"/>
      </w:pPr>
      <w:r>
        <w:t xml:space="preserve">error de cierre;</w:t>
      </w:r>
    </w:p>
    <w:p>
      <w:pPr>
        <w:numPr>
          <w:ilvl w:val="0"/>
          <w:numId w:val="1011"/>
        </w:numPr>
        <w:pStyle w:val="Compact"/>
      </w:pPr>
      <w:r>
        <w:t xml:space="preserve">métodos de ajuste al nivel exigido por el empleador;</w:t>
      </w:r>
    </w:p>
    <w:p>
      <w:pPr>
        <w:numPr>
          <w:ilvl w:val="0"/>
          <w:numId w:val="1011"/>
        </w:numPr>
        <w:pStyle w:val="Compact"/>
      </w:pPr>
      <w:r>
        <w:t xml:space="preserve">verificaciones independientes;</w:t>
      </w:r>
    </w:p>
    <w:p>
      <w:pPr>
        <w:numPr>
          <w:ilvl w:val="0"/>
          <w:numId w:val="1011"/>
        </w:numPr>
        <w:pStyle w:val="Compact"/>
      </w:pPr>
      <w:r>
        <w:t xml:space="preserve">por qué una poligonal ajustada matemáticamente puede seguir siendo incorrecta si el control o las observaciones son erróneos.</w:t>
      </w:r>
    </w:p>
    <w:p>
      <w:pPr>
        <w:pStyle w:val="FirstParagraph"/>
      </w:pPr>
      <w:r>
        <w:t xml:space="preserve">Nunca esconda un cierre deficiente distribuyendo el error sin documentar la discrepancia y seguir los criterios de aceptación del proyecto.</w:t>
      </w:r>
    </w:p>
    <w:bookmarkEnd w:id="32"/>
    <w:bookmarkStart w:id="33" w:name="replanteo-y-localización-de-construcción"/>
    <w:p>
      <w:pPr>
        <w:pStyle w:val="Heading2"/>
      </w:pPr>
      <w:r>
        <w:t xml:space="preserve">Replanteo y localización de construcción</w:t>
      </w:r>
    </w:p>
    <w:p>
      <w:pPr>
        <w:pStyle w:val="FirstParagraph"/>
      </w:pPr>
      <w:r>
        <w:t xml:space="preserve">El replanteo convierte información de diseño en posiciones de campo.</w:t>
      </w:r>
    </w:p>
    <w:p>
      <w:pPr>
        <w:pStyle w:val="BodyText"/>
      </w:pPr>
      <w:r>
        <w:t xml:space="preserve">Antes de replantear:</w:t>
      </w:r>
    </w:p>
    <w:p>
      <w:pPr>
        <w:numPr>
          <w:ilvl w:val="0"/>
          <w:numId w:val="1012"/>
        </w:numPr>
        <w:pStyle w:val="Compact"/>
      </w:pPr>
      <w:r>
        <w:t xml:space="preserve">confirme el plano/modelo aprobado vigente;</w:t>
      </w:r>
    </w:p>
    <w:p>
      <w:pPr>
        <w:numPr>
          <w:ilvl w:val="0"/>
          <w:numId w:val="1012"/>
        </w:numPr>
        <w:pStyle w:val="Compact"/>
      </w:pPr>
      <w:r>
        <w:t xml:space="preserve">verifique número y fecha de revisión;</w:t>
      </w:r>
    </w:p>
    <w:p>
      <w:pPr>
        <w:numPr>
          <w:ilvl w:val="0"/>
          <w:numId w:val="1012"/>
        </w:numPr>
        <w:pStyle w:val="Compact"/>
      </w:pPr>
      <w:r>
        <w:t xml:space="preserve">confirme control de coordenadas y elevación;</w:t>
      </w:r>
    </w:p>
    <w:p>
      <w:pPr>
        <w:numPr>
          <w:ilvl w:val="0"/>
          <w:numId w:val="1012"/>
        </w:numPr>
        <w:pStyle w:val="Compact"/>
      </w:pPr>
      <w:r>
        <w:t xml:space="preserve">entienda offsets y tolerancias;</w:t>
      </w:r>
    </w:p>
    <w:p>
      <w:pPr>
        <w:numPr>
          <w:ilvl w:val="0"/>
          <w:numId w:val="1012"/>
        </w:numPr>
        <w:pStyle w:val="Compact"/>
      </w:pPr>
      <w:r>
        <w:t xml:space="preserve">identifique conflictos o dimensiones ambiguas;</w:t>
      </w:r>
    </w:p>
    <w:p>
      <w:pPr>
        <w:numPr>
          <w:ilvl w:val="0"/>
          <w:numId w:val="1012"/>
        </w:numPr>
        <w:pStyle w:val="Compact"/>
      </w:pPr>
      <w:r>
        <w:t xml:space="preserve">use verificaciones independientes;</w:t>
      </w:r>
    </w:p>
    <w:p>
      <w:pPr>
        <w:numPr>
          <w:ilvl w:val="0"/>
          <w:numId w:val="1012"/>
        </w:numPr>
        <w:pStyle w:val="Compact"/>
      </w:pPr>
      <w:r>
        <w:t xml:space="preserve">etiquete/registre puntos de manera consistente;</w:t>
      </w:r>
    </w:p>
    <w:p>
      <w:pPr>
        <w:numPr>
          <w:ilvl w:val="0"/>
          <w:numId w:val="1012"/>
        </w:numPr>
        <w:pStyle w:val="Compact"/>
      </w:pPr>
      <w:r>
        <w:t xml:space="preserve">documente qué se estableció y a partir de qué fuente de diseño;</w:t>
      </w:r>
    </w:p>
    <w:p>
      <w:pPr>
        <w:numPr>
          <w:ilvl w:val="0"/>
          <w:numId w:val="1012"/>
        </w:numPr>
        <w:pStyle w:val="Compact"/>
      </w:pPr>
      <w:r>
        <w:t xml:space="preserve">escale discrepancias antes de que avance la construcción.</w:t>
      </w:r>
    </w:p>
    <w:p>
      <w:pPr>
        <w:pStyle w:val="FirstParagraph"/>
      </w:pPr>
      <w:r>
        <w:t xml:space="preserve">Una estaca técnicamente exacta basada en un plano obsoleto sigue siendo incorrecta.</w:t>
      </w:r>
    </w:p>
    <w:bookmarkEnd w:id="33"/>
    <w:bookmarkStart w:id="34" w:name="notas-de-campo-y-linaje-de-datos"/>
    <w:p>
      <w:pPr>
        <w:pStyle w:val="Heading2"/>
      </w:pPr>
      <w:r>
        <w:t xml:space="preserve">Notas de campo y linaje de datos</w:t>
      </w:r>
    </w:p>
    <w:p>
      <w:pPr>
        <w:pStyle w:val="FirstParagraph"/>
      </w:pPr>
      <w:r>
        <w:t xml:space="preserve">Un registro defendible debe permitir que otra persona calificada comprenda qué ocurrió.</w:t>
      </w:r>
    </w:p>
    <w:p>
      <w:pPr>
        <w:pStyle w:val="BodyText"/>
      </w:pPr>
      <w:r>
        <w:t xml:space="preserve">Según el proyecto, registre:</w:t>
      </w:r>
    </w:p>
    <w:p>
      <w:pPr>
        <w:numPr>
          <w:ilvl w:val="0"/>
          <w:numId w:val="1013"/>
        </w:numPr>
        <w:pStyle w:val="Compact"/>
      </w:pPr>
      <w:r>
        <w:t xml:space="preserve">fecha/hora;</w:t>
      </w:r>
    </w:p>
    <w:p>
      <w:pPr>
        <w:numPr>
          <w:ilvl w:val="0"/>
          <w:numId w:val="1013"/>
        </w:numPr>
        <w:pStyle w:val="Compact"/>
      </w:pPr>
      <w:r>
        <w:t xml:space="preserve">proyecto/sitio;</w:t>
      </w:r>
    </w:p>
    <w:p>
      <w:pPr>
        <w:numPr>
          <w:ilvl w:val="0"/>
          <w:numId w:val="1013"/>
        </w:numPr>
        <w:pStyle w:val="Compact"/>
      </w:pPr>
      <w:r>
        <w:t xml:space="preserve">cuadrilla;</w:t>
      </w:r>
    </w:p>
    <w:p>
      <w:pPr>
        <w:numPr>
          <w:ilvl w:val="0"/>
          <w:numId w:val="1013"/>
        </w:numPr>
        <w:pStyle w:val="Compact"/>
      </w:pPr>
      <w:r>
        <w:t xml:space="preserve">clima/condiciones cuando sea relevante;</w:t>
      </w:r>
    </w:p>
    <w:p>
      <w:pPr>
        <w:numPr>
          <w:ilvl w:val="0"/>
          <w:numId w:val="1013"/>
        </w:numPr>
        <w:pStyle w:val="Compact"/>
      </w:pPr>
      <w:r>
        <w:t xml:space="preserve">identificadores de equipo;</w:t>
      </w:r>
    </w:p>
    <w:p>
      <w:pPr>
        <w:numPr>
          <w:ilvl w:val="0"/>
          <w:numId w:val="1013"/>
        </w:numPr>
        <w:pStyle w:val="Compact"/>
      </w:pPr>
      <w:r>
        <w:t xml:space="preserve">puntos de montaje/control;</w:t>
      </w:r>
    </w:p>
    <w:p>
      <w:pPr>
        <w:numPr>
          <w:ilvl w:val="0"/>
          <w:numId w:val="1013"/>
        </w:numPr>
        <w:pStyle w:val="Compact"/>
      </w:pPr>
      <w:r>
        <w:t xml:space="preserve">alturas de instrumento/objetivo;</w:t>
      </w:r>
    </w:p>
    <w:p>
      <w:pPr>
        <w:numPr>
          <w:ilvl w:val="0"/>
          <w:numId w:val="1013"/>
        </w:numPr>
        <w:pStyle w:val="Compact"/>
      </w:pPr>
      <w:r>
        <w:t xml:space="preserve">estado de calibración/verificación cuando aplique;</w:t>
      </w:r>
    </w:p>
    <w:p>
      <w:pPr>
        <w:numPr>
          <w:ilvl w:val="0"/>
          <w:numId w:val="1013"/>
        </w:numPr>
        <w:pStyle w:val="Compact"/>
      </w:pPr>
      <w:r>
        <w:t xml:space="preserve">observaciones crudas;</w:t>
      </w:r>
    </w:p>
    <w:p>
      <w:pPr>
        <w:numPr>
          <w:ilvl w:val="0"/>
          <w:numId w:val="1013"/>
        </w:numPr>
        <w:pStyle w:val="Compact"/>
      </w:pPr>
      <w:r>
        <w:t xml:space="preserve">códigos/descripciones;</w:t>
      </w:r>
    </w:p>
    <w:p>
      <w:pPr>
        <w:numPr>
          <w:ilvl w:val="0"/>
          <w:numId w:val="1013"/>
        </w:numPr>
        <w:pStyle w:val="Compact"/>
      </w:pPr>
      <w:r>
        <w:t xml:space="preserve">croquis/fotos cuando estén autorizados;</w:t>
      </w:r>
    </w:p>
    <w:p>
      <w:pPr>
        <w:numPr>
          <w:ilvl w:val="0"/>
          <w:numId w:val="1013"/>
        </w:numPr>
        <w:pStyle w:val="Compact"/>
      </w:pPr>
      <w:r>
        <w:t xml:space="preserve">condiciones inusuales;</w:t>
      </w:r>
    </w:p>
    <w:p>
      <w:pPr>
        <w:numPr>
          <w:ilvl w:val="0"/>
          <w:numId w:val="1013"/>
        </w:numPr>
        <w:pStyle w:val="Compact"/>
      </w:pPr>
      <w:r>
        <w:t xml:space="preserve">correcciones/repeticiones;</w:t>
      </w:r>
    </w:p>
    <w:p>
      <w:pPr>
        <w:numPr>
          <w:ilvl w:val="0"/>
          <w:numId w:val="1013"/>
        </w:numPr>
        <w:pStyle w:val="Compact"/>
      </w:pPr>
      <w:r>
        <w:t xml:space="preserve">nombres de archivo y rutas de transferencia;</w:t>
      </w:r>
    </w:p>
    <w:p>
      <w:pPr>
        <w:numPr>
          <w:ilvl w:val="0"/>
          <w:numId w:val="1013"/>
        </w:numPr>
        <w:pStyle w:val="Compact"/>
      </w:pPr>
      <w:r>
        <w:t xml:space="preserve">quién revisó o aceptó el trabajo.</w:t>
      </w:r>
    </w:p>
    <w:p>
      <w:pPr>
        <w:pStyle w:val="FirstParagraph"/>
      </w:pPr>
      <w:r>
        <w:t xml:space="preserve">No sobrescriba observaciones crudas solamente para que los resultados parezcan más limpios.</w:t>
      </w:r>
    </w:p>
    <w:bookmarkEnd w:id="34"/>
    <w:bookmarkStart w:id="35" w:name="aseguramiento-y-control-de-calidad"/>
    <w:p>
      <w:pPr>
        <w:pStyle w:val="Heading2"/>
      </w:pPr>
      <w:r>
        <w:t xml:space="preserve">Aseguramiento y control de calidad</w:t>
      </w:r>
    </w:p>
    <w:p>
      <w:pPr>
        <w:pStyle w:val="FirstParagraph"/>
      </w:pPr>
      <w:r>
        <w:t xml:space="preserve">QA/QC puede incluir:</w:t>
      </w:r>
    </w:p>
    <w:p>
      <w:pPr>
        <w:numPr>
          <w:ilvl w:val="0"/>
          <w:numId w:val="1014"/>
        </w:numPr>
        <w:pStyle w:val="Compact"/>
      </w:pPr>
      <w:r>
        <w:t xml:space="preserve">mediciones independientes de verificación;</w:t>
      </w:r>
    </w:p>
    <w:p>
      <w:pPr>
        <w:numPr>
          <w:ilvl w:val="0"/>
          <w:numId w:val="1014"/>
        </w:numPr>
        <w:pStyle w:val="Compact"/>
      </w:pPr>
      <w:r>
        <w:t xml:space="preserve">observaciones repetidas;</w:t>
      </w:r>
    </w:p>
    <w:p>
      <w:pPr>
        <w:numPr>
          <w:ilvl w:val="0"/>
          <w:numId w:val="1014"/>
        </w:numPr>
        <w:pStyle w:val="Compact"/>
      </w:pPr>
      <w:r>
        <w:t xml:space="preserve">controles de cierre;</w:t>
      </w:r>
    </w:p>
    <w:p>
      <w:pPr>
        <w:numPr>
          <w:ilvl w:val="0"/>
          <w:numId w:val="1014"/>
        </w:numPr>
        <w:pStyle w:val="Compact"/>
      </w:pPr>
      <w:r>
        <w:t xml:space="preserve">comparación de coordenadas/elevaciones;</w:t>
      </w:r>
    </w:p>
    <w:p>
      <w:pPr>
        <w:numPr>
          <w:ilvl w:val="0"/>
          <w:numId w:val="1014"/>
        </w:numPr>
        <w:pStyle w:val="Compact"/>
      </w:pPr>
      <w:r>
        <w:t xml:space="preserve">revisión del instrumento;</w:t>
      </w:r>
    </w:p>
    <w:p>
      <w:pPr>
        <w:numPr>
          <w:ilvl w:val="0"/>
          <w:numId w:val="1014"/>
        </w:numPr>
        <w:pStyle w:val="Compact"/>
      </w:pPr>
      <w:r>
        <w:t xml:space="preserve">revisión de códigos/descripciones;</w:t>
      </w:r>
    </w:p>
    <w:p>
      <w:pPr>
        <w:numPr>
          <w:ilvl w:val="0"/>
          <w:numId w:val="1014"/>
        </w:numPr>
        <w:pStyle w:val="Compact"/>
      </w:pPr>
      <w:r>
        <w:t xml:space="preserve">detección de puntos duplicados;</w:t>
      </w:r>
    </w:p>
    <w:p>
      <w:pPr>
        <w:numPr>
          <w:ilvl w:val="0"/>
          <w:numId w:val="1014"/>
        </w:numPr>
        <w:pStyle w:val="Compact"/>
      </w:pPr>
      <w:r>
        <w:t xml:space="preserve">investigación de outliers;</w:t>
      </w:r>
    </w:p>
    <w:p>
      <w:pPr>
        <w:numPr>
          <w:ilvl w:val="0"/>
          <w:numId w:val="1014"/>
        </w:numPr>
        <w:pStyle w:val="Compact"/>
      </w:pPr>
      <w:r>
        <w:t xml:space="preserve">comparación con planos/modelos;</w:t>
      </w:r>
    </w:p>
    <w:p>
      <w:pPr>
        <w:numPr>
          <w:ilvl w:val="0"/>
          <w:numId w:val="1014"/>
        </w:numPr>
        <w:pStyle w:val="Compact"/>
      </w:pPr>
      <w:r>
        <w:t xml:space="preserve">verificación de revisiones;</w:t>
      </w:r>
    </w:p>
    <w:p>
      <w:pPr>
        <w:numPr>
          <w:ilvl w:val="0"/>
          <w:numId w:val="1014"/>
        </w:numPr>
        <w:pStyle w:val="Compact"/>
      </w:pPr>
      <w:r>
        <w:t xml:space="preserve">integridad y nomenclatura de archivos;</w:t>
      </w:r>
    </w:p>
    <w:p>
      <w:pPr>
        <w:numPr>
          <w:ilvl w:val="0"/>
          <w:numId w:val="1014"/>
        </w:numPr>
        <w:pStyle w:val="Compact"/>
      </w:pPr>
      <w:r>
        <w:t xml:space="preserve">revisión por pares;</w:t>
      </w:r>
    </w:p>
    <w:p>
      <w:pPr>
        <w:numPr>
          <w:ilvl w:val="0"/>
          <w:numId w:val="1014"/>
        </w:numPr>
        <w:pStyle w:val="Compact"/>
      </w:pPr>
      <w:r>
        <w:t xml:space="preserve">criterios documentados de aceptación.</w:t>
      </w:r>
    </w:p>
    <w:p>
      <w:pPr>
        <w:pStyle w:val="FirstParagraph"/>
      </w:pPr>
      <w:r>
        <w:t xml:space="preserve">Una advertencia del software es evidencia para investigar, no permiso para ignorar un resultado.</w:t>
      </w:r>
    </w:p>
    <w:bookmarkEnd w:id="35"/>
    <w:bookmarkStart w:id="36" w:name="cad-y-software-de-diseño-civil"/>
    <w:p>
      <w:pPr>
        <w:pStyle w:val="Heading2"/>
      </w:pPr>
      <w:r>
        <w:t xml:space="preserve">CAD y software de diseño civil</w:t>
      </w:r>
    </w:p>
    <w:p>
      <w:pPr>
        <w:pStyle w:val="FirstParagraph"/>
      </w:pPr>
      <w:r>
        <w:t xml:space="preserve">Las señales actuales de ofertas de empleo en EE. UU. incluyen:</w:t>
      </w:r>
    </w:p>
    <w:p>
      <w:pPr>
        <w:numPr>
          <w:ilvl w:val="0"/>
          <w:numId w:val="1015"/>
        </w:numPr>
        <w:pStyle w:val="Compact"/>
      </w:pPr>
      <w:r>
        <w:t xml:space="preserve">Autodesk AutoCAD Civil 3D —</w:t>
      </w:r>
      <w:r>
        <w:t xml:space="preserve"> </w:t>
      </w:r>
      <w:r>
        <w:rPr>
          <w:bCs/>
          <w:b/>
        </w:rPr>
        <w:t xml:space="preserve">23%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Autodesk AutoCAD —</w:t>
      </w:r>
      <w:r>
        <w:t xml:space="preserve"> </w:t>
      </w:r>
      <w:r>
        <w:rPr>
          <w:bCs/>
          <w:b/>
        </w:rPr>
        <w:t xml:space="preserve">20%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Bentley MicroStation —</w:t>
      </w:r>
      <w:r>
        <w:t xml:space="preserve"> </w:t>
      </w:r>
      <w:r>
        <w:rPr>
          <w:bCs/>
          <w:b/>
        </w:rPr>
        <w:t xml:space="preserve">13%</w:t>
      </w:r>
      <w:r>
        <w:t xml:space="preserve">.</w:t>
      </w:r>
    </w:p>
    <w:p>
      <w:pPr>
        <w:pStyle w:val="FirstParagraph"/>
      </w:pPr>
      <w:r>
        <w:t xml:space="preserve">El trabajo puede incluir:</w:t>
      </w:r>
    </w:p>
    <w:p>
      <w:pPr>
        <w:numPr>
          <w:ilvl w:val="0"/>
          <w:numId w:val="1016"/>
        </w:numPr>
        <w:pStyle w:val="Compact"/>
      </w:pPr>
      <w:r>
        <w:t xml:space="preserve">importar puntos;</w:t>
      </w:r>
    </w:p>
    <w:p>
      <w:pPr>
        <w:numPr>
          <w:ilvl w:val="0"/>
          <w:numId w:val="1016"/>
        </w:numPr>
        <w:pStyle w:val="Compact"/>
      </w:pPr>
      <w:r>
        <w:t xml:space="preserve">crear superficies;</w:t>
      </w:r>
    </w:p>
    <w:p>
      <w:pPr>
        <w:numPr>
          <w:ilvl w:val="0"/>
          <w:numId w:val="1016"/>
        </w:numPr>
        <w:pStyle w:val="Compact"/>
      </w:pPr>
      <w:r>
        <w:t xml:space="preserve">elaborar planos/perfiles;</w:t>
      </w:r>
    </w:p>
    <w:p>
      <w:pPr>
        <w:numPr>
          <w:ilvl w:val="0"/>
          <w:numId w:val="1016"/>
        </w:numPr>
        <w:pStyle w:val="Compact"/>
      </w:pPr>
      <w:r>
        <w:t xml:space="preserve">administrar grupos/códigos de puntos;</w:t>
      </w:r>
    </w:p>
    <w:p>
      <w:pPr>
        <w:numPr>
          <w:ilvl w:val="0"/>
          <w:numId w:val="1016"/>
        </w:numPr>
        <w:pStyle w:val="Compact"/>
      </w:pPr>
      <w:r>
        <w:t xml:space="preserve">preparar curvas de nivel;</w:t>
      </w:r>
    </w:p>
    <w:p>
      <w:pPr>
        <w:numPr>
          <w:ilvl w:val="0"/>
          <w:numId w:val="1016"/>
        </w:numPr>
        <w:pStyle w:val="Compact"/>
      </w:pPr>
      <w:r>
        <w:t xml:space="preserve">apoyar alineamientos/corredores cuando corresponda;</w:t>
      </w:r>
    </w:p>
    <w:p>
      <w:pPr>
        <w:numPr>
          <w:ilvl w:val="0"/>
          <w:numId w:val="1016"/>
        </w:numPr>
        <w:pStyle w:val="Compact"/>
      </w:pPr>
      <w:r>
        <w:t xml:space="preserve">comparar diseño versus as-built;</w:t>
      </w:r>
    </w:p>
    <w:p>
      <w:pPr>
        <w:numPr>
          <w:ilvl w:val="0"/>
          <w:numId w:val="1016"/>
        </w:numPr>
        <w:pStyle w:val="Compact"/>
      </w:pPr>
      <w:r>
        <w:t xml:space="preserve">exportar entregables.</w:t>
      </w:r>
    </w:p>
    <w:p>
      <w:pPr>
        <w:pStyle w:val="FirstParagraph"/>
      </w:pPr>
      <w:r>
        <w:t xml:space="preserve">No modifique geometría autoritativa de diseño ni valores de control fuera de su autorización solo porque el software permite editar.</w:t>
      </w:r>
    </w:p>
    <w:bookmarkEnd w:id="36"/>
    <w:bookmarkStart w:id="37" w:name="gis-y-cartografía"/>
    <w:p>
      <w:pPr>
        <w:pStyle w:val="Heading2"/>
      </w:pPr>
      <w:r>
        <w:t xml:space="preserve">GIS y cartografía</w:t>
      </w:r>
    </w:p>
    <w:p>
      <w:pPr>
        <w:pStyle w:val="FirstParagraph"/>
      </w:pPr>
      <w:r>
        <w:t xml:space="preserve">O*NET también muestra sistemas GIS y ESRI ArcGIS entre las señales tecnológicas actuales.</w:t>
      </w:r>
    </w:p>
    <w:p>
      <w:pPr>
        <w:pStyle w:val="BodyText"/>
      </w:pPr>
      <w:r>
        <w:t xml:space="preserve">El trabajo GIS puede incluir:</w:t>
      </w:r>
    </w:p>
    <w:p>
      <w:pPr>
        <w:numPr>
          <w:ilvl w:val="0"/>
          <w:numId w:val="1017"/>
        </w:numPr>
        <w:pStyle w:val="Compact"/>
      </w:pPr>
      <w:r>
        <w:t xml:space="preserve">gestión de sistemas de coordenadas;</w:t>
      </w:r>
    </w:p>
    <w:p>
      <w:pPr>
        <w:numPr>
          <w:ilvl w:val="0"/>
          <w:numId w:val="1017"/>
        </w:numPr>
        <w:pStyle w:val="Compact"/>
      </w:pPr>
      <w:r>
        <w:t xml:space="preserve">edición de capas;</w:t>
      </w:r>
    </w:p>
    <w:p>
      <w:pPr>
        <w:numPr>
          <w:ilvl w:val="0"/>
          <w:numId w:val="1017"/>
        </w:numPr>
        <w:pStyle w:val="Compact"/>
      </w:pPr>
      <w:r>
        <w:t xml:space="preserve">producción cartográfica;</w:t>
      </w:r>
    </w:p>
    <w:p>
      <w:pPr>
        <w:numPr>
          <w:ilvl w:val="0"/>
          <w:numId w:val="1017"/>
        </w:numPr>
        <w:pStyle w:val="Compact"/>
      </w:pPr>
      <w:r>
        <w:t xml:space="preserve">datos de atributos;</w:t>
      </w:r>
    </w:p>
    <w:p>
      <w:pPr>
        <w:numPr>
          <w:ilvl w:val="0"/>
          <w:numId w:val="1017"/>
        </w:numPr>
        <w:pStyle w:val="Compact"/>
      </w:pPr>
      <w:r>
        <w:t xml:space="preserve">spatial joins;</w:t>
      </w:r>
    </w:p>
    <w:p>
      <w:pPr>
        <w:numPr>
          <w:ilvl w:val="0"/>
          <w:numId w:val="1017"/>
        </w:numPr>
        <w:pStyle w:val="Compact"/>
      </w:pPr>
      <w:r>
        <w:t xml:space="preserve">control de calidad;</w:t>
      </w:r>
    </w:p>
    <w:p>
      <w:pPr>
        <w:numPr>
          <w:ilvl w:val="0"/>
          <w:numId w:val="1017"/>
        </w:numPr>
        <w:pStyle w:val="Compact"/>
      </w:pPr>
      <w:r>
        <w:t xml:space="preserve">integración de puntos topográficos con otros datasets;</w:t>
      </w:r>
    </w:p>
    <w:p>
      <w:pPr>
        <w:numPr>
          <w:ilvl w:val="0"/>
          <w:numId w:val="1017"/>
        </w:numPr>
        <w:pStyle w:val="Compact"/>
      </w:pPr>
      <w:r>
        <w:t xml:space="preserve">soporte de mapas web o bases de datos cuando corresponda.</w:t>
      </w:r>
    </w:p>
    <w:p>
      <w:pPr>
        <w:pStyle w:val="FirstParagraph"/>
      </w:pPr>
      <w:r>
        <w:t xml:space="preserve">Los datos topográficos y los datos GIS pueden tener expectativas diferentes de exactitud y estatus legal. Una línea de parcela en GIS no necesariamente es un límite legal topográfico.</w:t>
      </w:r>
    </w:p>
    <w:bookmarkEnd w:id="37"/>
    <w:bookmarkStart w:id="38" w:name="fotogrametría-e-imágenes"/>
    <w:p>
      <w:pPr>
        <w:pStyle w:val="Heading2"/>
      </w:pPr>
      <w:r>
        <w:t xml:space="preserve">Fotogrametría e imágenes</w:t>
      </w:r>
    </w:p>
    <w:p>
      <w:pPr>
        <w:pStyle w:val="FirstParagraph"/>
      </w:pPr>
      <w:r>
        <w:t xml:space="preserve">La fotogrametría obtiene mediciones o información cartográfica a partir de fotografías/imágenes.</w:t>
      </w:r>
    </w:p>
    <w:p>
      <w:pPr>
        <w:pStyle w:val="BodyText"/>
      </w:pPr>
      <w:r>
        <w:t xml:space="preserve">Puede incluir:</w:t>
      </w:r>
    </w:p>
    <w:p>
      <w:pPr>
        <w:numPr>
          <w:ilvl w:val="0"/>
          <w:numId w:val="1018"/>
        </w:numPr>
        <w:pStyle w:val="Compact"/>
      </w:pPr>
      <w:r>
        <w:t xml:space="preserve">organización de imágenes;</w:t>
      </w:r>
    </w:p>
    <w:p>
      <w:pPr>
        <w:numPr>
          <w:ilvl w:val="0"/>
          <w:numId w:val="1018"/>
        </w:numPr>
        <w:pStyle w:val="Compact"/>
      </w:pPr>
      <w:r>
        <w:t xml:space="preserve">puntos de control/verificación;</w:t>
      </w:r>
    </w:p>
    <w:p>
      <w:pPr>
        <w:numPr>
          <w:ilvl w:val="0"/>
          <w:numId w:val="1018"/>
        </w:numPr>
        <w:pStyle w:val="Compact"/>
      </w:pPr>
      <w:r>
        <w:t xml:space="preserve">apoyo a triangulación aérea;</w:t>
      </w:r>
    </w:p>
    <w:p>
      <w:pPr>
        <w:numPr>
          <w:ilvl w:val="0"/>
          <w:numId w:val="1018"/>
        </w:numPr>
        <w:pStyle w:val="Compact"/>
      </w:pPr>
      <w:r>
        <w:t xml:space="preserve">procesamiento de ortofotos/ortomosaicos;</w:t>
      </w:r>
    </w:p>
    <w:p>
      <w:pPr>
        <w:numPr>
          <w:ilvl w:val="0"/>
          <w:numId w:val="1018"/>
        </w:numPr>
        <w:pStyle w:val="Compact"/>
      </w:pPr>
      <w:r>
        <w:t xml:space="preserve">extracción de features;</w:t>
      </w:r>
    </w:p>
    <w:p>
      <w:pPr>
        <w:numPr>
          <w:ilvl w:val="0"/>
          <w:numId w:val="1018"/>
        </w:numPr>
        <w:pStyle w:val="Compact"/>
      </w:pPr>
      <w:r>
        <w:t xml:space="preserve">generación de superficies/modelos;</w:t>
      </w:r>
    </w:p>
    <w:p>
      <w:pPr>
        <w:numPr>
          <w:ilvl w:val="0"/>
          <w:numId w:val="1018"/>
        </w:numPr>
        <w:pStyle w:val="Compact"/>
      </w:pPr>
      <w:r>
        <w:t xml:space="preserve">compilación cartográfica;</w:t>
      </w:r>
    </w:p>
    <w:p>
      <w:pPr>
        <w:numPr>
          <w:ilvl w:val="0"/>
          <w:numId w:val="1018"/>
        </w:numPr>
        <w:pStyle w:val="Compact"/>
      </w:pPr>
      <w:r>
        <w:t xml:space="preserve">QA contra datos de referencia independientes.</w:t>
      </w:r>
    </w:p>
    <w:p>
      <w:pPr>
        <w:pStyle w:val="FirstParagraph"/>
      </w:pPr>
      <w:r>
        <w:t xml:space="preserve">Revise fecha de adquisición, resolución, información del sensor/cámara, calidad del control, sistema de coordenadas y parámetros de procesamiento antes de interpretar resultados.</w:t>
      </w:r>
    </w:p>
    <w:bookmarkEnd w:id="38"/>
    <w:bookmarkStart w:id="41" w:name="drones--aeronaves-pilotadas-a-distancia"/>
    <w:p>
      <w:pPr>
        <w:pStyle w:val="Heading2"/>
      </w:pPr>
      <w:r>
        <w:t xml:space="preserve">Drones / aeronaves pilotadas a distancia</w:t>
      </w:r>
    </w:p>
    <w:p>
      <w:pPr>
        <w:pStyle w:val="FirstParagraph"/>
      </w:pPr>
      <w:r>
        <w:t xml:space="preserve">BLS señala que técnicos en topografía y cartografía pueden usar drones para tomar fotografías.</w:t>
      </w:r>
    </w:p>
    <w:p>
      <w:pPr>
        <w:pStyle w:val="BodyText"/>
      </w:pPr>
      <w:r>
        <w:t xml:space="preserve">La competencia con drones y la competencia topográfica son independientes.</w:t>
      </w:r>
    </w:p>
    <w:bookmarkStart w:id="39" w:name="estados-unidos"/>
    <w:p>
      <w:pPr>
        <w:pStyle w:val="Heading3"/>
      </w:pPr>
      <w:r>
        <w:t xml:space="preserve">Estados Unidos</w:t>
      </w:r>
    </w:p>
    <w:p>
      <w:pPr>
        <w:pStyle w:val="FirstParagraph"/>
      </w:pPr>
      <w:r>
        <w:t xml:space="preserve">Las operaciones comerciales bajo Part 107 requieren el certificado FAA Remote Pilot correspondiente y cumplimiento de las reglas aplicables.</w:t>
      </w:r>
    </w:p>
    <w:bookmarkEnd w:id="39"/>
    <w:bookmarkStart w:id="40" w:name="canadá"/>
    <w:p>
      <w:pPr>
        <w:pStyle w:val="Heading3"/>
      </w:pPr>
      <w:r>
        <w:t xml:space="preserve">Canadá</w:t>
      </w:r>
    </w:p>
    <w:p>
      <w:pPr>
        <w:pStyle w:val="FirstParagraph"/>
      </w:pPr>
      <w:r>
        <w:t xml:space="preserve">Transport Canada utiliza certificados Basic, Advanced y Level 1 Complex según la operación.</w:t>
      </w:r>
    </w:p>
    <w:p>
      <w:pPr>
        <w:pStyle w:val="BodyText"/>
      </w:pPr>
      <w:r>
        <w:t xml:space="preserve">Antes del vuelo:</w:t>
      </w:r>
    </w:p>
    <w:p>
      <w:pPr>
        <w:numPr>
          <w:ilvl w:val="0"/>
          <w:numId w:val="1019"/>
        </w:numPr>
        <w:pStyle w:val="Compact"/>
      </w:pPr>
      <w:r>
        <w:t xml:space="preserve">confirme autoridad del piloto/operador;</w:t>
      </w:r>
    </w:p>
    <w:p>
      <w:pPr>
        <w:numPr>
          <w:ilvl w:val="0"/>
          <w:numId w:val="1019"/>
        </w:numPr>
        <w:pStyle w:val="Compact"/>
      </w:pPr>
      <w:r>
        <w:t xml:space="preserve">confirme espacio aéreo y categoría de operación;</w:t>
      </w:r>
    </w:p>
    <w:p>
      <w:pPr>
        <w:numPr>
          <w:ilvl w:val="0"/>
          <w:numId w:val="1019"/>
        </w:numPr>
        <w:pStyle w:val="Compact"/>
      </w:pPr>
      <w:r>
        <w:t xml:space="preserve">cumpla registro/marcado cuando aplique;</w:t>
      </w:r>
    </w:p>
    <w:p>
      <w:pPr>
        <w:numPr>
          <w:ilvl w:val="0"/>
          <w:numId w:val="1019"/>
        </w:numPr>
        <w:pStyle w:val="Compact"/>
      </w:pPr>
      <w:r>
        <w:t xml:space="preserve">inspeccione aeronave/baterías;</w:t>
      </w:r>
    </w:p>
    <w:p>
      <w:pPr>
        <w:numPr>
          <w:ilvl w:val="0"/>
          <w:numId w:val="1019"/>
        </w:numPr>
        <w:pStyle w:val="Compact"/>
      </w:pPr>
      <w:r>
        <w:t xml:space="preserve">evalúe clima y riesgos del sitio;</w:t>
      </w:r>
    </w:p>
    <w:p>
      <w:pPr>
        <w:numPr>
          <w:ilvl w:val="0"/>
          <w:numId w:val="1019"/>
        </w:numPr>
        <w:pStyle w:val="Compact"/>
      </w:pPr>
      <w:r>
        <w:t xml:space="preserve">establezca controles apropiados para el método de mapeo;</w:t>
      </w:r>
    </w:p>
    <w:p>
      <w:pPr>
        <w:numPr>
          <w:ilvl w:val="0"/>
          <w:numId w:val="1019"/>
        </w:numPr>
        <w:pStyle w:val="Compact"/>
      </w:pPr>
      <w:r>
        <w:t xml:space="preserve">proteja privacidad y ubicaciones restringidas;</w:t>
      </w:r>
    </w:p>
    <w:p>
      <w:pPr>
        <w:numPr>
          <w:ilvl w:val="0"/>
          <w:numId w:val="1019"/>
        </w:numPr>
        <w:pStyle w:val="Compact"/>
      </w:pPr>
      <w:r>
        <w:t xml:space="preserve">preserve metadata de vuelo/fuente;</w:t>
      </w:r>
    </w:p>
    <w:p>
      <w:pPr>
        <w:numPr>
          <w:ilvl w:val="0"/>
          <w:numId w:val="1019"/>
        </w:numPr>
        <w:pStyle w:val="Compact"/>
      </w:pPr>
      <w:r>
        <w:t xml:space="preserve">valide resultados contra referencias adecuadas.</w:t>
      </w:r>
    </w:p>
    <w:p>
      <w:pPr>
        <w:pStyle w:val="FirstParagraph"/>
      </w:pPr>
      <w:r>
        <w:t xml:space="preserve">Una superficie u ortomosaico generado con dron no es automáticamente evidencia topográfica legal.</w:t>
      </w:r>
    </w:p>
    <w:bookmarkEnd w:id="40"/>
    <w:bookmarkEnd w:id="41"/>
    <w:bookmarkStart w:id="42" w:name="seguridad-y-privacidad-de-los-datos"/>
    <w:p>
      <w:pPr>
        <w:pStyle w:val="Heading2"/>
      </w:pPr>
      <w:r>
        <w:t xml:space="preserve">Seguridad y privacidad de los datos</w:t>
      </w:r>
    </w:p>
    <w:p>
      <w:pPr>
        <w:pStyle w:val="FirstParagraph"/>
      </w:pPr>
      <w:r>
        <w:t xml:space="preserve">Los archivos pueden revelar:</w:t>
      </w:r>
    </w:p>
    <w:p>
      <w:pPr>
        <w:numPr>
          <w:ilvl w:val="0"/>
          <w:numId w:val="1020"/>
        </w:numPr>
        <w:pStyle w:val="Compact"/>
      </w:pPr>
      <w:r>
        <w:t xml:space="preserve">distribución de propiedades privadas;</w:t>
      </w:r>
    </w:p>
    <w:p>
      <w:pPr>
        <w:numPr>
          <w:ilvl w:val="0"/>
          <w:numId w:val="1020"/>
        </w:numPr>
        <w:pStyle w:val="Compact"/>
      </w:pPr>
      <w:r>
        <w:t xml:space="preserve">infraestructura crítica;</w:t>
      </w:r>
    </w:p>
    <w:p>
      <w:pPr>
        <w:numPr>
          <w:ilvl w:val="0"/>
          <w:numId w:val="1020"/>
        </w:numPr>
        <w:pStyle w:val="Compact"/>
      </w:pPr>
      <w:r>
        <w:t xml:space="preserve">servicios públicos;</w:t>
      </w:r>
    </w:p>
    <w:p>
      <w:pPr>
        <w:numPr>
          <w:ilvl w:val="0"/>
          <w:numId w:val="1020"/>
        </w:numPr>
        <w:pStyle w:val="Compact"/>
      </w:pPr>
      <w:r>
        <w:t xml:space="preserve">sitios de construcción;</w:t>
      </w:r>
    </w:p>
    <w:p>
      <w:pPr>
        <w:numPr>
          <w:ilvl w:val="0"/>
          <w:numId w:val="1020"/>
        </w:numPr>
        <w:pStyle w:val="Compact"/>
      </w:pPr>
      <w:r>
        <w:t xml:space="preserve">características de seguridad;</w:t>
      </w:r>
    </w:p>
    <w:p>
      <w:pPr>
        <w:numPr>
          <w:ilvl w:val="0"/>
          <w:numId w:val="1020"/>
        </w:numPr>
        <w:pStyle w:val="Compact"/>
      </w:pPr>
      <w:r>
        <w:t xml:space="preserve">activos de clientes;</w:t>
      </w:r>
    </w:p>
    <w:p>
      <w:pPr>
        <w:numPr>
          <w:ilvl w:val="0"/>
          <w:numId w:val="1020"/>
        </w:numPr>
        <w:pStyle w:val="Compact"/>
      </w:pPr>
      <w:r>
        <w:t xml:space="preserve">direcciones personales;</w:t>
      </w:r>
    </w:p>
    <w:p>
      <w:pPr>
        <w:numPr>
          <w:ilvl w:val="0"/>
          <w:numId w:val="1020"/>
        </w:numPr>
        <w:pStyle w:val="Compact"/>
      </w:pPr>
      <w:r>
        <w:t xml:space="preserve">recursos culturales/ambientales restringidos.</w:t>
      </w:r>
    </w:p>
    <w:p>
      <w:pPr>
        <w:pStyle w:val="FirstParagraph"/>
      </w:pPr>
      <w:r>
        <w:t xml:space="preserve">Controles posibles:</w:t>
      </w:r>
    </w:p>
    <w:p>
      <w:pPr>
        <w:numPr>
          <w:ilvl w:val="0"/>
          <w:numId w:val="1021"/>
        </w:numPr>
        <w:pStyle w:val="Compact"/>
      </w:pPr>
      <w:r>
        <w:t xml:space="preserve">almacenamiento aprobado;</w:t>
      </w:r>
    </w:p>
    <w:p>
      <w:pPr>
        <w:numPr>
          <w:ilvl w:val="0"/>
          <w:numId w:val="1021"/>
        </w:numPr>
        <w:pStyle w:val="Compact"/>
      </w:pPr>
      <w:r>
        <w:t xml:space="preserve">acceso de mínimo privilegio;</w:t>
      </w:r>
    </w:p>
    <w:p>
      <w:pPr>
        <w:numPr>
          <w:ilvl w:val="0"/>
          <w:numId w:val="1021"/>
        </w:numPr>
        <w:pStyle w:val="Compact"/>
      </w:pPr>
      <w:r>
        <w:t xml:space="preserve">transferencia cifrada cuando se requiera;</w:t>
      </w:r>
    </w:p>
    <w:p>
      <w:pPr>
        <w:numPr>
          <w:ilvl w:val="0"/>
          <w:numId w:val="1021"/>
        </w:numPr>
        <w:pStyle w:val="Compact"/>
      </w:pPr>
      <w:r>
        <w:t xml:space="preserve">convenciones de nombres;</w:t>
      </w:r>
    </w:p>
    <w:p>
      <w:pPr>
        <w:numPr>
          <w:ilvl w:val="0"/>
          <w:numId w:val="1021"/>
        </w:numPr>
        <w:pStyle w:val="Compact"/>
      </w:pPr>
      <w:r>
        <w:t xml:space="preserve">protección de dispositivos;</w:t>
      </w:r>
    </w:p>
    <w:p>
      <w:pPr>
        <w:numPr>
          <w:ilvl w:val="0"/>
          <w:numId w:val="1021"/>
        </w:numPr>
        <w:pStyle w:val="Compact"/>
      </w:pPr>
      <w:r>
        <w:t xml:space="preserve">intercambio controlado;</w:t>
      </w:r>
    </w:p>
    <w:p>
      <w:pPr>
        <w:numPr>
          <w:ilvl w:val="0"/>
          <w:numId w:val="1021"/>
        </w:numPr>
        <w:pStyle w:val="Compact"/>
      </w:pPr>
      <w:r>
        <w:t xml:space="preserve">backups;</w:t>
      </w:r>
    </w:p>
    <w:p>
      <w:pPr>
        <w:numPr>
          <w:ilvl w:val="0"/>
          <w:numId w:val="1021"/>
        </w:numPr>
        <w:pStyle w:val="Compact"/>
      </w:pPr>
      <w:r>
        <w:t xml:space="preserve">retención;</w:t>
      </w:r>
    </w:p>
    <w:p>
      <w:pPr>
        <w:numPr>
          <w:ilvl w:val="0"/>
          <w:numId w:val="1021"/>
        </w:numPr>
        <w:pStyle w:val="Compact"/>
      </w:pPr>
      <w:r>
        <w:t xml:space="preserve">reporte de incidentes;</w:t>
      </w:r>
    </w:p>
    <w:p>
      <w:pPr>
        <w:numPr>
          <w:ilvl w:val="0"/>
          <w:numId w:val="1021"/>
        </w:numPr>
        <w:pStyle w:val="Compact"/>
      </w:pPr>
      <w:r>
        <w:t xml:space="preserve">eliminación de metadata sensible de entregables públicos cuando corresponda.</w:t>
      </w:r>
    </w:p>
    <w:p>
      <w:pPr>
        <w:pStyle w:val="FirstParagraph"/>
      </w:pPr>
      <w:r>
        <w:t xml:space="preserve">No cargue coordenadas protegidas, planos de clientes o imágenes de sitio a almacenamiento personal o servicios de IA no aprobados.</w:t>
      </w:r>
    </w:p>
    <w:bookmarkEnd w:id="42"/>
    <w:bookmarkStart w:id="47" w:name="seguridad-en-campo"/>
    <w:p>
      <w:pPr>
        <w:pStyle w:val="Heading2"/>
      </w:pPr>
      <w:r>
        <w:t xml:space="preserve">Seguridad en campo</w:t>
      </w:r>
    </w:p>
    <w:p>
      <w:pPr>
        <w:pStyle w:val="FirstParagraph"/>
      </w:pPr>
      <w:r>
        <w:t xml:space="preserve">La topografía puede exponer a tráfico, calor, terreno irregular, maquinaria, excavaciones, riesgos eléctricos/de servicios, agua, clima, fauna, sitios remotos y transporte de equipos pesados.</w:t>
      </w:r>
    </w:p>
    <w:p>
      <w:pPr>
        <w:pStyle w:val="BodyText"/>
      </w:pPr>
      <w:r>
        <w:t xml:space="preserve">Siga la evaluación de riesgos y las reglas del sitio del empleador.</w:t>
      </w:r>
    </w:p>
    <w:bookmarkStart w:id="43" w:name="calor"/>
    <w:p>
      <w:pPr>
        <w:pStyle w:val="Heading3"/>
      </w:pPr>
      <w:r>
        <w:t xml:space="preserve">Calor</w:t>
      </w:r>
    </w:p>
    <w:p>
      <w:pPr>
        <w:pStyle w:val="FirstParagraph"/>
      </w:pPr>
      <w:r>
        <w:t xml:space="preserve">OSHA respalda:</w:t>
      </w:r>
    </w:p>
    <w:p>
      <w:pPr>
        <w:numPr>
          <w:ilvl w:val="0"/>
          <w:numId w:val="1022"/>
        </w:numPr>
        <w:pStyle w:val="Compact"/>
      </w:pPr>
      <w:r>
        <w:t xml:space="preserve">agua/líquidos frescos suficientes;</w:t>
      </w:r>
    </w:p>
    <w:p>
      <w:pPr>
        <w:numPr>
          <w:ilvl w:val="0"/>
          <w:numId w:val="1022"/>
        </w:numPr>
        <w:pStyle w:val="Compact"/>
      </w:pPr>
      <w:r>
        <w:t xml:space="preserve">descansos;</w:t>
      </w:r>
    </w:p>
    <w:p>
      <w:pPr>
        <w:numPr>
          <w:ilvl w:val="0"/>
          <w:numId w:val="1022"/>
        </w:numPr>
        <w:pStyle w:val="Compact"/>
      </w:pPr>
      <w:r>
        <w:t xml:space="preserve">sombra o áreas frescas;</w:t>
      </w:r>
    </w:p>
    <w:p>
      <w:pPr>
        <w:numPr>
          <w:ilvl w:val="0"/>
          <w:numId w:val="1022"/>
        </w:numPr>
        <w:pStyle w:val="Compact"/>
      </w:pPr>
      <w:r>
        <w:t xml:space="preserve">capacitación;</w:t>
      </w:r>
    </w:p>
    <w:p>
      <w:pPr>
        <w:numPr>
          <w:ilvl w:val="0"/>
          <w:numId w:val="1022"/>
        </w:numPr>
        <w:pStyle w:val="Compact"/>
      </w:pPr>
      <w:r>
        <w:t xml:space="preserve">planificación de emergencia;</w:t>
      </w:r>
    </w:p>
    <w:p>
      <w:pPr>
        <w:numPr>
          <w:ilvl w:val="0"/>
          <w:numId w:val="1022"/>
        </w:numPr>
        <w:pStyle w:val="Compact"/>
      </w:pPr>
      <w:r>
        <w:t xml:space="preserve">monitoreo de síntomas;</w:t>
      </w:r>
    </w:p>
    <w:p>
      <w:pPr>
        <w:numPr>
          <w:ilvl w:val="0"/>
          <w:numId w:val="1022"/>
        </w:numPr>
        <w:pStyle w:val="Compact"/>
      </w:pPr>
      <w:r>
        <w:t xml:space="preserve">aclimatación gradual para trabajadores nuevos o que regresan.</w:t>
      </w:r>
    </w:p>
    <w:bookmarkEnd w:id="43"/>
    <w:bookmarkStart w:id="44" w:name="tráfico-y-construcción"/>
    <w:p>
      <w:pPr>
        <w:pStyle w:val="Heading3"/>
      </w:pPr>
      <w:r>
        <w:t xml:space="preserve">Tráfico y construcción</w:t>
      </w:r>
    </w:p>
    <w:p>
      <w:pPr>
        <w:pStyle w:val="FirstParagraph"/>
      </w:pPr>
      <w:r>
        <w:t xml:space="preserve">Use PPE de alta visibilidad, control de tráfico, spotters, prácticas seguras de vehículo/estacionamiento y rutas designadas. No instale instrumentos donde la cuadrilla no pueda protegerse de vehículos o maquinaria.</w:t>
      </w:r>
    </w:p>
    <w:bookmarkEnd w:id="44"/>
    <w:bookmarkStart w:id="45" w:name="servicios-públicos-y-excavación"/>
    <w:p>
      <w:pPr>
        <w:pStyle w:val="Heading3"/>
      </w:pPr>
      <w:r>
        <w:t xml:space="preserve">Servicios públicos y excavación</w:t>
      </w:r>
    </w:p>
    <w:p>
      <w:pPr>
        <w:pStyle w:val="FirstParagraph"/>
      </w:pPr>
      <w:r>
        <w:t xml:space="preserve">Nunca asuma la ubicación de servicios subterráneos o aéreos basándose solamente en un mapa. Siga los procedimientos aplicables de localización, separación y excavación.</w:t>
      </w:r>
    </w:p>
    <w:bookmarkEnd w:id="45"/>
    <w:bookmarkStart w:id="46" w:name="trabajo-remoto-o-en-solitario"/>
    <w:p>
      <w:pPr>
        <w:pStyle w:val="Heading3"/>
      </w:pPr>
      <w:r>
        <w:t xml:space="preserve">Trabajo remoto o en solitario</w:t>
      </w:r>
    </w:p>
    <w:p>
      <w:pPr>
        <w:pStyle w:val="FirstParagraph"/>
      </w:pPr>
      <w:r>
        <w:t xml:space="preserve">Siga planes de check-in, comunicaciones, clima, primeros auxilios, emergencia y transporte. No improvise acceso peligroso a terreno remoto solo para obtener una medición adicional.</w:t>
      </w:r>
    </w:p>
    <w:bookmarkEnd w:id="46"/>
    <w:bookmarkEnd w:id="47"/>
    <w:bookmarkStart w:id="48" w:name="cuidado-y-verificación-del-equipo"/>
    <w:p>
      <w:pPr>
        <w:pStyle w:val="Heading2"/>
      </w:pPr>
      <w:r>
        <w:t xml:space="preserve">Cuidado y verificación del equipo</w:t>
      </w:r>
    </w:p>
    <w:p>
      <w:pPr>
        <w:pStyle w:val="FirstParagraph"/>
      </w:pPr>
      <w:r>
        <w:t xml:space="preserve">Controles típicos:</w:t>
      </w:r>
    </w:p>
    <w:p>
      <w:pPr>
        <w:numPr>
          <w:ilvl w:val="0"/>
          <w:numId w:val="1023"/>
        </w:numPr>
        <w:pStyle w:val="Compact"/>
      </w:pPr>
      <w:r>
        <w:t xml:space="preserve">transportar equipos en estuches protectores;</w:t>
      </w:r>
    </w:p>
    <w:p>
      <w:pPr>
        <w:numPr>
          <w:ilvl w:val="0"/>
          <w:numId w:val="1023"/>
        </w:numPr>
        <w:pStyle w:val="Compact"/>
      </w:pPr>
      <w:r>
        <w:t xml:space="preserve">limpiar óptica con métodos aprobados;</w:t>
      </w:r>
    </w:p>
    <w:p>
      <w:pPr>
        <w:numPr>
          <w:ilvl w:val="0"/>
          <w:numId w:val="1023"/>
        </w:numPr>
        <w:pStyle w:val="Compact"/>
      </w:pPr>
      <w:r>
        <w:t xml:space="preserve">revisar trípodes/abrazaderas;</w:t>
      </w:r>
    </w:p>
    <w:p>
      <w:pPr>
        <w:numPr>
          <w:ilvl w:val="0"/>
          <w:numId w:val="1023"/>
        </w:numPr>
        <w:pStyle w:val="Compact"/>
      </w:pPr>
      <w:r>
        <w:t xml:space="preserve">cargar y etiquetar baterías;</w:t>
      </w:r>
    </w:p>
    <w:p>
      <w:pPr>
        <w:numPr>
          <w:ilvl w:val="0"/>
          <w:numId w:val="1023"/>
        </w:numPr>
        <w:pStyle w:val="Compact"/>
      </w:pPr>
      <w:r>
        <w:t xml:space="preserve">proteger de humedad/temperaturas extremas;</w:t>
      </w:r>
    </w:p>
    <w:p>
      <w:pPr>
        <w:numPr>
          <w:ilvl w:val="0"/>
          <w:numId w:val="1023"/>
        </w:numPr>
        <w:pStyle w:val="Compact"/>
      </w:pPr>
      <w:r>
        <w:t xml:space="preserve">cumplir intervalos de calibración/verificación del fabricante;</w:t>
      </w:r>
    </w:p>
    <w:p>
      <w:pPr>
        <w:numPr>
          <w:ilvl w:val="0"/>
          <w:numId w:val="1023"/>
        </w:numPr>
        <w:pStyle w:val="Compact"/>
      </w:pPr>
      <w:r>
        <w:t xml:space="preserve">documentar daños;</w:t>
      </w:r>
    </w:p>
    <w:p>
      <w:pPr>
        <w:numPr>
          <w:ilvl w:val="0"/>
          <w:numId w:val="1023"/>
        </w:numPr>
        <w:pStyle w:val="Compact"/>
      </w:pPr>
      <w:r>
        <w:t xml:space="preserve">no usar equipos fuera de límites conocidos de servicio.</w:t>
      </w:r>
    </w:p>
    <w:p>
      <w:pPr>
        <w:pStyle w:val="FirstParagraph"/>
      </w:pPr>
      <w:r>
        <w:t xml:space="preserve">Un técnico no debe afirmar autoridad de reparación o calibración cuando el fabricante/empleador la reserva a personal calificado.</w:t>
      </w:r>
    </w:p>
    <w:bookmarkEnd w:id="48"/>
    <w:bookmarkStart w:id="49" w:name="ia-responsable"/>
    <w:p>
      <w:pPr>
        <w:pStyle w:val="Heading2"/>
      </w:pPr>
      <w:r>
        <w:t xml:space="preserve">IA responsable</w:t>
      </w:r>
    </w:p>
    <w:p>
      <w:pPr>
        <w:pStyle w:val="FirstParagraph"/>
      </w:pPr>
      <w:r>
        <w:t xml:space="preserve">La IA aprobada puede ayudar con:</w:t>
      </w:r>
    </w:p>
    <w:p>
      <w:pPr>
        <w:numPr>
          <w:ilvl w:val="0"/>
          <w:numId w:val="1024"/>
        </w:numPr>
        <w:pStyle w:val="Compact"/>
      </w:pPr>
      <w:r>
        <w:t xml:space="preserve">explicar fórmulas;</w:t>
      </w:r>
    </w:p>
    <w:p>
      <w:pPr>
        <w:numPr>
          <w:ilvl w:val="0"/>
          <w:numId w:val="1024"/>
        </w:numPr>
        <w:pStyle w:val="Compact"/>
      </w:pPr>
      <w:r>
        <w:t xml:space="preserve">redactar plantillas de notas/QA;</w:t>
      </w:r>
    </w:p>
    <w:p>
      <w:pPr>
        <w:numPr>
          <w:ilvl w:val="0"/>
          <w:numId w:val="1024"/>
        </w:numPr>
        <w:pStyle w:val="Compact"/>
      </w:pPr>
      <w:r>
        <w:t xml:space="preserve">documentar workflows;</w:t>
      </w:r>
    </w:p>
    <w:p>
      <w:pPr>
        <w:numPr>
          <w:ilvl w:val="0"/>
          <w:numId w:val="1024"/>
        </w:numPr>
        <w:pStyle w:val="Compact"/>
      </w:pPr>
      <w:r>
        <w:t xml:space="preserve">revisar conceptos de código no sensible;</w:t>
      </w:r>
    </w:p>
    <w:p>
      <w:pPr>
        <w:numPr>
          <w:ilvl w:val="0"/>
          <w:numId w:val="1024"/>
        </w:numPr>
        <w:pStyle w:val="Compact"/>
      </w:pPr>
      <w:r>
        <w:t xml:space="preserve">resumir especificaciones públicas;</w:t>
      </w:r>
    </w:p>
    <w:p>
      <w:pPr>
        <w:numPr>
          <w:ilvl w:val="0"/>
          <w:numId w:val="1024"/>
        </w:numPr>
        <w:pStyle w:val="Compact"/>
      </w:pPr>
      <w:r>
        <w:t xml:space="preserve">generar datos sintéticos de práctica;</w:t>
      </w:r>
    </w:p>
    <w:p>
      <w:pPr>
        <w:numPr>
          <w:ilvl w:val="0"/>
          <w:numId w:val="1024"/>
        </w:numPr>
        <w:pStyle w:val="Compact"/>
      </w:pPr>
      <w:r>
        <w:t xml:space="preserve">preparar preguntas de entrevista.</w:t>
      </w:r>
    </w:p>
    <w:p>
      <w:pPr>
        <w:pStyle w:val="FirstParagraph"/>
      </w:pPr>
      <w:r>
        <w:t xml:space="preserve">Controles:</w:t>
      </w:r>
    </w:p>
    <w:p>
      <w:pPr>
        <w:numPr>
          <w:ilvl w:val="0"/>
          <w:numId w:val="1025"/>
        </w:numPr>
        <w:pStyle w:val="Compact"/>
      </w:pPr>
      <w:r>
        <w:t xml:space="preserve">no enviar coordenadas protegidas, registros de linderos, datos de clientes/sitios, planos propietarios, credenciales o imágenes restringidas a herramientas no aprobadas;</w:t>
      </w:r>
    </w:p>
    <w:p>
      <w:pPr>
        <w:numPr>
          <w:ilvl w:val="0"/>
          <w:numId w:val="1025"/>
        </w:numPr>
        <w:pStyle w:val="Compact"/>
      </w:pPr>
      <w:r>
        <w:t xml:space="preserve">verificar unidades, sistemas de coordenadas y cálculos;</w:t>
      </w:r>
    </w:p>
    <w:p>
      <w:pPr>
        <w:numPr>
          <w:ilvl w:val="0"/>
          <w:numId w:val="1025"/>
        </w:numPr>
        <w:pStyle w:val="Compact"/>
      </w:pPr>
      <w:r>
        <w:t xml:space="preserve">validar código generado antes de ejecutarlo;</w:t>
      </w:r>
    </w:p>
    <w:p>
      <w:pPr>
        <w:numPr>
          <w:ilvl w:val="0"/>
          <w:numId w:val="1025"/>
        </w:numPr>
        <w:pStyle w:val="Compact"/>
      </w:pPr>
      <w:r>
        <w:t xml:space="preserve">revisar funciones, regulaciones, estándares o procedimientos inventados;</w:t>
      </w:r>
    </w:p>
    <w:p>
      <w:pPr>
        <w:numPr>
          <w:ilvl w:val="0"/>
          <w:numId w:val="1025"/>
        </w:numPr>
        <w:pStyle w:val="Compact"/>
      </w:pPr>
      <w:r>
        <w:t xml:space="preserve">preservar linaje de fuente/medición;</w:t>
      </w:r>
    </w:p>
    <w:p>
      <w:pPr>
        <w:numPr>
          <w:ilvl w:val="0"/>
          <w:numId w:val="1025"/>
        </w:numPr>
        <w:pStyle w:val="Compact"/>
      </w:pPr>
      <w:r>
        <w:t xml:space="preserve">no permitir que la IA invente monumentos, puntos de control, coordenadas autoritativas, exactitud topográfica o límites legales;</w:t>
      </w:r>
    </w:p>
    <w:p>
      <w:pPr>
        <w:numPr>
          <w:ilvl w:val="0"/>
          <w:numId w:val="1025"/>
        </w:numPr>
        <w:pStyle w:val="Compact"/>
      </w:pPr>
      <w:r>
        <w:t xml:space="preserve">mantener validación humana/de dominio.</w:t>
      </w:r>
    </w:p>
    <w:p>
      <w:pPr>
        <w:pStyle w:val="FirstParagraph"/>
      </w:pPr>
      <w:r>
        <w:t xml:space="preserve">El output de IA no es evidencia de que una medición, calibración, cierre o determinación legal se haya realizado correctamente.</w:t>
      </w:r>
    </w:p>
    <w:bookmarkEnd w:id="49"/>
    <w:bookmarkStart w:id="50" w:name="accesibilidad-y-prácticas-inclusivas"/>
    <w:p>
      <w:pPr>
        <w:pStyle w:val="Heading2"/>
      </w:pPr>
      <w:r>
        <w:t xml:space="preserve">Accesibilidad y prácticas inclusivas</w:t>
      </w:r>
    </w:p>
    <w:p>
      <w:pPr>
        <w:pStyle w:val="FirstParagraph"/>
      </w:pPr>
      <w:r>
        <w:t xml:space="preserve">La topografía tiene requisitos físicos de campo, pero muchos puestos combinan tareas de campo y oficina y algunos métodos pueden adaptarse.</w:t>
      </w:r>
    </w:p>
    <w:p>
      <w:pPr>
        <w:pStyle w:val="BodyText"/>
      </w:pPr>
      <w:r>
        <w:t xml:space="preserve">Prácticas útiles:</w:t>
      </w:r>
    </w:p>
    <w:p>
      <w:pPr>
        <w:numPr>
          <w:ilvl w:val="0"/>
          <w:numId w:val="1026"/>
        </w:numPr>
        <w:pStyle w:val="Compact"/>
      </w:pPr>
      <w:r>
        <w:t xml:space="preserve">planos con texto grande/alto contraste;</w:t>
      </w:r>
    </w:p>
    <w:p>
      <w:pPr>
        <w:numPr>
          <w:ilvl w:val="0"/>
          <w:numId w:val="1026"/>
        </w:numPr>
        <w:pStyle w:val="Compact"/>
      </w:pPr>
      <w:r>
        <w:t xml:space="preserve">magnificación de pantalla;</w:t>
      </w:r>
    </w:p>
    <w:p>
      <w:pPr>
        <w:numPr>
          <w:ilvl w:val="0"/>
          <w:numId w:val="1026"/>
        </w:numPr>
        <w:pStyle w:val="Compact"/>
      </w:pPr>
      <w:r>
        <w:t xml:space="preserve">workflows CAD/GIS accesibles por teclado cuando estén disponibles;</w:t>
      </w:r>
    </w:p>
    <w:p>
      <w:pPr>
        <w:numPr>
          <w:ilvl w:val="0"/>
          <w:numId w:val="1026"/>
        </w:numPr>
        <w:pStyle w:val="Compact"/>
      </w:pPr>
      <w:r>
        <w:t xml:space="preserve">checklists estructurados;</w:t>
      </w:r>
    </w:p>
    <w:p>
      <w:pPr>
        <w:numPr>
          <w:ilvl w:val="0"/>
          <w:numId w:val="1026"/>
        </w:numPr>
        <w:pStyle w:val="Compact"/>
      </w:pPr>
      <w:r>
        <w:t xml:space="preserve">procedimientos de campo paso a paso;</w:t>
      </w:r>
    </w:p>
    <w:p>
      <w:pPr>
        <w:numPr>
          <w:ilvl w:val="0"/>
          <w:numId w:val="1026"/>
        </w:numPr>
        <w:pStyle w:val="Compact"/>
      </w:pPr>
      <w:r>
        <w:t xml:space="preserve">diccionarios claros de códigos de puntos;</w:t>
      </w:r>
    </w:p>
    <w:p>
      <w:pPr>
        <w:numPr>
          <w:ilvl w:val="0"/>
          <w:numId w:val="1026"/>
        </w:numPr>
        <w:pStyle w:val="Compact"/>
      </w:pPr>
      <w:r>
        <w:t xml:space="preserve">señales visuales más auditivas/hápticas cuando el equipo lo permita;</w:t>
      </w:r>
    </w:p>
    <w:p>
      <w:pPr>
        <w:numPr>
          <w:ilvl w:val="0"/>
          <w:numId w:val="1026"/>
        </w:numPr>
        <w:pStyle w:val="Compact"/>
      </w:pPr>
      <w:r>
        <w:t xml:space="preserve">distribución de tareas de campo dentro del equipo;</w:t>
      </w:r>
    </w:p>
    <w:p>
      <w:pPr>
        <w:numPr>
          <w:ilvl w:val="0"/>
          <w:numId w:val="1026"/>
        </w:numPr>
        <w:pStyle w:val="Compact"/>
      </w:pPr>
      <w:r>
        <w:t xml:space="preserve">descripciones en texto o tablas junto con mapas/diagramas de capacitación;</w:t>
      </w:r>
    </w:p>
    <w:p>
      <w:pPr>
        <w:numPr>
          <w:ilvl w:val="0"/>
          <w:numId w:val="1026"/>
        </w:numPr>
        <w:pStyle w:val="Compact"/>
      </w:pPr>
      <w:r>
        <w:t xml:space="preserve">nombres de archivo y carpetas predecibles.</w:t>
      </w:r>
    </w:p>
    <w:p>
      <w:pPr>
        <w:pStyle w:val="FirstParagraph"/>
      </w:pPr>
      <w:r>
        <w:t xml:space="preserve">La adaptación depende de funciones esenciales, terreno, equipo, empleador y jurisdicción. La accesibilidad no elimina requisitos genuinos de seguridad o práctica profesional.</w:t>
      </w:r>
    </w:p>
    <w:bookmarkEnd w:id="50"/>
    <w:bookmarkStart w:id="51" w:name="estados-unidos--referencia-oficial"/>
    <w:p>
      <w:pPr>
        <w:pStyle w:val="Heading2"/>
      </w:pPr>
      <w:r>
        <w:t xml:space="preserve">Estados Unidos — referencia oficial</w:t>
      </w:r>
    </w:p>
    <w:p>
      <w:pPr>
        <w:pStyle w:val="FirstParagraph"/>
      </w:pPr>
      <w:r>
        <w:rPr>
          <w:bCs/>
          <w:b/>
        </w:rPr>
        <w:t xml:space="preserve">O*NET-SOC 17-3031.00 — Surveying and Mapping Technicians</w:t>
      </w:r>
      <w:r>
        <w:t xml:space="preserve"> </w:t>
      </w:r>
      <w:r>
        <w:t xml:space="preserve">es la ocupación directa.</w:t>
      </w:r>
    </w:p>
    <w:p>
      <w:pPr>
        <w:pStyle w:val="BodyText"/>
      </w:pPr>
      <w:r>
        <w:t xml:space="preserve">BLS reporta:</w:t>
      </w:r>
    </w:p>
    <w:p>
      <w:pPr>
        <w:numPr>
          <w:ilvl w:val="0"/>
          <w:numId w:val="1027"/>
        </w:numPr>
        <w:pStyle w:val="Compact"/>
      </w:pPr>
      <w:r>
        <w:t xml:space="preserve">educación típica de entrada:</w:t>
      </w:r>
      <w:r>
        <w:t xml:space="preserve"> </w:t>
      </w:r>
      <w:r>
        <w:rPr>
          <w:bCs/>
          <w:b/>
        </w:rPr>
        <w:t xml:space="preserve">high school diploma or equivalent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entrenamiento moderado en el trabajo;</w:t>
      </w:r>
    </w:p>
    <w:p>
      <w:pPr>
        <w:numPr>
          <w:ilvl w:val="0"/>
          <w:numId w:val="1027"/>
        </w:numPr>
        <w:pStyle w:val="Compact"/>
      </w:pPr>
      <w:r>
        <w:t xml:space="preserve">mediana anual, mayo de 2024:</w:t>
      </w:r>
      <w:r>
        <w:t xml:space="preserve"> </w:t>
      </w:r>
      <w:r>
        <w:rPr>
          <w:bCs/>
          <w:b/>
        </w:rPr>
        <w:t xml:space="preserve">$51,940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mediana por hora:</w:t>
      </w:r>
      <w:r>
        <w:t xml:space="preserve"> </w:t>
      </w:r>
      <w:r>
        <w:rPr>
          <w:bCs/>
          <w:b/>
        </w:rPr>
        <w:t xml:space="preserve">$24.97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empleo 2024:</w:t>
      </w:r>
      <w:r>
        <w:t xml:space="preserve"> </w:t>
      </w:r>
      <w:r>
        <w:rPr>
          <w:bCs/>
          <w:b/>
        </w:rPr>
        <w:t xml:space="preserve">59,400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empleo proyectado 2034:</w:t>
      </w:r>
      <w:r>
        <w:t xml:space="preserve"> </w:t>
      </w:r>
      <w:r>
        <w:rPr>
          <w:bCs/>
          <w:b/>
        </w:rPr>
        <w:t xml:space="preserve">62,100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crecimiento: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vacantes anuales proyectadas: aproximadamente</w:t>
      </w:r>
      <w:r>
        <w:t xml:space="preserve"> </w:t>
      </w:r>
      <w:r>
        <w:rPr>
          <w:bCs/>
          <w:b/>
        </w:rPr>
        <w:t xml:space="preserve">7,600</w:t>
      </w:r>
      <w:r>
        <w:t xml:space="preserve">.</w:t>
      </w:r>
    </w:p>
    <w:p>
      <w:pPr>
        <w:pStyle w:val="FirstParagraph"/>
      </w:pPr>
      <w:r>
        <w:t xml:space="preserve">Son cifras nacionales de la ocupación, no salario inicial garantizado ni pronóstico de cada mercado local.</w:t>
      </w:r>
    </w:p>
    <w:bookmarkEnd w:id="51"/>
    <w:bookmarkStart w:id="52" w:name="estados-unidos--aprendizaje-y-workforce"/>
    <w:p>
      <w:pPr>
        <w:pStyle w:val="Heading2"/>
      </w:pPr>
      <w:r>
        <w:t xml:space="preserve">Estados Unidos — aprendizaje y workforce</w:t>
      </w:r>
    </w:p>
    <w:p>
      <w:pPr>
        <w:pStyle w:val="FirstParagraph"/>
      </w:pPr>
      <w:r>
        <w:t xml:space="preserve">O*NET vincula títulos de Registered Apprenticeship como Surveyor Assistant Instrument, Photogrammetric Technician, Geodetic Computator y Chief of Party.</w:t>
      </w:r>
    </w:p>
    <w:p>
      <w:pPr>
        <w:pStyle w:val="BodyText"/>
      </w:pPr>
      <w:r>
        <w:t xml:space="preserve">Apprenticeship.gov y American Job Centers/CareerOneStop pueden ayudar a investigar oportunidades vivas, capacitación WIOA y recursos locales. Un título aprobado o un locator no garantiza una vacante ni elegibilidad de financiamiento.</w:t>
      </w:r>
    </w:p>
    <w:bookmarkEnd w:id="52"/>
    <w:bookmarkStart w:id="53" w:name="canadá-1"/>
    <w:p>
      <w:pPr>
        <w:pStyle w:val="Heading2"/>
      </w:pPr>
      <w:r>
        <w:t xml:space="preserve">Canadá</w:t>
      </w:r>
    </w:p>
    <w:p>
      <w:pPr>
        <w:pStyle w:val="FirstParagraph"/>
      </w:pPr>
      <w:r>
        <w:rPr>
          <w:bCs/>
          <w:b/>
        </w:rPr>
        <w:t xml:space="preserve">NOC 22213 — Land survey technologists and technicians</w:t>
      </w:r>
      <w:r>
        <w:t xml:space="preserve"> </w:t>
      </w:r>
      <w:r>
        <w:t xml:space="preserve">es la comparación principal.</w:t>
      </w:r>
    </w:p>
    <w:p>
      <w:pPr>
        <w:pStyle w:val="BodyText"/>
      </w:pPr>
      <w:r>
        <w:t xml:space="preserve">Job Bank reporta salarios nacionales actuales:</w:t>
      </w:r>
    </w:p>
    <w:p>
      <w:pPr>
        <w:numPr>
          <w:ilvl w:val="0"/>
          <w:numId w:val="1028"/>
        </w:numPr>
        <w:pStyle w:val="Compact"/>
      </w:pPr>
      <w:r>
        <w:t xml:space="preserve">bajo</w:t>
      </w:r>
      <w:r>
        <w:t xml:space="preserve"> </w:t>
      </w:r>
      <w:r>
        <w:rPr>
          <w:bCs/>
          <w:b/>
        </w:rPr>
        <w:t xml:space="preserve">C$22.00/hora</w:t>
      </w:r>
      <w: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mediano</w:t>
      </w:r>
      <w:r>
        <w:t xml:space="preserve"> </w:t>
      </w:r>
      <w:r>
        <w:rPr>
          <w:bCs/>
          <w:b/>
        </w:rPr>
        <w:t xml:space="preserve">C$29.75/hora</w:t>
      </w:r>
      <w: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alto</w:t>
      </w:r>
      <w:r>
        <w:t xml:space="preserve"> </w:t>
      </w:r>
      <w:r>
        <w:rPr>
          <w:bCs/>
          <w:b/>
        </w:rPr>
        <w:t xml:space="preserve">C$46.00/hora</w:t>
      </w:r>
      <w:r>
        <w:t xml:space="preserve">.</w:t>
      </w:r>
    </w:p>
    <w:p>
      <w:pPr>
        <w:pStyle w:val="FirstParagraph"/>
      </w:pPr>
      <w:r>
        <w:t xml:space="preserve">El resumen nacional indica que normalmente puede requerirse un diploma college, apprenticeship de dos o más años o experiencia relacionada de supervisión. Requisitos y perspectivas varían por provincia/territorio.</w:t>
      </w:r>
    </w:p>
    <w:p>
      <w:pPr>
        <w:pStyle w:val="BodyText"/>
      </w:pPr>
      <w:r>
        <w:t xml:space="preserve">Verifique también las reglas provinciales de títulos profesionales o práctica topográfica antes de aceptar funciones reguladas.</w:t>
      </w:r>
    </w:p>
    <w:bookmarkEnd w:id="53"/>
    <w:bookmarkStart w:id="55" w:name="colombia"/>
    <w:p>
      <w:pPr>
        <w:pStyle w:val="Heading2"/>
      </w:pPr>
      <w:r>
        <w:t xml:space="preserve">Colombia</w:t>
      </w:r>
    </w:p>
    <w:p>
      <w:pPr>
        <w:pStyle w:val="FirstParagraph"/>
      </w:pPr>
      <w:r>
        <w:rPr>
          <w:bCs/>
          <w:b/>
        </w:rPr>
        <w:t xml:space="preserve">CUOC 31122 — Técnicos en topografía</w:t>
      </w:r>
      <w:r>
        <w:t xml:space="preserve"> </w:t>
      </w:r>
      <w:r>
        <w:t xml:space="preserve">es una comparación directa.</w:t>
      </w:r>
    </w:p>
    <w:p>
      <w:pPr>
        <w:pStyle w:val="BodyText"/>
      </w:pPr>
      <w:r>
        <w:t xml:space="preserve">Las funciones incluyen levantamientos, georreferenciación, control de niveles/asentamientos/excavaciones, operación de instrumentos de distancia/ángulo/elevación, modelos digitales de terreno, mediciones de campo, cálculos, planos/mapas, procesamiento de datos topográficos/catastrales/geodésicos, localización de obras viales/urbanas/hidráulicas y coordinación de campo.</w:t>
      </w:r>
    </w:p>
    <w:bookmarkStart w:id="54" w:name="Xc50f59cc1877d00cd6a7267db704478982585b3"/>
    <w:p>
      <w:pPr>
        <w:pStyle w:val="Heading3"/>
      </w:pPr>
      <w:r>
        <w:t xml:space="preserve">Limitación salarial importante en Colombia</w:t>
      </w:r>
    </w:p>
    <w:p>
      <w:pPr>
        <w:pStyle w:val="FirstParagraph"/>
      </w:pPr>
      <w:r>
        <w:t xml:space="preserve">OCUPACOL muestra un rango histórico de</w:t>
      </w:r>
      <w:r>
        <w:t xml:space="preserve"> </w:t>
      </w:r>
      <w:r>
        <w:rPr>
          <w:bCs/>
          <w:b/>
        </w:rPr>
        <w:t xml:space="preserve">COP $350,000–$2,910,053</w:t>
      </w:r>
      <w:r>
        <w:t xml:space="preserve">, pero declara expresamente que esos datos</w:t>
      </w:r>
      <w:r>
        <w:t xml:space="preserve"> </w:t>
      </w:r>
      <w:r>
        <w:rPr>
          <w:bCs/>
          <w:b/>
        </w:rPr>
        <w:t xml:space="preserve">no tienen representatividad estadística</w:t>
      </w:r>
      <w:r>
        <w:t xml:space="preserve"> </w:t>
      </w:r>
      <w:r>
        <w:t xml:space="preserve">según su metodología. No lo use como salario nacional confiable.</w:t>
      </w:r>
    </w:p>
    <w:bookmarkEnd w:id="54"/>
    <w:bookmarkEnd w:id="55"/>
    <w:bookmarkStart w:id="58" w:name="colombia--rutas-sena"/>
    <w:p>
      <w:pPr>
        <w:pStyle w:val="Heading2"/>
      </w:pPr>
      <w:r>
        <w:t xml:space="preserve">Colombia — rutas SENA</w:t>
      </w:r>
    </w:p>
    <w:bookmarkStart w:id="56" w:name="Xaa27829ef8d5e125a8de0bb7a79950f4f9b31e5"/>
    <w:p>
      <w:pPr>
        <w:pStyle w:val="Heading3"/>
      </w:pPr>
      <w:r>
        <w:t xml:space="preserve">Tecnólogo — Levantamientos Topográficos y Georreferenciación</w:t>
      </w:r>
    </w:p>
    <w:p>
      <w:pPr>
        <w:pStyle w:val="FirstParagraph"/>
      </w:pPr>
      <w:r>
        <w:t xml:space="preserve">Información actual de SENA Betowa: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3,984 horas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t xml:space="preserve">Titulada;</w:t>
      </w:r>
    </w:p>
    <w:p>
      <w:pPr>
        <w:numPr>
          <w:ilvl w:val="0"/>
          <w:numId w:val="1029"/>
        </w:numPr>
        <w:pStyle w:val="Compact"/>
      </w:pPr>
      <w:r>
        <w:t xml:space="preserve">Tecnólogo;</w:t>
      </w:r>
    </w:p>
    <w:p>
      <w:pPr>
        <w:numPr>
          <w:ilvl w:val="0"/>
          <w:numId w:val="1029"/>
        </w:numPr>
        <w:pStyle w:val="Compact"/>
      </w:pPr>
      <w:r>
        <w:t xml:space="preserve">presencial;</w:t>
      </w:r>
    </w:p>
    <w:p>
      <w:pPr>
        <w:numPr>
          <w:ilvl w:val="0"/>
          <w:numId w:val="1029"/>
        </w:numPr>
        <w:pStyle w:val="Compact"/>
      </w:pPr>
      <w:r>
        <w:t xml:space="preserve">competencias en levantamientos planimétricos/altimétricos, georreferenciación de ingeniería, fotogrametría, obras especiales, vías/urbanismo/hidráulica, herramientas digitales y etapa práctica.</w:t>
      </w:r>
    </w:p>
    <w:bookmarkEnd w:id="56"/>
    <w:bookmarkStart w:id="57" w:name="Xa033875b567b116426d1ecc6dfc055240501b57"/>
    <w:p>
      <w:pPr>
        <w:pStyle w:val="Heading3"/>
      </w:pPr>
      <w:r>
        <w:t xml:space="preserve">Técnico — Soporte de Topografía y Georreferenciación</w:t>
      </w:r>
    </w:p>
    <w:p>
      <w:pPr>
        <w:pStyle w:val="FirstParagraph"/>
      </w:pPr>
      <w:r>
        <w:t xml:space="preserve">Información actual de SENA Betowa: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2,304 horas</w:t>
      </w:r>
      <w:r>
        <w:t xml:space="preserve">;</w:t>
      </w:r>
    </w:p>
    <w:p>
      <w:pPr>
        <w:numPr>
          <w:ilvl w:val="0"/>
          <w:numId w:val="1030"/>
        </w:numPr>
        <w:pStyle w:val="Compact"/>
      </w:pPr>
      <w:r>
        <w:t xml:space="preserve">Titulada;</w:t>
      </w:r>
    </w:p>
    <w:p>
      <w:pPr>
        <w:numPr>
          <w:ilvl w:val="0"/>
          <w:numId w:val="1030"/>
        </w:numPr>
        <w:pStyle w:val="Compact"/>
      </w:pPr>
      <w:r>
        <w:t xml:space="preserve">Técnico;</w:t>
      </w:r>
    </w:p>
    <w:p>
      <w:pPr>
        <w:numPr>
          <w:ilvl w:val="0"/>
          <w:numId w:val="1030"/>
        </w:numPr>
        <w:pStyle w:val="Compact"/>
      </w:pPr>
      <w:r>
        <w:t xml:space="preserve">presencial;</w:t>
      </w:r>
    </w:p>
    <w:p>
      <w:pPr>
        <w:numPr>
          <w:ilvl w:val="0"/>
          <w:numId w:val="1030"/>
        </w:numPr>
        <w:pStyle w:val="Compact"/>
      </w:pPr>
      <w:r>
        <w:t xml:space="preserve">competencias en medición de construcciones, replanteo, herramientas digitales, razonamiento cuantitativo, seguridad/medio ambiente y etapa práctica.</w:t>
      </w:r>
    </w:p>
    <w:p>
      <w:pPr>
        <w:pStyle w:val="FirstParagraph"/>
      </w:pPr>
      <w:r>
        <w:t xml:space="preserve">Cohortes, sedes y cupos cambian. Verifique Betowa en vivo antes de depender de una fecha de inscripción.</w:t>
      </w:r>
    </w:p>
    <w:bookmarkEnd w:id="57"/>
    <w:bookmarkEnd w:id="58"/>
    <w:bookmarkStart w:id="59" w:name="chile"/>
    <w:p>
      <w:pPr>
        <w:pStyle w:val="Heading2"/>
      </w:pPr>
      <w:r>
        <w:t xml:space="preserve">Chile</w:t>
      </w:r>
    </w:p>
    <w:p>
      <w:pPr>
        <w:pStyle w:val="FirstParagraph"/>
      </w:pPr>
      <w:r>
        <w:t xml:space="preserve">ChileValora ofrece una progresión vigente: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Ayudante de Topografía</w:t>
      </w:r>
      <w:r>
        <w:t xml:space="preserve"> </w:t>
      </w:r>
      <w:r>
        <w:t xml:space="preserve">— nivel de cualificación 1, vigente hasta</w:t>
      </w:r>
      <w:r>
        <w:t xml:space="preserve"> </w:t>
      </w:r>
      <w:r>
        <w:rPr>
          <w:bCs/>
          <w:b/>
        </w:rPr>
        <w:t xml:space="preserve">30 de diciembre de 2028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Topógrafo(a)</w:t>
      </w:r>
      <w:r>
        <w:t xml:space="preserve"> </w:t>
      </w:r>
      <w:r>
        <w:t xml:space="preserve">— nivel de cualificación 2, vigente hasta</w:t>
      </w:r>
      <w:r>
        <w:t xml:space="preserve"> </w:t>
      </w:r>
      <w:r>
        <w:rPr>
          <w:bCs/>
          <w:b/>
        </w:rPr>
        <w:t xml:space="preserve">30 de diciembre de 2028</w:t>
      </w:r>
      <w:r>
        <w:t xml:space="preserve">.</w:t>
      </w:r>
    </w:p>
    <w:p>
      <w:pPr>
        <w:pStyle w:val="FirstParagraph"/>
      </w:pPr>
      <w:r>
        <w:t xml:space="preserve">Los perfiles cubren seguridad de campo, equipos, apoyo de medición, estación total/niveles, georreferenciación y replanteo de obras. El alcance de certificación no equivale a autoridad ilimitada de topógrafo legal.</w:t>
      </w:r>
    </w:p>
    <w:bookmarkEnd w:id="59"/>
    <w:bookmarkStart w:id="60" w:name="perú"/>
    <w:p>
      <w:pPr>
        <w:pStyle w:val="Heading2"/>
      </w:pPr>
      <w:r>
        <w:t xml:space="preserve">Perú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Cs/>
          <w:b/>
        </w:rPr>
        <w:t xml:space="preserve">Carrera Profesional Técnica — Topografía y Geodesia</w:t>
      </w:r>
      <w:r>
        <w:t xml:space="preserve"> </w:t>
      </w:r>
      <w:r>
        <w:t xml:space="preserve">de SENCICO dura</w:t>
      </w:r>
      <w:r>
        <w:t xml:space="preserve"> </w:t>
      </w:r>
      <w:r>
        <w:rPr>
          <w:bCs/>
          <w:b/>
        </w:rPr>
        <w:t xml:space="preserve">3 años</w:t>
      </w:r>
      <w:r>
        <w:t xml:space="preserve">.</w:t>
      </w:r>
    </w:p>
    <w:p>
      <w:pPr>
        <w:pStyle w:val="BodyText"/>
      </w:pPr>
      <w:r>
        <w:t xml:space="preserve">El plan actual incluye topografía, CAD, fotogrametría, cartografía, GIS, geodesia, catastro, imágenes satelitales, bases georreferenciadas y experiencias formativas en trabajo real.</w:t>
      </w:r>
    </w:p>
    <w:p>
      <w:pPr>
        <w:pStyle w:val="BodyText"/>
      </w:pPr>
      <w:r>
        <w:t xml:space="preserve">El examen del 8 de agosto de 2026 ya pasó. Verifique el siguiente ciclo de admisión.</w:t>
      </w:r>
    </w:p>
    <w:p>
      <w:pPr>
        <w:pStyle w:val="BodyText"/>
      </w:pPr>
      <w:r>
        <w:t xml:space="preserve">Los materiales de Beca Tec de PRONABEC incluyen SENCICO Topografía y Geodesia entre programas/sedes participantes. Verifique convocatoria, elegibilidad y cobertura vigentes antes de asumir financiamiento.</w:t>
      </w:r>
    </w:p>
    <w:bookmarkEnd w:id="60"/>
    <w:bookmarkStart w:id="61" w:name="brasil"/>
    <w:p>
      <w:pPr>
        <w:pStyle w:val="Heading2"/>
      </w:pPr>
      <w:r>
        <w:t xml:space="preserve">Brasil</w:t>
      </w:r>
    </w:p>
    <w:p>
      <w:pPr>
        <w:pStyle w:val="FirstParagraph"/>
      </w:pPr>
      <w:r>
        <w:t xml:space="preserve">La CBO de Brasil incluye la familia</w:t>
      </w:r>
      <w:r>
        <w:t xml:space="preserve"> </w:t>
      </w:r>
      <w:r>
        <w:rPr>
          <w:bCs/>
          <w:b/>
        </w:rPr>
        <w:t xml:space="preserve">3123 — Técnicos em geomática</w:t>
      </w:r>
      <w:r>
        <w:t xml:space="preserve">, incluyendo: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3123-05 Técnico em Agrimensura</w:t>
      </w:r>
      <w:r>
        <w:t xml:space="preserve">;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3123-10 Técnico em Geodésia e Cartografia</w:t>
      </w:r>
      <w:r>
        <w:t xml:space="preserve">;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3123-20 Topógrafo</w:t>
      </w:r>
      <w:r>
        <w:t xml:space="preserve">.</w:t>
      </w:r>
    </w:p>
    <w:p>
      <w:pPr>
        <w:pStyle w:val="FirstParagraph"/>
      </w:pPr>
      <w:r>
        <w:t xml:space="preserve">El alcance técnico incluye levantamientos geodésicos/topohidrográficos, implantación de puntos de proyecto, análisis cartográfico y elaboración de documentos cartográficos.</w:t>
      </w:r>
    </w:p>
    <w:p>
      <w:pPr>
        <w:pStyle w:val="BodyText"/>
      </w:pPr>
      <w:r>
        <w:t xml:space="preserve">La clasificación o formación técnica no resuelve automáticamente requisitos de registro profesional o práctica reservada. Verifique las reglas aplicables al servicio ofrecido.</w:t>
      </w:r>
    </w:p>
    <w:bookmarkEnd w:id="61"/>
    <w:bookmarkStart w:id="62" w:name="ideas-seguras-de-portafolio"/>
    <w:p>
      <w:pPr>
        <w:pStyle w:val="Heading2"/>
      </w:pPr>
      <w:r>
        <w:t xml:space="preserve">Ideas seguras de portafolio</w:t>
      </w:r>
    </w:p>
    <w:p>
      <w:pPr>
        <w:pStyle w:val="FirstParagraph"/>
      </w:pPr>
      <w:r>
        <w:t xml:space="preserve">Use datos públicos/abiertos o sintéticos. Ejemplos:</w:t>
      </w:r>
    </w:p>
    <w:p>
      <w:pPr>
        <w:numPr>
          <w:ilvl w:val="0"/>
          <w:numId w:val="1033"/>
        </w:numPr>
        <w:pStyle w:val="Compact"/>
      </w:pPr>
      <w:r>
        <w:t xml:space="preserve">diagrama de workflow de estación total con observaciones sintéticas;</w:t>
      </w:r>
    </w:p>
    <w:p>
      <w:pPr>
        <w:numPr>
          <w:ilvl w:val="0"/>
          <w:numId w:val="1033"/>
        </w:numPr>
        <w:pStyle w:val="Compact"/>
      </w:pPr>
      <w:r>
        <w:t xml:space="preserve">workbook de poligonal con coordenadas inventadas;</w:t>
      </w:r>
    </w:p>
    <w:p>
      <w:pPr>
        <w:numPr>
          <w:ilvl w:val="0"/>
          <w:numId w:val="1033"/>
        </w:numPr>
        <w:pStyle w:val="Compact"/>
      </w:pPr>
      <w:r>
        <w:t xml:space="preserve">superficie/perfil CAD a partir de puntos sintéticos;</w:t>
      </w:r>
    </w:p>
    <w:p>
      <w:pPr>
        <w:numPr>
          <w:ilvl w:val="0"/>
          <w:numId w:val="1033"/>
        </w:numPr>
        <w:pStyle w:val="Compact"/>
      </w:pPr>
      <w:r>
        <w:t xml:space="preserve">checklist de calidad GNSS;</w:t>
      </w:r>
    </w:p>
    <w:p>
      <w:pPr>
        <w:numPr>
          <w:ilvl w:val="0"/>
          <w:numId w:val="1033"/>
        </w:numPr>
        <w:pStyle w:val="Compact"/>
      </w:pPr>
      <w:r>
        <w:t xml:space="preserve">mapa GIS con open data y CRS documentado;</w:t>
      </w:r>
    </w:p>
    <w:p>
      <w:pPr>
        <w:numPr>
          <w:ilvl w:val="0"/>
          <w:numId w:val="1033"/>
        </w:numPr>
        <w:pStyle w:val="Compact"/>
      </w:pPr>
      <w:r>
        <w:t xml:space="preserve">workflow de fotogrametría con imágenes no sensibles;</w:t>
      </w:r>
    </w:p>
    <w:p>
      <w:pPr>
        <w:numPr>
          <w:ilvl w:val="0"/>
          <w:numId w:val="1033"/>
        </w:numPr>
        <w:pStyle w:val="Compact"/>
      </w:pPr>
      <w:r>
        <w:t xml:space="preserve">checklist QA de replanteo;</w:t>
      </w:r>
    </w:p>
    <w:p>
      <w:pPr>
        <w:numPr>
          <w:ilvl w:val="0"/>
          <w:numId w:val="1033"/>
        </w:numPr>
        <w:pStyle w:val="Compact"/>
      </w:pPr>
      <w:r>
        <w:t xml:space="preserve">plantilla de notas de campo con linaje y verificaciones independientes;</w:t>
      </w:r>
    </w:p>
    <w:p>
      <w:pPr>
        <w:numPr>
          <w:ilvl w:val="0"/>
          <w:numId w:val="1033"/>
        </w:numPr>
        <w:pStyle w:val="Compact"/>
      </w:pPr>
      <w:r>
        <w:t xml:space="preserve">mapa accesible con alternativa texto/tabla.</w:t>
      </w:r>
    </w:p>
    <w:p>
      <w:pPr>
        <w:pStyle w:val="FirstParagraph"/>
      </w:pPr>
      <w:r>
        <w:t xml:space="preserve">No publique evidencia privada de parcelas, redes de control de clientes, ubicaciones protegidas de servicios, imágenes restringidas o archivos propietarios.</w:t>
      </w:r>
    </w:p>
    <w:bookmarkEnd w:id="62"/>
    <w:bookmarkStart w:id="67" w:name="plan-inicial-de-cuatro-semanas"/>
    <w:p>
      <w:pPr>
        <w:pStyle w:val="Heading2"/>
      </w:pPr>
      <w:r>
        <w:t xml:space="preserve">Plan inicial de cuatro semanas</w:t>
      </w:r>
    </w:p>
    <w:bookmarkStart w:id="63" w:name="semana-1--medición-y-coordenadas"/>
    <w:p>
      <w:pPr>
        <w:pStyle w:val="Heading3"/>
      </w:pPr>
      <w:r>
        <w:t xml:space="preserve">Semana 1 — medición y coordenadas</w:t>
      </w:r>
    </w:p>
    <w:p>
      <w:pPr>
        <w:pStyle w:val="FirstParagraph"/>
      </w:pPr>
      <w:r>
        <w:t xml:space="preserve">Aprenda unidades, ángulos, elevación, rumbos/azimut, coordenadas, datums, proyecciones y disciplina de notas. Practique cálculos con datos sintéticos.</w:t>
      </w:r>
    </w:p>
    <w:bookmarkEnd w:id="63"/>
    <w:bookmarkStart w:id="64" w:name="semana-2--conceptos-de-equipo-y-campo"/>
    <w:p>
      <w:pPr>
        <w:pStyle w:val="Heading3"/>
      </w:pPr>
      <w:r>
        <w:t xml:space="preserve">Semana 2 — conceptos de equipo y campo</w:t>
      </w:r>
    </w:p>
    <w:p>
      <w:pPr>
        <w:pStyle w:val="FirstParagraph"/>
      </w:pPr>
      <w:r>
        <w:t xml:space="preserve">Estudie estación total, nivel, GNSS, controles, replanteo y seguridad. Use material del fabricante o práctica supervisada; no improvise trabajo de alta consecuencia.</w:t>
      </w:r>
    </w:p>
    <w:bookmarkEnd w:id="64"/>
    <w:bookmarkStart w:id="65" w:name="semana-3--procesamiento-y-cartografía"/>
    <w:p>
      <w:pPr>
        <w:pStyle w:val="Heading3"/>
      </w:pPr>
      <w:r>
        <w:t xml:space="preserve">Semana 3 — procesamiento y cartografía</w:t>
      </w:r>
    </w:p>
    <w:p>
      <w:pPr>
        <w:pStyle w:val="FirstParagraph"/>
      </w:pPr>
      <w:r>
        <w:t xml:space="preserve">Practique importar puntos sintéticos/abiertos a CAD/GIS, crear superficies/mapas, verificar CRS/unidades, validar descripciones y documentar transformaciones.</w:t>
      </w:r>
    </w:p>
    <w:bookmarkEnd w:id="65"/>
    <w:bookmarkStart w:id="66" w:name="semana-4--qa-portafolio-e-entrevistas"/>
    <w:p>
      <w:pPr>
        <w:pStyle w:val="Heading3"/>
      </w:pPr>
      <w:r>
        <w:t xml:space="preserve">Semana 4 — QA, portafolio e entrevistas</w:t>
      </w:r>
    </w:p>
    <w:p>
      <w:pPr>
        <w:pStyle w:val="FirstParagraph"/>
      </w:pPr>
      <w:r>
        <w:t xml:space="preserve">Cree un proyecto seguro con observaciones, verificaciones de cálculo, output cartográfico/dibujo y reporte breve de QA. Prepare ejemplos de cómo detectaría y escalaría problemas de medición.</w:t>
      </w:r>
    </w:p>
    <w:bookmarkEnd w:id="66"/>
    <w:bookmarkEnd w:id="67"/>
    <w:bookmarkStart w:id="68" w:name="preparación-para-entrevistas"/>
    <w:p>
      <w:pPr>
        <w:pStyle w:val="Heading2"/>
      </w:pPr>
      <w:r>
        <w:t xml:space="preserve">Preparación para entrevistas</w:t>
      </w:r>
    </w:p>
    <w:p>
      <w:pPr>
        <w:pStyle w:val="FirstParagraph"/>
      </w:pPr>
      <w:r>
        <w:t xml:space="preserve">Prepárese para explicar:</w:t>
      </w:r>
    </w:p>
    <w:p>
      <w:pPr>
        <w:numPr>
          <w:ilvl w:val="0"/>
          <w:numId w:val="1034"/>
        </w:numPr>
        <w:pStyle w:val="Compact"/>
      </w:pPr>
      <w:r>
        <w:t xml:space="preserve">exactitud versus precisión;</w:t>
      </w:r>
    </w:p>
    <w:p>
      <w:pPr>
        <w:numPr>
          <w:ilvl w:val="0"/>
          <w:numId w:val="1034"/>
        </w:numPr>
        <w:pStyle w:val="Compact"/>
      </w:pPr>
      <w:r>
        <w:t xml:space="preserve">controles de montaje de estación total;</w:t>
      </w:r>
    </w:p>
    <w:p>
      <w:pPr>
        <w:numPr>
          <w:ilvl w:val="0"/>
          <w:numId w:val="1034"/>
        </w:numPr>
        <w:pStyle w:val="Compact"/>
      </w:pPr>
      <w:r>
        <w:t xml:space="preserve">por qué una coordenada no es automáticamente survey-grade;</w:t>
      </w:r>
    </w:p>
    <w:p>
      <w:pPr>
        <w:numPr>
          <w:ilvl w:val="0"/>
          <w:numId w:val="1034"/>
        </w:numPr>
        <w:pStyle w:val="Compact"/>
      </w:pPr>
      <w:r>
        <w:t xml:space="preserve">puntos de control/benchmarks;</w:t>
      </w:r>
    </w:p>
    <w:p>
      <w:pPr>
        <w:numPr>
          <w:ilvl w:val="0"/>
          <w:numId w:val="1034"/>
        </w:numPr>
        <w:pStyle w:val="Compact"/>
      </w:pPr>
      <w:r>
        <w:t xml:space="preserve">causas comunes de error GNSS;</w:t>
      </w:r>
    </w:p>
    <w:p>
      <w:pPr>
        <w:numPr>
          <w:ilvl w:val="0"/>
          <w:numId w:val="1034"/>
        </w:numPr>
        <w:pStyle w:val="Compact"/>
      </w:pPr>
      <w:r>
        <w:t xml:space="preserve">sistemas de coordenadas y unidades;</w:t>
      </w:r>
    </w:p>
    <w:p>
      <w:pPr>
        <w:numPr>
          <w:ilvl w:val="0"/>
          <w:numId w:val="1034"/>
        </w:numPr>
        <w:pStyle w:val="Compact"/>
      </w:pPr>
      <w:r>
        <w:t xml:space="preserve">concepto de cierre de poligonal;</w:t>
      </w:r>
    </w:p>
    <w:p>
      <w:pPr>
        <w:numPr>
          <w:ilvl w:val="0"/>
          <w:numId w:val="1034"/>
        </w:numPr>
        <w:pStyle w:val="Compact"/>
      </w:pPr>
      <w:r>
        <w:t xml:space="preserve">notas/linaje;</w:t>
      </w:r>
    </w:p>
    <w:p>
      <w:pPr>
        <w:numPr>
          <w:ilvl w:val="0"/>
          <w:numId w:val="1034"/>
        </w:numPr>
        <w:pStyle w:val="Compact"/>
      </w:pPr>
      <w:r>
        <w:t xml:space="preserve">mediciones independientes;</w:t>
      </w:r>
    </w:p>
    <w:p>
      <w:pPr>
        <w:numPr>
          <w:ilvl w:val="0"/>
          <w:numId w:val="1034"/>
        </w:numPr>
        <w:pStyle w:val="Compact"/>
      </w:pPr>
      <w:r>
        <w:t xml:space="preserve">control de revisión del plano para replanteo;</w:t>
      </w:r>
    </w:p>
    <w:p>
      <w:pPr>
        <w:numPr>
          <w:ilvl w:val="0"/>
          <w:numId w:val="1034"/>
        </w:numPr>
        <w:pStyle w:val="Compact"/>
      </w:pPr>
      <w:r>
        <w:t xml:space="preserve">QA en CAD/GIS;</w:t>
      </w:r>
    </w:p>
    <w:p>
      <w:pPr>
        <w:numPr>
          <w:ilvl w:val="0"/>
          <w:numId w:val="1034"/>
        </w:numPr>
        <w:pStyle w:val="Compact"/>
      </w:pPr>
      <w:r>
        <w:t xml:space="preserve">autoridad del técnico versus profesional licenciado;</w:t>
      </w:r>
    </w:p>
    <w:p>
      <w:pPr>
        <w:numPr>
          <w:ilvl w:val="0"/>
          <w:numId w:val="1034"/>
        </w:numPr>
        <w:pStyle w:val="Compact"/>
      </w:pPr>
      <w:r>
        <w:t xml:space="preserve">límites de autorización de drones;</w:t>
      </w:r>
    </w:p>
    <w:p>
      <w:pPr>
        <w:numPr>
          <w:ilvl w:val="0"/>
          <w:numId w:val="1034"/>
        </w:numPr>
        <w:pStyle w:val="Compact"/>
      </w:pPr>
      <w:r>
        <w:t xml:space="preserve">protección de datos sensibles;</w:t>
      </w:r>
    </w:p>
    <w:p>
      <w:pPr>
        <w:numPr>
          <w:ilvl w:val="0"/>
          <w:numId w:val="1034"/>
        </w:numPr>
        <w:pStyle w:val="Compact"/>
      </w:pPr>
      <w:r>
        <w:t xml:space="preserve">validación de cálculo o script generado por IA.</w:t>
      </w:r>
    </w:p>
    <w:bookmarkEnd w:id="68"/>
    <w:bookmarkStart w:id="69" w:name="preguntas-al-empleador"/>
    <w:p>
      <w:pPr>
        <w:pStyle w:val="Heading2"/>
      </w:pPr>
      <w:r>
        <w:t xml:space="preserve">Preguntas al empleador</w:t>
      </w:r>
    </w:p>
    <w:p>
      <w:pPr>
        <w:numPr>
          <w:ilvl w:val="0"/>
          <w:numId w:val="1035"/>
        </w:numPr>
        <w:pStyle w:val="Compact"/>
      </w:pPr>
      <w:r>
        <w:t xml:space="preserve">¿Qué porcentaje del rol es campo versus oficina?</w:t>
      </w:r>
    </w:p>
    <w:p>
      <w:pPr>
        <w:numPr>
          <w:ilvl w:val="0"/>
          <w:numId w:val="1035"/>
        </w:numPr>
        <w:pStyle w:val="Compact"/>
      </w:pPr>
      <w:r>
        <w:t xml:space="preserve">¿Qué instrumentos utilizan?</w:t>
      </w:r>
    </w:p>
    <w:p>
      <w:pPr>
        <w:numPr>
          <w:ilvl w:val="0"/>
          <w:numId w:val="1035"/>
        </w:numPr>
        <w:pStyle w:val="Compact"/>
      </w:pPr>
      <w:r>
        <w:t xml:space="preserve">¿Qué plataformas CAD/GIS son estándar?</w:t>
      </w:r>
    </w:p>
    <w:p>
      <w:pPr>
        <w:numPr>
          <w:ilvl w:val="0"/>
          <w:numId w:val="1035"/>
        </w:numPr>
        <w:pStyle w:val="Compact"/>
      </w:pPr>
      <w:r>
        <w:t xml:space="preserve">¿Quién establece y aprueba el control del proyecto?</w:t>
      </w:r>
    </w:p>
    <w:p>
      <w:pPr>
        <w:numPr>
          <w:ilvl w:val="0"/>
          <w:numId w:val="1035"/>
        </w:numPr>
        <w:pStyle w:val="Compact"/>
      </w:pPr>
      <w:r>
        <w:t xml:space="preserve">¿Qué tolerancias/cierres se exigen?</w:t>
      </w:r>
    </w:p>
    <w:p>
      <w:pPr>
        <w:numPr>
          <w:ilvl w:val="0"/>
          <w:numId w:val="1035"/>
        </w:numPr>
        <w:pStyle w:val="Compact"/>
      </w:pPr>
      <w:r>
        <w:t xml:space="preserve">¿Quién revisa notas y cálculos?</w:t>
      </w:r>
    </w:p>
    <w:p>
      <w:pPr>
        <w:numPr>
          <w:ilvl w:val="0"/>
          <w:numId w:val="1035"/>
        </w:numPr>
        <w:pStyle w:val="Compact"/>
      </w:pPr>
      <w:r>
        <w:t xml:space="preserve">¿Se realizan servicios de límites legales y quién tiene autoridad de firma/sello?</w:t>
      </w:r>
    </w:p>
    <w:p>
      <w:pPr>
        <w:numPr>
          <w:ilvl w:val="0"/>
          <w:numId w:val="1035"/>
        </w:numPr>
        <w:pStyle w:val="Compact"/>
      </w:pPr>
      <w:r>
        <w:t xml:space="preserve">¿Se requiere trabajo con drones y quién tiene responsabilidad de piloto/operador?</w:t>
      </w:r>
    </w:p>
    <w:p>
      <w:pPr>
        <w:numPr>
          <w:ilvl w:val="0"/>
          <w:numId w:val="1035"/>
        </w:numPr>
        <w:pStyle w:val="Compact"/>
      </w:pPr>
      <w:r>
        <w:t xml:space="preserve">¿Qué controles aplican para tráfico, calor, campo remoto y construcción?</w:t>
      </w:r>
    </w:p>
    <w:p>
      <w:pPr>
        <w:numPr>
          <w:ilvl w:val="0"/>
          <w:numId w:val="1035"/>
        </w:numPr>
        <w:pStyle w:val="Compact"/>
      </w:pPr>
      <w:r>
        <w:t xml:space="preserve">¿Se exige viajar o pernoctar en campo?</w:t>
      </w:r>
    </w:p>
    <w:p>
      <w:pPr>
        <w:numPr>
          <w:ilvl w:val="0"/>
          <w:numId w:val="1035"/>
        </w:numPr>
        <w:pStyle w:val="Compact"/>
      </w:pPr>
      <w:r>
        <w:t xml:space="preserve">¿Qué capacitación se brinda para equipos/software?</w:t>
      </w:r>
    </w:p>
    <w:p>
      <w:pPr>
        <w:numPr>
          <w:ilvl w:val="0"/>
          <w:numId w:val="1035"/>
        </w:numPr>
        <w:pStyle w:val="Compact"/>
      </w:pPr>
      <w:r>
        <w:t xml:space="preserve">¿Cómo se controlan datos crudos, revisiones, backups y archivos de clientes?</w:t>
      </w:r>
    </w:p>
    <w:bookmarkEnd w:id="69"/>
    <w:bookmarkStart w:id="89" w:name="enlaces-de-verificación-para-lectores"/>
    <w:p>
      <w:pPr>
        <w:pStyle w:val="Heading2"/>
      </w:pPr>
      <w:r>
        <w:t xml:space="preserve">Enlaces de verificación para lectores</w:t>
      </w:r>
    </w:p>
    <w:p>
      <w:pPr>
        <w:numPr>
          <w:ilvl w:val="0"/>
          <w:numId w:val="1036"/>
        </w:numPr>
        <w:pStyle w:val="Compact"/>
      </w:pPr>
      <w:hyperlink r:id="rId70">
        <w:hyperlink r:id="rId7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80">
        <w:hyperlink r:id="rId8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81">
        <w:r>
          <w:rPr>
            <w:rStyle w:val="Hyperlink"/>
          </w:rPr>
          <w:t xml:space="preserve">https://www.pronabec.gob.pe/beca-tec/</w:t>
        </w:r>
      </w:hyperlink>
    </w:p>
    <w:p>
      <w:pPr>
        <w:numPr>
          <w:ilvl w:val="0"/>
          <w:numId w:val="1036"/>
        </w:numPr>
        <w:pStyle w:val="Compact"/>
      </w:pPr>
      <w:hyperlink r:id="rId82">
        <w:hyperlink r:id="rId8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85">
        <w:r>
          <w:rPr>
            <w:rStyle w:val="Hyperlink"/>
          </w:rPr>
          <w:t xml:space="preserve">https://www.osha.gov/heat-exposure/prevention</w:t>
        </w:r>
      </w:hyperlink>
    </w:p>
    <w:p>
      <w:pPr>
        <w:numPr>
          <w:ilvl w:val="0"/>
          <w:numId w:val="1036"/>
        </w:numPr>
        <w:pStyle w:val="Compact"/>
      </w:pP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87">
        <w:hyperlink r:id="rId8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hyperlink r:id="rId88">
        <w:hyperlink r:id="rId88">
          <w:r>
            <w:rPr>
              <w:rStyle w:val="Hyperlink"/>
            </w:rPr>
            <w:t xml:space="preserve">Source link</w:t>
          </w:r>
        </w:hyperlink>
      </w:hyperlink>
    </w:p>
    <w:bookmarkEnd w:id="89"/>
    <w:bookmarkStart w:id="90" w:name="límites-importantes"/>
    <w:p>
      <w:pPr>
        <w:pStyle w:val="Heading2"/>
      </w:pPr>
      <w:r>
        <w:t xml:space="preserve">Límites importantes</w:t>
      </w:r>
    </w:p>
    <w:p>
      <w:pPr>
        <w:pStyle w:val="FirstParagraph"/>
      </w:pPr>
      <w:r>
        <w:t xml:space="preserve">Esta guía ofrece información educativa y de planificación profesional. No garantiza empleo, remuneración, admisión, financiamiento, certificación, licencia, autoridad topográfica legal, registro profesional, exactitud de proyecto o promoción. No constituye certificación legal, topográfica, catastral, de ingeniería, aviación, privacidad, ciberseguridad, seguridad laboral o accesibilidad. La disponibilidad de formación y requisitos regulatorios pueden cambiar. Las ediciones lingüísticas del proyecto son localizaciones controladas, no traducciones certificadas.</w:t>
      </w: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6" Target="https://betowa.sena.edu.co/oferta/levantamientos-topograficos-y-georreferenciacion?location=57068276&amp;modality=P&amp;programId=118735" TargetMode="External" /><Relationship Type="http://schemas.openxmlformats.org/officeDocument/2006/relationships/hyperlink" Id="rId77" Target="https://betowa.sena.edu.co/oferta/soporte-de-topografia-y-georreferenciacion?modality=P&amp;programId=194216" TargetMode="External" /><Relationship Type="http://schemas.openxmlformats.org/officeDocument/2006/relationships/hyperlink" Id="rId78" Target="https://certificacion.chilevalora.cl/ChileValora-publica/perfilesEdit.html?paramRequest=2162" TargetMode="External" /><Relationship Type="http://schemas.openxmlformats.org/officeDocument/2006/relationships/hyperlink" Id="rId79" Target="https://certificacion.chilevalora.cl/ChileValora-publica/perfilesEdit.html?paramRequest=2163" TargetMode="External" /><Relationship Type="http://schemas.openxmlformats.org/officeDocument/2006/relationships/hyperlink" Id="rId80" Target="https://escuela.sencico.gob.pe/topografia-y-geodesia/" TargetMode="External" /><Relationship Type="http://schemas.openxmlformats.org/officeDocument/2006/relationships/hyperlink" Id="rId75" Target="https://ocupacol.mintrabajo.gov.co/Profile/OccupationalProfile/31122" TargetMode="External" /><Relationship Type="http://schemas.openxmlformats.org/officeDocument/2006/relationships/hyperlink" Id="rId84" Target="https://tc.canada.ca/en/aviation/drone-safety/drone-pilot-licensing/getting-drone-pilot-certificate" TargetMode="External" /><Relationship Type="http://schemas.openxmlformats.org/officeDocument/2006/relationships/hyperlink" Id="rId70" Target="https://www.bls.gov/ooh/architecture-and-engineering/surveying-and-mapping-technicians.htm" TargetMode="External" /><Relationship Type="http://schemas.openxmlformats.org/officeDocument/2006/relationships/hyperlink" Id="rId83" Target="https://www.faa.gov/uas/commercial_operators/become_a_drone_pilot" TargetMode="External" /><Relationship Type="http://schemas.openxmlformats.org/officeDocument/2006/relationships/hyperlink" Id="rId82" Target="https://www.gov.br/trabalho-e-emprego/pt-br/assuntos/cbo/servicos/downloads/cbo2002_lista.pdf" TargetMode="External" /><Relationship Type="http://schemas.openxmlformats.org/officeDocument/2006/relationships/hyperlink" Id="rId73" Target="https://www.jobbank.gc.ca/marketreport/summary-occupation/18091/ca" TargetMode="External" /><Relationship Type="http://schemas.openxmlformats.org/officeDocument/2006/relationships/hyperlink" Id="rId74" Target="https://www.jobbank.gc.ca/wagereport/occupation/18101" TargetMode="External" /><Relationship Type="http://schemas.openxmlformats.org/officeDocument/2006/relationships/hyperlink" Id="rId87" Target="https://www.nist.gov/itl/ai-risk-management-framework" TargetMode="External" /><Relationship Type="http://schemas.openxmlformats.org/officeDocument/2006/relationships/hyperlink" Id="rId88" Target="https://www.nist.gov/publications/artificial-intelligence-risk-management-framework-generative-artificial-intelligence" TargetMode="External" /><Relationship Type="http://schemas.openxmlformats.org/officeDocument/2006/relationships/hyperlink" Id="rId72" Target="https://www.onetonline.org/link/demand/17-3031.00" TargetMode="External" /><Relationship Type="http://schemas.openxmlformats.org/officeDocument/2006/relationships/hyperlink" Id="rId71" Target="https://www.onetonline.org/link/details/17-3031.00" TargetMode="External" /><Relationship Type="http://schemas.openxmlformats.org/officeDocument/2006/relationships/hyperlink" Id="rId85" Target="https://www.osha.gov/heat-exposure/prevention" TargetMode="External" /><Relationship Type="http://schemas.openxmlformats.org/officeDocument/2006/relationships/hyperlink" Id="rId86" Target="https://www.osha.gov/heat-exposure/protecting-new-workers" TargetMode="External" /><Relationship Type="http://schemas.openxmlformats.org/officeDocument/2006/relationships/hyperlink" Id="rId81" Target="https://www.pronabec.gob.pe/beca-te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betowa.sena.edu.co/oferta/levantamientos-topograficos-y-georreferenciacion?location=57068276&amp;modality=P&amp;programId=118735" TargetMode="External" /><Relationship Type="http://schemas.openxmlformats.org/officeDocument/2006/relationships/hyperlink" Id="rId77" Target="https://betowa.sena.edu.co/oferta/soporte-de-topografia-y-georreferenciacion?modality=P&amp;programId=194216" TargetMode="External" /><Relationship Type="http://schemas.openxmlformats.org/officeDocument/2006/relationships/hyperlink" Id="rId78" Target="https://certificacion.chilevalora.cl/ChileValora-publica/perfilesEdit.html?paramRequest=2162" TargetMode="External" /><Relationship Type="http://schemas.openxmlformats.org/officeDocument/2006/relationships/hyperlink" Id="rId79" Target="https://certificacion.chilevalora.cl/ChileValora-publica/perfilesEdit.html?paramRequest=2163" TargetMode="External" /><Relationship Type="http://schemas.openxmlformats.org/officeDocument/2006/relationships/hyperlink" Id="rId80" Target="https://escuela.sencico.gob.pe/topografia-y-geodesia/" TargetMode="External" /><Relationship Type="http://schemas.openxmlformats.org/officeDocument/2006/relationships/hyperlink" Id="rId75" Target="https://ocupacol.mintrabajo.gov.co/Profile/OccupationalProfile/31122" TargetMode="External" /><Relationship Type="http://schemas.openxmlformats.org/officeDocument/2006/relationships/hyperlink" Id="rId84" Target="https://tc.canada.ca/en/aviation/drone-safety/drone-pilot-licensing/getting-drone-pilot-certificate" TargetMode="External" /><Relationship Type="http://schemas.openxmlformats.org/officeDocument/2006/relationships/hyperlink" Id="rId70" Target="https://www.bls.gov/ooh/architecture-and-engineering/surveying-and-mapping-technicians.htm" TargetMode="External" /><Relationship Type="http://schemas.openxmlformats.org/officeDocument/2006/relationships/hyperlink" Id="rId83" Target="https://www.faa.gov/uas/commercial_operators/become_a_drone_pilot" TargetMode="External" /><Relationship Type="http://schemas.openxmlformats.org/officeDocument/2006/relationships/hyperlink" Id="rId82" Target="https://www.gov.br/trabalho-e-emprego/pt-br/assuntos/cbo/servicos/downloads/cbo2002_lista.pdf" TargetMode="External" /><Relationship Type="http://schemas.openxmlformats.org/officeDocument/2006/relationships/hyperlink" Id="rId73" Target="https://www.jobbank.gc.ca/marketreport/summary-occupation/18091/ca" TargetMode="External" /><Relationship Type="http://schemas.openxmlformats.org/officeDocument/2006/relationships/hyperlink" Id="rId74" Target="https://www.jobbank.gc.ca/wagereport/occupation/18101" TargetMode="External" /><Relationship Type="http://schemas.openxmlformats.org/officeDocument/2006/relationships/hyperlink" Id="rId87" Target="https://www.nist.gov/itl/ai-risk-management-framework" TargetMode="External" /><Relationship Type="http://schemas.openxmlformats.org/officeDocument/2006/relationships/hyperlink" Id="rId88" Target="https://www.nist.gov/publications/artificial-intelligence-risk-management-framework-generative-artificial-intelligence" TargetMode="External" /><Relationship Type="http://schemas.openxmlformats.org/officeDocument/2006/relationships/hyperlink" Id="rId72" Target="https://www.onetonline.org/link/demand/17-3031.00" TargetMode="External" /><Relationship Type="http://schemas.openxmlformats.org/officeDocument/2006/relationships/hyperlink" Id="rId71" Target="https://www.onetonline.org/link/details/17-3031.00" TargetMode="External" /><Relationship Type="http://schemas.openxmlformats.org/officeDocument/2006/relationships/hyperlink" Id="rId85" Target="https://www.osha.gov/heat-exposure/prevention" TargetMode="External" /><Relationship Type="http://schemas.openxmlformats.org/officeDocument/2006/relationships/hyperlink" Id="rId86" Target="https://www.osha.gov/heat-exposure/protecting-new-workers" TargetMode="External" /><Relationship Type="http://schemas.openxmlformats.org/officeDocument/2006/relationships/hyperlink" Id="rId81" Target="https://www.pronabec.gob.pe/beca-te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2026-08-22T15:01:15Z</dcterms:created>
  <dcterms:modified xsi:type="dcterms:W3CDTF">2026-08-22T15:01:15Z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