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2bde69a45f328976db895074ed5cf321263de43"/>
    <w:p>
      <w:pPr>
        <w:pStyle w:val="Heading1"/>
      </w:pPr>
      <w:r>
        <w:t xml:space="preserve">Guia de Oportunidades para Toda a Vida 94 — Técnico em Engenharia Civil</w:t>
      </w:r>
    </w:p>
    <w:p>
      <w:pPr>
        <w:pStyle w:val="FirstParagraph"/>
      </w:pPr>
      <w:r>
        <w:rPr>
          <w:bCs/>
          <w:b/>
        </w:rPr>
        <w:t xml:space="preserve">Versão:</w:t>
      </w:r>
      <w:r>
        <w:t xml:space="preserve"> </w:t>
      </w:r>
      <w:r>
        <w:t xml:space="preserve">2.0 — mestre de trabalho controlado</w:t>
      </w:r>
      <w:r>
        <w:br/>
      </w:r>
      <w:r>
        <w:rPr>
          <w:bCs/>
          <w:b/>
        </w:rPr>
        <w:t xml:space="preserve">Idioma:</w:t>
      </w:r>
      <w:r>
        <w:t xml:space="preserve"> </w:t>
      </w:r>
      <w:r>
        <w:t xml:space="preserve">Português brasileiro (</w:t>
      </w:r>
      <w:r>
        <w:rPr>
          <w:rStyle w:val="VerbatimChar"/>
        </w:rPr>
        <w:t xml:space="preserve">pt-BR</w:t>
      </w:r>
      <w:r>
        <w:t xml:space="preserve">)</w:t>
      </w:r>
      <w:r>
        <w:br/>
      </w:r>
      <w:r>
        <w:rPr>
          <w:bCs/>
          <w:b/>
        </w:rPr>
        <w:t xml:space="preserve">Referência principal dos EUA:</w:t>
      </w:r>
      <w:r>
        <w:t xml:space="preserve"> </w:t>
      </w:r>
      <w:r>
        <w:t xml:space="preserve">O*NET-SOC 17-3022.00 — Civil Engineering Technologists and Technicians</w:t>
      </w:r>
      <w:r>
        <w:br/>
      </w:r>
      <w:r>
        <w:rPr>
          <w:bCs/>
          <w:b/>
        </w:rPr>
        <w:t xml:space="preserve">Comparação do Canadá:</w:t>
      </w:r>
      <w:r>
        <w:t xml:space="preserve"> </w:t>
      </w:r>
      <w:r>
        <w:t xml:space="preserve">NOC 22300 — Civil engineering technologists and technicians</w:t>
      </w:r>
      <w:r>
        <w:br/>
      </w:r>
      <w:r>
        <w:rPr>
          <w:bCs/>
          <w:b/>
        </w:rPr>
        <w:t xml:space="preserve">Comparação da Colômbia:</w:t>
      </w:r>
      <w:r>
        <w:t xml:space="preserve"> </w:t>
      </w:r>
      <w:r>
        <w:t xml:space="preserve">CUOC 31121 — Técnicos en construcción y arquitectura</w:t>
      </w:r>
      <w:r>
        <w:br/>
      </w:r>
      <w:r>
        <w:rPr>
          <w:bCs/>
          <w:b/>
        </w:rPr>
        <w:t xml:space="preserve">Data de revisão:</w:t>
      </w:r>
      <w:r>
        <w:t xml:space="preserve"> </w:t>
      </w:r>
      <w:r>
        <w:t xml:space="preserve">2026-08-22</w:t>
      </w:r>
    </w:p>
    <w:bookmarkStart w:id="20" w:name="o-que-é-esta-carreira"/>
    <w:p>
      <w:pPr>
        <w:pStyle w:val="Heading2"/>
      </w:pPr>
      <w:r>
        <w:t xml:space="preserve">O que é esta carreira</w:t>
      </w:r>
    </w:p>
    <w:p>
      <w:pPr>
        <w:pStyle w:val="FirstParagraph"/>
      </w:pPr>
      <w:r>
        <w:t xml:space="preserve">Técnicos e tecnólogos em engenharia civil apoiam o planejamento, o projeto, a construção, a inspeção, os ensaios, a manutenção e a documentação de projetos de infraestrutura e edificações. Conforme o empregador e a jurisdição, o trabalho pode incluir desenhos, quantitativos, estimativas, medições de campo, ensaios de materiais, inspeção de obra, registros de construção, fluxos CAD/BIM/GIS, cronogramas, acompanhamento de custos e coordenação técnica.</w:t>
      </w:r>
    </w:p>
    <w:p>
      <w:pPr>
        <w:pStyle w:val="BodyText"/>
      </w:pPr>
      <w:r>
        <w:t xml:space="preserve">A ocupação fica entre a teoria de engenharia e a execução prática dos projetos. Um técnico pode trabalhar em escritório de engenharia, laboratório, órgão de obras públicas, construtora, canteiro de obras, agência de transportes, empresa de serviços públicos, laboratório de ensaios ou consultoria.</w:t>
      </w:r>
    </w:p>
    <w:p>
      <w:pPr>
        <w:pStyle w:val="BodyText"/>
      </w:pPr>
      <w:r>
        <w:t xml:space="preserve">Os títulos podem incluir Técnico em Engenharia Civil, Tecnólogo em Engenharia Civil, Técnico de Construção, Técnico de Materiais, Técnico CAD Civil, Técnico de Engenharia, Técnico de Obra, Técnico de Laboratório, Técnico de Custos/Orçamentos e títulos relacionados.</w:t>
      </w:r>
    </w:p>
    <w:p>
      <w:pPr>
        <w:pStyle w:val="BodyText"/>
      </w:pPr>
      <w:r>
        <w:t xml:space="preserve">O título do cargo, por si só, não estabelece autoridade legal de engenharia. Verifique sempre as funções reais e as regras de exercício profissional da jurisdição.</w:t>
      </w:r>
    </w:p>
    <w:bookmarkEnd w:id="20"/>
    <w:bookmarkStart w:id="23" w:name="X0c7b682af047a5faffb257b022a048e573cb183"/>
    <w:p>
      <w:pPr>
        <w:pStyle w:val="Heading2"/>
      </w:pPr>
      <w:r>
        <w:t xml:space="preserve">Técnico ou tecnólogo versus engenheiro profissional licenciado ou registrado</w:t>
      </w:r>
    </w:p>
    <w:p>
      <w:pPr>
        <w:pStyle w:val="FirstParagraph"/>
      </w:pPr>
      <w:r>
        <w:t xml:space="preserve">Essa distinção é essencial.</w:t>
      </w:r>
    </w:p>
    <w:p>
      <w:pPr>
        <w:pStyle w:val="BodyText"/>
      </w:pPr>
      <w:r>
        <w:t xml:space="preserve">O BLS informa que tecnólogos e técnicos em engenharia civil auxiliam engenheiros civis e, por não serem licenciados, não podem aprovar projetos nem supervisionar o projeto de engenharia como um todo.</w:t>
      </w:r>
    </w:p>
    <w:bookmarkStart w:id="21" w:name="X48e7272a671374c0a9c1e665b05254e8e1b592b"/>
    <w:p>
      <w:pPr>
        <w:pStyle w:val="Heading3"/>
      </w:pPr>
      <w:r>
        <w:t xml:space="preserve">O trabalho de técnico ou tecnólogo pode incluir</w:t>
      </w:r>
    </w:p>
    <w:p>
      <w:pPr>
        <w:pStyle w:val="FirstParagraph"/>
      </w:pPr>
      <w:r>
        <w:t xml:space="preserve">Conforme formação, empregador e autorização:</w:t>
      </w:r>
    </w:p>
    <w:p>
      <w:pPr>
        <w:numPr>
          <w:ilvl w:val="0"/>
          <w:numId w:val="1001"/>
        </w:numPr>
        <w:pStyle w:val="Compact"/>
      </w:pPr>
      <w:r>
        <w:t xml:space="preserve">coletar informações de campo;</w:t>
      </w:r>
    </w:p>
    <w:p>
      <w:pPr>
        <w:numPr>
          <w:ilvl w:val="0"/>
          <w:numId w:val="1001"/>
        </w:numPr>
        <w:pStyle w:val="Compact"/>
      </w:pPr>
      <w:r>
        <w:t xml:space="preserve">ler desenhos e especificações;</w:t>
      </w:r>
    </w:p>
    <w:p>
      <w:pPr>
        <w:numPr>
          <w:ilvl w:val="0"/>
          <w:numId w:val="1001"/>
        </w:numPr>
        <w:pStyle w:val="Compact"/>
      </w:pPr>
      <w:r>
        <w:t xml:space="preserve">preparar ou revisar desenhos técnicos conforme procedimentos atribuídos;</w:t>
      </w:r>
    </w:p>
    <w:p>
      <w:pPr>
        <w:numPr>
          <w:ilvl w:val="0"/>
          <w:numId w:val="1001"/>
        </w:numPr>
        <w:pStyle w:val="Compact"/>
      </w:pPr>
      <w:r>
        <w:t xml:space="preserve">calcular quantitativos, dimensões e áreas;</w:t>
      </w:r>
    </w:p>
    <w:p>
      <w:pPr>
        <w:numPr>
          <w:ilvl w:val="0"/>
          <w:numId w:val="1001"/>
        </w:numPr>
        <w:pStyle w:val="Compact"/>
      </w:pPr>
      <w:r>
        <w:t xml:space="preserve">preparar estimativas de custos e apoio orçamentário;</w:t>
      </w:r>
    </w:p>
    <w:p>
      <w:pPr>
        <w:numPr>
          <w:ilvl w:val="0"/>
          <w:numId w:val="1001"/>
        </w:numPr>
        <w:pStyle w:val="Compact"/>
      </w:pPr>
      <w:r>
        <w:t xml:space="preserve">executar ou apoiar ensaios de materiais;</w:t>
      </w:r>
    </w:p>
    <w:p>
      <w:pPr>
        <w:numPr>
          <w:ilvl w:val="0"/>
          <w:numId w:val="1001"/>
        </w:numPr>
        <w:pStyle w:val="Compact"/>
      </w:pPr>
      <w:r>
        <w:t xml:space="preserve">observar e documentar atividades de construção;</w:t>
      </w:r>
    </w:p>
    <w:p>
      <w:pPr>
        <w:numPr>
          <w:ilvl w:val="0"/>
          <w:numId w:val="1001"/>
        </w:numPr>
        <w:pStyle w:val="Compact"/>
      </w:pPr>
      <w:r>
        <w:t xml:space="preserve">verificar o trabalho contra desenhos/especificações aprovados;</w:t>
      </w:r>
    </w:p>
    <w:p>
      <w:pPr>
        <w:numPr>
          <w:ilvl w:val="0"/>
          <w:numId w:val="1001"/>
        </w:numPr>
        <w:pStyle w:val="Compact"/>
      </w:pPr>
      <w:r>
        <w:t xml:space="preserve">manter registros de inspeção e ensaio;</w:t>
      </w:r>
    </w:p>
    <w:p>
      <w:pPr>
        <w:numPr>
          <w:ilvl w:val="0"/>
          <w:numId w:val="1001"/>
        </w:numPr>
        <w:pStyle w:val="Compact"/>
      </w:pPr>
      <w:r>
        <w:t xml:space="preserve">preparar relatórios;</w:t>
      </w:r>
    </w:p>
    <w:p>
      <w:pPr>
        <w:numPr>
          <w:ilvl w:val="0"/>
          <w:numId w:val="1001"/>
        </w:numPr>
        <w:pStyle w:val="Compact"/>
      </w:pPr>
      <w:r>
        <w:t xml:space="preserve">operar sistemas CAD, BIM, GIS, planilhas e gestão documental do projeto;</w:t>
      </w:r>
    </w:p>
    <w:p>
      <w:pPr>
        <w:numPr>
          <w:ilvl w:val="0"/>
          <w:numId w:val="1001"/>
        </w:numPr>
        <w:pStyle w:val="Compact"/>
      </w:pPr>
      <w:r>
        <w:t xml:space="preserve">apoiar trabalhos de levantamento, transporte, estruturas, infraestrutura municipal, água, geotecnia e meio ambiente;</w:t>
      </w:r>
    </w:p>
    <w:p>
      <w:pPr>
        <w:numPr>
          <w:ilvl w:val="0"/>
          <w:numId w:val="1001"/>
        </w:numPr>
        <w:pStyle w:val="Compact"/>
      </w:pPr>
      <w:r>
        <w:t xml:space="preserve">coordenar atividades técnicas atribuídas.</w:t>
      </w:r>
    </w:p>
    <w:bookmarkEnd w:id="21"/>
    <w:bookmarkStart w:id="22" w:name="Xd4959807a6ef1c3e45821de0698e6f3c1ae4def"/>
    <w:p>
      <w:pPr>
        <w:pStyle w:val="Heading3"/>
      </w:pPr>
      <w:r>
        <w:t xml:space="preserve">Funções reservadas a profissionais podem incluir</w:t>
      </w:r>
    </w:p>
    <w:p>
      <w:pPr>
        <w:pStyle w:val="FirstParagraph"/>
      </w:pPr>
      <w:r>
        <w:t xml:space="preserve">Conforme a jurisdição:</w:t>
      </w:r>
    </w:p>
    <w:p>
      <w:pPr>
        <w:numPr>
          <w:ilvl w:val="0"/>
          <w:numId w:val="1002"/>
        </w:numPr>
        <w:pStyle w:val="Compact"/>
      </w:pPr>
      <w:r>
        <w:t xml:space="preserve">responsabilidade final de engenharia;</w:t>
      </w:r>
    </w:p>
    <w:p>
      <w:pPr>
        <w:numPr>
          <w:ilvl w:val="0"/>
          <w:numId w:val="1002"/>
        </w:numPr>
        <w:pStyle w:val="Compact"/>
      </w:pPr>
      <w:r>
        <w:t xml:space="preserve">aprovação de projetos;</w:t>
      </w:r>
    </w:p>
    <w:p>
      <w:pPr>
        <w:numPr>
          <w:ilvl w:val="0"/>
          <w:numId w:val="1002"/>
        </w:numPr>
        <w:pStyle w:val="Compact"/>
      </w:pPr>
      <w:r>
        <w:t xml:space="preserve">assinatura ou selo de documentos de engenharia;</w:t>
      </w:r>
    </w:p>
    <w:p>
      <w:pPr>
        <w:numPr>
          <w:ilvl w:val="0"/>
          <w:numId w:val="1002"/>
        </w:numPr>
        <w:pStyle w:val="Compact"/>
      </w:pPr>
      <w:r>
        <w:t xml:space="preserve">representação do trabalho como profissionalmente certificado quando a lei reserva essa autoridade;</w:t>
      </w:r>
    </w:p>
    <w:p>
      <w:pPr>
        <w:numPr>
          <w:ilvl w:val="0"/>
          <w:numId w:val="1002"/>
        </w:numPr>
        <w:pStyle w:val="Compact"/>
      </w:pPr>
      <w:r>
        <w:t xml:space="preserve">exercício de responsabilidade técnica ou controle profissional equivalente;</w:t>
      </w:r>
    </w:p>
    <w:p>
      <w:pPr>
        <w:numPr>
          <w:ilvl w:val="0"/>
          <w:numId w:val="1002"/>
        </w:numPr>
        <w:pStyle w:val="Compact"/>
      </w:pPr>
      <w:r>
        <w:t xml:space="preserve">supervisão geral do projeto de engenharia quando é exigida habilitação profissional.</w:t>
      </w:r>
    </w:p>
    <w:p>
      <w:pPr>
        <w:pStyle w:val="FirstParagraph"/>
      </w:pPr>
      <w:r>
        <w:t xml:space="preserve">Não apresente cálculos de técnico, modelos CAD/BIM, notas de inspeção, resultados de ensaio ou material gerado por IA como trabalho de engenharia profissionalmente aprovado se o profissional autorizado exigido não tiver realizado a revisão e aprovação aplicáveis.</w:t>
      </w:r>
    </w:p>
    <w:bookmarkEnd w:id="22"/>
    <w:bookmarkEnd w:id="23"/>
    <w:bookmarkStart w:id="24" w:name="o-que-os-técnicos-realmente-fazem"/>
    <w:p>
      <w:pPr>
        <w:pStyle w:val="Heading2"/>
      </w:pPr>
      <w:r>
        <w:t xml:space="preserve">O que os técnicos realmente fazem</w:t>
      </w:r>
    </w:p>
    <w:p>
      <w:pPr>
        <w:pStyle w:val="FirstParagraph"/>
      </w:pPr>
      <w:r>
        <w:t xml:space="preserve">A evidência atual do O*NET sustenta atividades como:</w:t>
      </w:r>
    </w:p>
    <w:p>
      <w:pPr>
        <w:numPr>
          <w:ilvl w:val="0"/>
          <w:numId w:val="1003"/>
        </w:numPr>
        <w:pStyle w:val="Compact"/>
      </w:pPr>
      <w:r>
        <w:t xml:space="preserve">ler plantas, desenhos e especificações estruturais;</w:t>
      </w:r>
    </w:p>
    <w:p>
      <w:pPr>
        <w:numPr>
          <w:ilvl w:val="0"/>
          <w:numId w:val="1003"/>
        </w:numPr>
        <w:pStyle w:val="Compact"/>
      </w:pPr>
      <w:r>
        <w:t xml:space="preserve">calcular dimensões, áreas, quantitativos e necessidades de materiais;</w:t>
      </w:r>
    </w:p>
    <w:p>
      <w:pPr>
        <w:numPr>
          <w:ilvl w:val="0"/>
          <w:numId w:val="1003"/>
        </w:numPr>
        <w:pStyle w:val="Compact"/>
      </w:pPr>
      <w:r>
        <w:t xml:space="preserve">preparar desenhos dimensionais e layouts detalhados;</w:t>
      </w:r>
    </w:p>
    <w:p>
      <w:pPr>
        <w:numPr>
          <w:ilvl w:val="0"/>
          <w:numId w:val="1003"/>
        </w:numPr>
        <w:pStyle w:val="Compact"/>
      </w:pPr>
      <w:r>
        <w:t xml:space="preserve">estimar custos de construção e apoiar orçamentos;</w:t>
      </w:r>
    </w:p>
    <w:p>
      <w:pPr>
        <w:numPr>
          <w:ilvl w:val="0"/>
          <w:numId w:val="1003"/>
        </w:numPr>
        <w:pStyle w:val="Compact"/>
      </w:pPr>
      <w:r>
        <w:t xml:space="preserve">coletar informações de local e campo;</w:t>
      </w:r>
    </w:p>
    <w:p>
      <w:pPr>
        <w:numPr>
          <w:ilvl w:val="0"/>
          <w:numId w:val="1003"/>
        </w:numPr>
        <w:pStyle w:val="Compact"/>
      </w:pPr>
      <w:r>
        <w:t xml:space="preserve">apoiar levantamentos e medições;</w:t>
      </w:r>
    </w:p>
    <w:p>
      <w:pPr>
        <w:numPr>
          <w:ilvl w:val="0"/>
          <w:numId w:val="1003"/>
        </w:numPr>
        <w:pStyle w:val="Compact"/>
      </w:pPr>
      <w:r>
        <w:t xml:space="preserve">ensaiar materiais e estruturas de construção;</w:t>
      </w:r>
    </w:p>
    <w:p>
      <w:pPr>
        <w:numPr>
          <w:ilvl w:val="0"/>
          <w:numId w:val="1003"/>
        </w:numPr>
        <w:pStyle w:val="Compact"/>
      </w:pPr>
      <w:r>
        <w:t xml:space="preserve">inspecionar locais e trabalhos de construção;</w:t>
      </w:r>
    </w:p>
    <w:p>
      <w:pPr>
        <w:numPr>
          <w:ilvl w:val="0"/>
          <w:numId w:val="1003"/>
        </w:numPr>
        <w:pStyle w:val="Compact"/>
      </w:pPr>
      <w:r>
        <w:t xml:space="preserve">verificar conformidade com desenhos e especificações;</w:t>
      </w:r>
    </w:p>
    <w:p>
      <w:pPr>
        <w:numPr>
          <w:ilvl w:val="0"/>
          <w:numId w:val="1003"/>
        </w:numPr>
        <w:pStyle w:val="Compact"/>
      </w:pPr>
      <w:r>
        <w:t xml:space="preserve">preparar documentos e relatórios técnicos;</w:t>
      </w:r>
    </w:p>
    <w:p>
      <w:pPr>
        <w:numPr>
          <w:ilvl w:val="0"/>
          <w:numId w:val="1003"/>
        </w:numPr>
        <w:pStyle w:val="Compact"/>
      </w:pPr>
      <w:r>
        <w:t xml:space="preserve">manter registros do projeto;</w:t>
      </w:r>
    </w:p>
    <w:p>
      <w:pPr>
        <w:numPr>
          <w:ilvl w:val="0"/>
          <w:numId w:val="1003"/>
        </w:numPr>
        <w:pStyle w:val="Compact"/>
      </w:pPr>
      <w:r>
        <w:t xml:space="preserve">usar software de desenho e engenharia assistido por computador;</w:t>
      </w:r>
    </w:p>
    <w:p>
      <w:pPr>
        <w:numPr>
          <w:ilvl w:val="0"/>
          <w:numId w:val="1003"/>
        </w:numPr>
        <w:pStyle w:val="Compact"/>
      </w:pPr>
      <w:r>
        <w:t xml:space="preserve">comunicar achados a engenheiros, contratados e outras equipes técnicas.</w:t>
      </w:r>
    </w:p>
    <w:p>
      <w:pPr>
        <w:pStyle w:val="FirstParagraph"/>
      </w:pPr>
      <w:r>
        <w:t xml:space="preserve">A combinação exata varia conforme o empregador. Um técnico de transportes pode se concentrar em vias e quantitativos; um técnico de materiais pode trabalhar mais com concreto, solos ou asfalto; um técnico CAD pode atuar principalmente com desenhos e modelos; e um técnico municipal pode combinar escritório, campo e infraestrutura pública.</w:t>
      </w:r>
    </w:p>
    <w:bookmarkEnd w:id="24"/>
    <w:bookmarkStart w:id="25" w:name="entender-o-ciclo-de-vida-do-projeto"/>
    <w:p>
      <w:pPr>
        <w:pStyle w:val="Heading2"/>
      </w:pPr>
      <w:r>
        <w:t xml:space="preserve">Entender o ciclo de vida do projeto</w:t>
      </w:r>
    </w:p>
    <w:p>
      <w:pPr>
        <w:pStyle w:val="FirstParagraph"/>
      </w:pPr>
      <w:r>
        <w:t xml:space="preserve">Projetos civis passam por diferentes etapas. O técnico deve compreender onde seu trabalho se encaixa e quais informações são autoritativas em cada fase.</w:t>
      </w:r>
    </w:p>
    <w:p>
      <w:pPr>
        <w:pStyle w:val="BodyText"/>
      </w:pPr>
      <w:r>
        <w:t xml:space="preserve">Um ciclo simplificado pode incluir:</w:t>
      </w:r>
    </w:p>
    <w:p>
      <w:pPr>
        <w:numPr>
          <w:ilvl w:val="0"/>
          <w:numId w:val="1004"/>
        </w:numPr>
        <w:pStyle w:val="Compact"/>
      </w:pPr>
      <w:r>
        <w:t xml:space="preserve">definição do problema e viabilidade;</w:t>
      </w:r>
    </w:p>
    <w:p>
      <w:pPr>
        <w:numPr>
          <w:ilvl w:val="0"/>
          <w:numId w:val="1004"/>
        </w:numPr>
        <w:pStyle w:val="Compact"/>
      </w:pPr>
      <w:r>
        <w:t xml:space="preserve">informações do local e revisão das condições existentes;</w:t>
      </w:r>
    </w:p>
    <w:p>
      <w:pPr>
        <w:numPr>
          <w:ilvl w:val="0"/>
          <w:numId w:val="1004"/>
        </w:numPr>
        <w:pStyle w:val="Compact"/>
      </w:pPr>
      <w:r>
        <w:t xml:space="preserve">engenharia preliminar e alternativas;</w:t>
      </w:r>
    </w:p>
    <w:p>
      <w:pPr>
        <w:numPr>
          <w:ilvl w:val="0"/>
          <w:numId w:val="1004"/>
        </w:numPr>
        <w:pStyle w:val="Compact"/>
      </w:pPr>
      <w:r>
        <w:t xml:space="preserve">desenvolvimento do projeto;</w:t>
      </w:r>
    </w:p>
    <w:p>
      <w:pPr>
        <w:numPr>
          <w:ilvl w:val="0"/>
          <w:numId w:val="1004"/>
        </w:numPr>
        <w:pStyle w:val="Compact"/>
      </w:pPr>
      <w:r>
        <w:t xml:space="preserve">licenciamento/contratação quando aplicável;</w:t>
      </w:r>
    </w:p>
    <w:p>
      <w:pPr>
        <w:numPr>
          <w:ilvl w:val="0"/>
          <w:numId w:val="1004"/>
        </w:numPr>
        <w:pStyle w:val="Compact"/>
      </w:pPr>
      <w:r>
        <w:t xml:space="preserve">planejamento da construção e mobilização;</w:t>
      </w:r>
    </w:p>
    <w:p>
      <w:pPr>
        <w:numPr>
          <w:ilvl w:val="0"/>
          <w:numId w:val="1004"/>
        </w:numPr>
        <w:pStyle w:val="Compact"/>
      </w:pPr>
      <w:r>
        <w:t xml:space="preserve">construção e inspeção/ensaios;</w:t>
      </w:r>
    </w:p>
    <w:p>
      <w:pPr>
        <w:numPr>
          <w:ilvl w:val="0"/>
          <w:numId w:val="1004"/>
        </w:numPr>
        <w:pStyle w:val="Compact"/>
      </w:pPr>
      <w:r>
        <w:t xml:space="preserve">comissionamento/aceitação quando aplicável;</w:t>
      </w:r>
    </w:p>
    <w:p>
      <w:pPr>
        <w:numPr>
          <w:ilvl w:val="0"/>
          <w:numId w:val="1004"/>
        </w:numPr>
        <w:pStyle w:val="Compact"/>
      </w:pPr>
      <w:r>
        <w:t xml:space="preserve">documentação as-built ou de registro;</w:t>
      </w:r>
    </w:p>
    <w:p>
      <w:pPr>
        <w:numPr>
          <w:ilvl w:val="0"/>
          <w:numId w:val="1004"/>
        </w:numPr>
        <w:pStyle w:val="Compact"/>
      </w:pPr>
      <w:r>
        <w:t xml:space="preserve">operação, manutenção, reabilitação ou substituição.</w:t>
      </w:r>
    </w:p>
    <w:p>
      <w:pPr>
        <w:pStyle w:val="FirstParagraph"/>
      </w:pPr>
      <w:r>
        <w:t xml:space="preserve">Não suponha que desenho preliminar, documento de licitação, shop drawing, croqui de campo, ordem de mudança, desenho aprovado para construção e desenho de registro tenham o mesmo status.</w:t>
      </w:r>
    </w:p>
    <w:bookmarkEnd w:id="25"/>
    <w:bookmarkStart w:id="26" w:name="Xdfd0a7a1a102475699d80588792773b8a8f7b06"/>
    <w:p>
      <w:pPr>
        <w:pStyle w:val="Heading2"/>
      </w:pPr>
      <w:r>
        <w:t xml:space="preserve">Desenhos, especificações e controle de revisões</w:t>
      </w:r>
    </w:p>
    <w:p>
      <w:pPr>
        <w:pStyle w:val="FirstParagraph"/>
      </w:pPr>
      <w:r>
        <w:t xml:space="preserve">Um cálculo tecnicamente correto ainda pode causar problemas se usar a revisão errada do desenho.</w:t>
      </w:r>
    </w:p>
    <w:p>
      <w:pPr>
        <w:pStyle w:val="BodyText"/>
      </w:pPr>
      <w:r>
        <w:t xml:space="preserve">Antes de usar um desenho ou modelo:</w:t>
      </w:r>
    </w:p>
    <w:p>
      <w:pPr>
        <w:numPr>
          <w:ilvl w:val="0"/>
          <w:numId w:val="1005"/>
        </w:numPr>
        <w:pStyle w:val="Compact"/>
      </w:pPr>
      <w:r>
        <w:t xml:space="preserve">confirme a identificação do projeto e da prancha/modelo;</w:t>
      </w:r>
    </w:p>
    <w:p>
      <w:pPr>
        <w:numPr>
          <w:ilvl w:val="0"/>
          <w:numId w:val="1005"/>
        </w:numPr>
        <w:pStyle w:val="Compact"/>
      </w:pPr>
      <w:r>
        <w:t xml:space="preserve">confirme revisão/data/status;</w:t>
      </w:r>
    </w:p>
    <w:p>
      <w:pPr>
        <w:numPr>
          <w:ilvl w:val="0"/>
          <w:numId w:val="1005"/>
        </w:numPr>
        <w:pStyle w:val="Compact"/>
      </w:pPr>
      <w:r>
        <w:t xml:space="preserve">verifique se existem instruções substitutivas;</w:t>
      </w:r>
    </w:p>
    <w:p>
      <w:pPr>
        <w:numPr>
          <w:ilvl w:val="0"/>
          <w:numId w:val="1005"/>
        </w:numPr>
        <w:pStyle w:val="Compact"/>
      </w:pPr>
      <w:r>
        <w:t xml:space="preserve">confirme unidades e informações de coordenadas/referência quando aplicável;</w:t>
      </w:r>
    </w:p>
    <w:p>
      <w:pPr>
        <w:numPr>
          <w:ilvl w:val="0"/>
          <w:numId w:val="1005"/>
        </w:numPr>
        <w:pStyle w:val="Compact"/>
      </w:pPr>
      <w:r>
        <w:t xml:space="preserve">identifique notas e especificações pertinentes;</w:t>
      </w:r>
    </w:p>
    <w:p>
      <w:pPr>
        <w:numPr>
          <w:ilvl w:val="0"/>
          <w:numId w:val="1005"/>
        </w:numPr>
        <w:pStyle w:val="Compact"/>
      </w:pPr>
      <w:r>
        <w:t xml:space="preserve">preserve a referência do arquivo ou documento-fonte;</w:t>
      </w:r>
    </w:p>
    <w:p>
      <w:pPr>
        <w:numPr>
          <w:ilvl w:val="0"/>
          <w:numId w:val="1005"/>
        </w:numPr>
        <w:pStyle w:val="Compact"/>
      </w:pPr>
      <w:r>
        <w:t xml:space="preserve">documente qualquer discrepância de campo;</w:t>
      </w:r>
    </w:p>
    <w:p>
      <w:pPr>
        <w:numPr>
          <w:ilvl w:val="0"/>
          <w:numId w:val="1005"/>
        </w:numPr>
        <w:pStyle w:val="Compact"/>
      </w:pPr>
      <w:r>
        <w:t xml:space="preserve">escale conflitos em vez de escolher silenciosamente uma fonte.</w:t>
      </w:r>
    </w:p>
    <w:p>
      <w:pPr>
        <w:pStyle w:val="FirstParagraph"/>
      </w:pPr>
      <w:r>
        <w:t xml:space="preserve">Ao revisar desenhos atribuídos, preserve o histórico de mudanças e siga o fluxo de aprovação do empregador. Não sobrescreva uma fonte aprovada apenas para fazer as condições de campo parecerem compatíveis.</w:t>
      </w:r>
    </w:p>
    <w:bookmarkEnd w:id="26"/>
    <w:bookmarkStart w:id="27" w:name="medições-unidades-e-cálculos"/>
    <w:p>
      <w:pPr>
        <w:pStyle w:val="Heading2"/>
      </w:pPr>
      <w:r>
        <w:t xml:space="preserve">Medições, unidades e cálculos</w:t>
      </w:r>
    </w:p>
    <w:p>
      <w:pPr>
        <w:pStyle w:val="FirstParagraph"/>
      </w:pPr>
      <w:r>
        <w:t xml:space="preserve">O trabalho civil pode envolver comprimento, área, volume, massa, densidade, inclinação, greide, elevação, pressão, vazão, força, quantitativos de materiais e custos.</w:t>
      </w:r>
    </w:p>
    <w:p>
      <w:pPr>
        <w:pStyle w:val="BodyText"/>
      </w:pPr>
      <w:r>
        <w:t xml:space="preserve">Controles:</w:t>
      </w:r>
    </w:p>
    <w:p>
      <w:pPr>
        <w:numPr>
          <w:ilvl w:val="0"/>
          <w:numId w:val="1006"/>
        </w:numPr>
        <w:pStyle w:val="Compact"/>
      </w:pPr>
      <w:r>
        <w:t xml:space="preserve">identifique as unidades antes de calcular;</w:t>
      </w:r>
    </w:p>
    <w:p>
      <w:pPr>
        <w:numPr>
          <w:ilvl w:val="0"/>
          <w:numId w:val="1006"/>
        </w:numPr>
        <w:pStyle w:val="Compact"/>
      </w:pPr>
      <w:r>
        <w:t xml:space="preserve">diferencie sistema métrico e unidades dos EUA/imperiais;</w:t>
      </w:r>
    </w:p>
    <w:p>
      <w:pPr>
        <w:numPr>
          <w:ilvl w:val="0"/>
          <w:numId w:val="1006"/>
        </w:numPr>
        <w:pStyle w:val="Compact"/>
      </w:pPr>
      <w:r>
        <w:t xml:space="preserve">registre fatores de conversão;</w:t>
      </w:r>
    </w:p>
    <w:p>
      <w:pPr>
        <w:numPr>
          <w:ilvl w:val="0"/>
          <w:numId w:val="1006"/>
        </w:numPr>
        <w:pStyle w:val="Compact"/>
      </w:pPr>
      <w:r>
        <w:t xml:space="preserve">mantenha algarismos significativos adequados;</w:t>
      </w:r>
    </w:p>
    <w:p>
      <w:pPr>
        <w:numPr>
          <w:ilvl w:val="0"/>
          <w:numId w:val="1006"/>
        </w:numPr>
        <w:pStyle w:val="Compact"/>
      </w:pPr>
      <w:r>
        <w:t xml:space="preserve">verifique se as dimensões são nominais, de projeto, medidas ou as-built;</w:t>
      </w:r>
    </w:p>
    <w:p>
      <w:pPr>
        <w:numPr>
          <w:ilvl w:val="0"/>
          <w:numId w:val="1006"/>
        </w:numPr>
        <w:pStyle w:val="Compact"/>
      </w:pPr>
      <w:r>
        <w:t xml:space="preserve">faça verificação independente de cálculos de alta consequência;</w:t>
      </w:r>
    </w:p>
    <w:p>
      <w:pPr>
        <w:numPr>
          <w:ilvl w:val="0"/>
          <w:numId w:val="1006"/>
        </w:numPr>
        <w:pStyle w:val="Compact"/>
      </w:pPr>
      <w:r>
        <w:t xml:space="preserve">compare o resultado com a razoabilidade física;</w:t>
      </w:r>
    </w:p>
    <w:p>
      <w:pPr>
        <w:numPr>
          <w:ilvl w:val="0"/>
          <w:numId w:val="1006"/>
        </w:numPr>
        <w:pStyle w:val="Compact"/>
      </w:pPr>
      <w:r>
        <w:t xml:space="preserve">documente premissas;</w:t>
      </w:r>
    </w:p>
    <w:p>
      <w:pPr>
        <w:numPr>
          <w:ilvl w:val="0"/>
          <w:numId w:val="1006"/>
        </w:numPr>
        <w:pStyle w:val="Compact"/>
      </w:pPr>
      <w:r>
        <w:t xml:space="preserve">não copie fórmula de planilha sem entender suas entradas e unidades.</w:t>
      </w:r>
    </w:p>
    <w:p>
      <w:pPr>
        <w:pStyle w:val="FirstParagraph"/>
      </w:pPr>
      <w:r>
        <w:t xml:space="preserve">Um número aparentemente preciso não prova que os dados-fonte, a equação ou o sistema de unidades estão corretos.</w:t>
      </w:r>
    </w:p>
    <w:bookmarkEnd w:id="27"/>
    <w:bookmarkStart w:id="28" w:name="X239a2ca6f54c09f75c51ffb7c9097da3e0768a6"/>
    <w:p>
      <w:pPr>
        <w:pStyle w:val="Heading2"/>
      </w:pPr>
      <w:r>
        <w:t xml:space="preserve">Medições de campo e informações de levantamento</w:t>
      </w:r>
    </w:p>
    <w:p>
      <w:pPr>
        <w:pStyle w:val="FirstParagraph"/>
      </w:pPr>
      <w:r>
        <w:t xml:space="preserve">Técnicos podem coletar ou usar medições do local, elevações, coordenadas, estaqueamento, offsets ou outras informações de levantamento. Apoio à engenharia civil não cria automaticamente autoridade legal de agrimensura/topografia.</w:t>
      </w:r>
    </w:p>
    <w:p>
      <w:pPr>
        <w:pStyle w:val="BodyText"/>
      </w:pPr>
      <w:r>
        <w:t xml:space="preserve">Antes de usar dados de campo:</w:t>
      </w:r>
    </w:p>
    <w:p>
      <w:pPr>
        <w:numPr>
          <w:ilvl w:val="0"/>
          <w:numId w:val="1007"/>
        </w:numPr>
        <w:pStyle w:val="Compact"/>
      </w:pPr>
      <w:r>
        <w:t xml:space="preserve">identifique fonte e data;</w:t>
      </w:r>
    </w:p>
    <w:p>
      <w:pPr>
        <w:numPr>
          <w:ilvl w:val="0"/>
          <w:numId w:val="1007"/>
        </w:numPr>
        <w:pStyle w:val="Compact"/>
      </w:pPr>
      <w:r>
        <w:t xml:space="preserve">confirme unidades;</w:t>
      </w:r>
    </w:p>
    <w:p>
      <w:pPr>
        <w:numPr>
          <w:ilvl w:val="0"/>
          <w:numId w:val="1007"/>
        </w:numPr>
        <w:pStyle w:val="Compact"/>
      </w:pPr>
      <w:r>
        <w:t xml:space="preserve">confirme sistema de controle/referência quando aplicável;</w:t>
      </w:r>
    </w:p>
    <w:p>
      <w:pPr>
        <w:numPr>
          <w:ilvl w:val="0"/>
          <w:numId w:val="1007"/>
        </w:numPr>
        <w:pStyle w:val="Compact"/>
      </w:pPr>
      <w:r>
        <w:t xml:space="preserve">diferencie coordenadas de projeto de coordenadas medidas;</w:t>
      </w:r>
    </w:p>
    <w:p>
      <w:pPr>
        <w:numPr>
          <w:ilvl w:val="0"/>
          <w:numId w:val="1007"/>
        </w:numPr>
        <w:pStyle w:val="Compact"/>
      </w:pPr>
      <w:r>
        <w:t xml:space="preserve">preserve observações brutas quando exigido;</w:t>
      </w:r>
    </w:p>
    <w:p>
      <w:pPr>
        <w:numPr>
          <w:ilvl w:val="0"/>
          <w:numId w:val="1007"/>
        </w:numPr>
        <w:pStyle w:val="Compact"/>
      </w:pPr>
      <w:r>
        <w:t xml:space="preserve">documente instrumento ou método quando aplicável;</w:t>
      </w:r>
    </w:p>
    <w:p>
      <w:pPr>
        <w:numPr>
          <w:ilvl w:val="0"/>
          <w:numId w:val="1007"/>
        </w:numPr>
        <w:pStyle w:val="Compact"/>
      </w:pPr>
      <w:r>
        <w:t xml:space="preserve">verifique valores inesperados antes de mudar registros de projeto ou quantitativos;</w:t>
      </w:r>
    </w:p>
    <w:p>
      <w:pPr>
        <w:numPr>
          <w:ilvl w:val="0"/>
          <w:numId w:val="1007"/>
        </w:numPr>
        <w:pStyle w:val="Compact"/>
      </w:pPr>
      <w:r>
        <w:t xml:space="preserve">obtenha revisão de levantamento/profissional quando for exigida autoridade legal sobre limites ou precisão survey-grade.</w:t>
      </w:r>
    </w:p>
    <w:p>
      <w:pPr>
        <w:pStyle w:val="FirstParagraph"/>
      </w:pPr>
      <w:r>
        <w:t xml:space="preserve">Não invente pontos de controle, coordenadas, elevações ou medições as-built para preencher dados ausentes.</w:t>
      </w:r>
    </w:p>
    <w:bookmarkEnd w:id="28"/>
    <w:bookmarkStart w:id="29" w:name="X788e78274da64ceaa32fea913fcf01e0f1238b1"/>
    <w:p>
      <w:pPr>
        <w:pStyle w:val="Heading2"/>
      </w:pPr>
      <w:r>
        <w:t xml:space="preserve">Observações do local e registros de inspeção</w:t>
      </w:r>
    </w:p>
    <w:p>
      <w:pPr>
        <w:pStyle w:val="FirstParagraph"/>
      </w:pPr>
      <w:r>
        <w:t xml:space="preserve">Uma observação só é evidência quando registrada com precisão e dentro do escopo do observador.</w:t>
      </w:r>
    </w:p>
    <w:p>
      <w:pPr>
        <w:pStyle w:val="BodyText"/>
      </w:pPr>
      <w:r>
        <w:t xml:space="preserve">Um registro de campo útil pode incluir:</w:t>
      </w:r>
    </w:p>
    <w:p>
      <w:pPr>
        <w:numPr>
          <w:ilvl w:val="0"/>
          <w:numId w:val="1008"/>
        </w:numPr>
        <w:pStyle w:val="Compact"/>
      </w:pPr>
      <w:r>
        <w:t xml:space="preserve">data e hora;</w:t>
      </w:r>
    </w:p>
    <w:p>
      <w:pPr>
        <w:numPr>
          <w:ilvl w:val="0"/>
          <w:numId w:val="1008"/>
        </w:numPr>
        <w:pStyle w:val="Compact"/>
      </w:pPr>
      <w:r>
        <w:t xml:space="preserve">localização/área de trabalho;</w:t>
      </w:r>
    </w:p>
    <w:p>
      <w:pPr>
        <w:numPr>
          <w:ilvl w:val="0"/>
          <w:numId w:val="1008"/>
        </w:numPr>
        <w:pStyle w:val="Compact"/>
      </w:pPr>
      <w:r>
        <w:t xml:space="preserve">clima ou condições do local quando relevantes;</w:t>
      </w:r>
    </w:p>
    <w:p>
      <w:pPr>
        <w:numPr>
          <w:ilvl w:val="0"/>
          <w:numId w:val="1008"/>
        </w:numPr>
        <w:pStyle w:val="Compact"/>
      </w:pPr>
      <w:r>
        <w:t xml:space="preserve">referência de desenho/especificação;</w:t>
      </w:r>
    </w:p>
    <w:p>
      <w:pPr>
        <w:numPr>
          <w:ilvl w:val="0"/>
          <w:numId w:val="1008"/>
        </w:numPr>
        <w:pStyle w:val="Compact"/>
      </w:pPr>
      <w:r>
        <w:t xml:space="preserve">atividade observada;</w:t>
      </w:r>
    </w:p>
    <w:p>
      <w:pPr>
        <w:numPr>
          <w:ilvl w:val="0"/>
          <w:numId w:val="1008"/>
        </w:numPr>
        <w:pStyle w:val="Compact"/>
      </w:pPr>
      <w:r>
        <w:t xml:space="preserve">identificação de material ou equipamento;</w:t>
      </w:r>
    </w:p>
    <w:p>
      <w:pPr>
        <w:numPr>
          <w:ilvl w:val="0"/>
          <w:numId w:val="1008"/>
        </w:numPr>
        <w:pStyle w:val="Compact"/>
      </w:pPr>
      <w:r>
        <w:t xml:space="preserve">medições ou referências de ensaio;</w:t>
      </w:r>
    </w:p>
    <w:p>
      <w:pPr>
        <w:numPr>
          <w:ilvl w:val="0"/>
          <w:numId w:val="1008"/>
        </w:numPr>
        <w:pStyle w:val="Compact"/>
      </w:pPr>
      <w:r>
        <w:t xml:space="preserve">fotografias quando autorizadas;</w:t>
      </w:r>
    </w:p>
    <w:p>
      <w:pPr>
        <w:numPr>
          <w:ilvl w:val="0"/>
          <w:numId w:val="1008"/>
        </w:numPr>
        <w:pStyle w:val="Compact"/>
      </w:pPr>
      <w:r>
        <w:t xml:space="preserve">não conformidades ou condições incomuns;</w:t>
      </w:r>
    </w:p>
    <w:p>
      <w:pPr>
        <w:numPr>
          <w:ilvl w:val="0"/>
          <w:numId w:val="1008"/>
        </w:numPr>
        <w:pStyle w:val="Compact"/>
      </w:pPr>
      <w:r>
        <w:t xml:space="preserve">conversas/instruções que precisem ser documentadas;</w:t>
      </w:r>
    </w:p>
    <w:p>
      <w:pPr>
        <w:numPr>
          <w:ilvl w:val="0"/>
          <w:numId w:val="1008"/>
        </w:numPr>
        <w:pStyle w:val="Compact"/>
      </w:pPr>
      <w:r>
        <w:t xml:space="preserve">ação de acompanhamento ou escalonamento;</w:t>
      </w:r>
    </w:p>
    <w:p>
      <w:pPr>
        <w:numPr>
          <w:ilvl w:val="0"/>
          <w:numId w:val="1008"/>
        </w:numPr>
        <w:pStyle w:val="Compact"/>
      </w:pPr>
      <w:r>
        <w:t xml:space="preserve">identificação do autor/revisor.</w:t>
      </w:r>
    </w:p>
    <w:p>
      <w:pPr>
        <w:pStyle w:val="FirstParagraph"/>
      </w:pPr>
      <w:r>
        <w:t xml:space="preserve">Separe fatos observados de interpretação. Por exemplo, “a abertura medida da fissura foi X no local Y” é diferente de declarar sua causa estrutural ou importância para a segurança, a menos que você seja qualificado e autorizado para essa conclusão.</w:t>
      </w:r>
    </w:p>
    <w:p>
      <w:pPr>
        <w:pStyle w:val="BodyText"/>
      </w:pPr>
      <w:r>
        <w:t xml:space="preserve">Nunca complete retroativamente observações que não realizou.</w:t>
      </w:r>
    </w:p>
    <w:bookmarkEnd w:id="29"/>
    <w:bookmarkStart w:id="30" w:name="materiais-de-construção-e-ensaios"/>
    <w:p>
      <w:pPr>
        <w:pStyle w:val="Heading2"/>
      </w:pPr>
      <w:r>
        <w:t xml:space="preserve">Materiais de construção e ensaios</w:t>
      </w:r>
    </w:p>
    <w:p>
      <w:pPr>
        <w:pStyle w:val="FirstParagraph"/>
      </w:pPr>
      <w:r>
        <w:t xml:space="preserve">Técnicos civis podem apoiar ensaios ou documentação de concreto, solos, agregados, asfalto, alvenaria ou outros materiais.</w:t>
      </w:r>
    </w:p>
    <w:p>
      <w:pPr>
        <w:pStyle w:val="BodyText"/>
      </w:pPr>
      <w:r>
        <w:t xml:space="preserve">Controles gerais:</w:t>
      </w:r>
    </w:p>
    <w:p>
      <w:pPr>
        <w:numPr>
          <w:ilvl w:val="0"/>
          <w:numId w:val="1009"/>
        </w:numPr>
        <w:pStyle w:val="Compact"/>
      </w:pPr>
      <w:r>
        <w:t xml:space="preserve">use o método/procedimento de ensaio aprovado;</w:t>
      </w:r>
    </w:p>
    <w:p>
      <w:pPr>
        <w:numPr>
          <w:ilvl w:val="0"/>
          <w:numId w:val="1009"/>
        </w:numPr>
        <w:pStyle w:val="Compact"/>
      </w:pPr>
      <w:r>
        <w:t xml:space="preserve">verifique identidade e localização da amostra;</w:t>
      </w:r>
    </w:p>
    <w:p>
      <w:pPr>
        <w:numPr>
          <w:ilvl w:val="0"/>
          <w:numId w:val="1009"/>
        </w:numPr>
        <w:pStyle w:val="Compact"/>
      </w:pPr>
      <w:r>
        <w:t xml:space="preserve">proteja a cadeia de custódia quando aplicável;</w:t>
      </w:r>
    </w:p>
    <w:p>
      <w:pPr>
        <w:numPr>
          <w:ilvl w:val="0"/>
          <w:numId w:val="1009"/>
        </w:numPr>
        <w:pStyle w:val="Compact"/>
      </w:pPr>
      <w:r>
        <w:t xml:space="preserve">verifique condição do equipamento e requisitos de calibração;</w:t>
      </w:r>
    </w:p>
    <w:p>
      <w:pPr>
        <w:numPr>
          <w:ilvl w:val="0"/>
          <w:numId w:val="1009"/>
        </w:numPr>
        <w:pStyle w:val="Compact"/>
      </w:pPr>
      <w:r>
        <w:t xml:space="preserve">registre condições ambientais ou de cura quando exigidas;</w:t>
      </w:r>
    </w:p>
    <w:p>
      <w:pPr>
        <w:numPr>
          <w:ilvl w:val="0"/>
          <w:numId w:val="1009"/>
        </w:numPr>
        <w:pStyle w:val="Compact"/>
      </w:pPr>
      <w:r>
        <w:t xml:space="preserve">registre resultados exatamente como observados;</w:t>
      </w:r>
    </w:p>
    <w:p>
      <w:pPr>
        <w:numPr>
          <w:ilvl w:val="0"/>
          <w:numId w:val="1009"/>
        </w:numPr>
        <w:pStyle w:val="Compact"/>
      </w:pPr>
      <w:r>
        <w:t xml:space="preserve">preserve resultados reprovados ou incomuns;</w:t>
      </w:r>
    </w:p>
    <w:p>
      <w:pPr>
        <w:numPr>
          <w:ilvl w:val="0"/>
          <w:numId w:val="1009"/>
        </w:numPr>
        <w:pStyle w:val="Compact"/>
      </w:pPr>
      <w:r>
        <w:t xml:space="preserve">compare resultados somente com o critério correto do projeto;</w:t>
      </w:r>
    </w:p>
    <w:p>
      <w:pPr>
        <w:numPr>
          <w:ilvl w:val="0"/>
          <w:numId w:val="1009"/>
        </w:numPr>
        <w:pStyle w:val="Compact"/>
      </w:pPr>
      <w:r>
        <w:t xml:space="preserve">escale resultados fora de especificação;</w:t>
      </w:r>
    </w:p>
    <w:p>
      <w:pPr>
        <w:numPr>
          <w:ilvl w:val="0"/>
          <w:numId w:val="1009"/>
        </w:numPr>
        <w:pStyle w:val="Compact"/>
      </w:pPr>
      <w:r>
        <w:t xml:space="preserve">não altere dados para fazer um lote ou instalação ser aprovado.</w:t>
      </w:r>
    </w:p>
    <w:p>
      <w:pPr>
        <w:pStyle w:val="FirstParagraph"/>
      </w:pPr>
      <w:r>
        <w:t xml:space="preserve">Requisitos de certificação para ensaios específicos podem variar por empregador, contrato, norma e jurisdição. Verifique a credencial realmente exigida.</w:t>
      </w:r>
    </w:p>
    <w:bookmarkEnd w:id="30"/>
    <w:bookmarkStart w:id="31" w:name="trabalho-com-concreto"/>
    <w:p>
      <w:pPr>
        <w:pStyle w:val="Heading2"/>
      </w:pPr>
      <w:r>
        <w:t xml:space="preserve">Trabalho com concreto</w:t>
      </w:r>
    </w:p>
    <w:p>
      <w:pPr>
        <w:pStyle w:val="FirstParagraph"/>
      </w:pPr>
      <w:r>
        <w:t xml:space="preserve">Técnicos podem participar de amostragem, ensaios de concreto fresco, documentação de corpos de prova, observações de lançamento ou acompanhamento de quantitativos.</w:t>
      </w:r>
    </w:p>
    <w:p>
      <w:pPr>
        <w:pStyle w:val="BodyText"/>
      </w:pPr>
      <w:r>
        <w:t xml:space="preserve">Princípios-chave:</w:t>
      </w:r>
    </w:p>
    <w:p>
      <w:pPr>
        <w:numPr>
          <w:ilvl w:val="0"/>
          <w:numId w:val="1010"/>
        </w:numPr>
        <w:pStyle w:val="Compact"/>
      </w:pPr>
      <w:r>
        <w:t xml:space="preserve">identifique corretamente carga/lote/local;</w:t>
      </w:r>
    </w:p>
    <w:p>
      <w:pPr>
        <w:numPr>
          <w:ilvl w:val="0"/>
          <w:numId w:val="1010"/>
        </w:numPr>
        <w:pStyle w:val="Compact"/>
      </w:pPr>
      <w:r>
        <w:t xml:space="preserve">use procedimentos de amostragem exigidos;</w:t>
      </w:r>
    </w:p>
    <w:p>
      <w:pPr>
        <w:numPr>
          <w:ilvl w:val="0"/>
          <w:numId w:val="1010"/>
        </w:numPr>
        <w:pStyle w:val="Compact"/>
      </w:pPr>
      <w:r>
        <w:t xml:space="preserve">registre horário e condições quando aplicável;</w:t>
      </w:r>
    </w:p>
    <w:p>
      <w:pPr>
        <w:numPr>
          <w:ilvl w:val="0"/>
          <w:numId w:val="1010"/>
        </w:numPr>
        <w:pStyle w:val="Compact"/>
      </w:pPr>
      <w:r>
        <w:t xml:space="preserve">mantenha a identidade do corpo de prova;</w:t>
      </w:r>
    </w:p>
    <w:p>
      <w:pPr>
        <w:numPr>
          <w:ilvl w:val="0"/>
          <w:numId w:val="1010"/>
        </w:numPr>
        <w:pStyle w:val="Compact"/>
      </w:pPr>
      <w:r>
        <w:t xml:space="preserve">preserve registros de cura/transporte quando aplicável;</w:t>
      </w:r>
    </w:p>
    <w:p>
      <w:pPr>
        <w:numPr>
          <w:ilvl w:val="0"/>
          <w:numId w:val="1010"/>
        </w:numPr>
        <w:pStyle w:val="Compact"/>
      </w:pPr>
      <w:r>
        <w:t xml:space="preserve">diferencie observações de campo de resultados de laboratório;</w:t>
      </w:r>
    </w:p>
    <w:p>
      <w:pPr>
        <w:numPr>
          <w:ilvl w:val="0"/>
          <w:numId w:val="1010"/>
        </w:numPr>
        <w:pStyle w:val="Compact"/>
      </w:pPr>
      <w:r>
        <w:t xml:space="preserve">não conclua aceitação estrutural com base em observação informal isolada.</w:t>
      </w:r>
    </w:p>
    <w:p>
      <w:pPr>
        <w:pStyle w:val="FirstParagraph"/>
      </w:pPr>
      <w:r>
        <w:t xml:space="preserve">Decisões de aceitação devem seguir as especificações aplicáveis e o processo de revisão autorizado.</w:t>
      </w:r>
    </w:p>
    <w:bookmarkEnd w:id="31"/>
    <w:bookmarkStart w:id="32" w:name="solos-e-apoio-geotécnico"/>
    <w:p>
      <w:pPr>
        <w:pStyle w:val="Heading2"/>
      </w:pPr>
      <w:r>
        <w:t xml:space="preserve">Solos e apoio geotécnico</w:t>
      </w:r>
    </w:p>
    <w:p>
      <w:pPr>
        <w:pStyle w:val="FirstParagraph"/>
      </w:pPr>
      <w:r>
        <w:t xml:space="preserve">Técnicos podem auxiliar na classificação de solos, amostragem, ensaios de compactação, registros de umidade/densidade, logs de sondagem ou gestão de dados geotécnicos sob procedimentos atribuídos.</w:t>
      </w:r>
    </w:p>
    <w:p>
      <w:pPr>
        <w:pStyle w:val="BodyText"/>
      </w:pPr>
      <w:r>
        <w:t xml:space="preserve">Controles:</w:t>
      </w:r>
    </w:p>
    <w:p>
      <w:pPr>
        <w:numPr>
          <w:ilvl w:val="0"/>
          <w:numId w:val="1011"/>
        </w:numPr>
        <w:pStyle w:val="Compact"/>
      </w:pPr>
      <w:r>
        <w:t xml:space="preserve">preserve local e profundidade da amostra/ensaio;</w:t>
      </w:r>
    </w:p>
    <w:p>
      <w:pPr>
        <w:numPr>
          <w:ilvl w:val="0"/>
          <w:numId w:val="1011"/>
        </w:numPr>
        <w:pStyle w:val="Compact"/>
      </w:pPr>
      <w:r>
        <w:t xml:space="preserve">diferencie material observado de conclusões geológicas/geotécnicas interpretadas;</w:t>
      </w:r>
    </w:p>
    <w:p>
      <w:pPr>
        <w:numPr>
          <w:ilvl w:val="0"/>
          <w:numId w:val="1011"/>
        </w:numPr>
        <w:pStyle w:val="Compact"/>
      </w:pPr>
      <w:r>
        <w:t xml:space="preserve">documente método de ensaio e equipamento quando aplicável;</w:t>
      </w:r>
    </w:p>
    <w:p>
      <w:pPr>
        <w:numPr>
          <w:ilvl w:val="0"/>
          <w:numId w:val="1011"/>
        </w:numPr>
        <w:pStyle w:val="Compact"/>
      </w:pPr>
      <w:r>
        <w:t xml:space="preserve">preserve leituras brutas;</w:t>
      </w:r>
    </w:p>
    <w:p>
      <w:pPr>
        <w:numPr>
          <w:ilvl w:val="0"/>
          <w:numId w:val="1011"/>
        </w:numPr>
        <w:pStyle w:val="Compact"/>
      </w:pPr>
      <w:r>
        <w:t xml:space="preserve">identifique prontamente condições inadequadas ou inesperadas;</w:t>
      </w:r>
    </w:p>
    <w:p>
      <w:pPr>
        <w:numPr>
          <w:ilvl w:val="0"/>
          <w:numId w:val="1011"/>
        </w:numPr>
        <w:pStyle w:val="Compact"/>
      </w:pPr>
      <w:r>
        <w:t xml:space="preserve">não altere local ou resultado de ensaio sem documentar o motivo;</w:t>
      </w:r>
    </w:p>
    <w:p>
      <w:pPr>
        <w:numPr>
          <w:ilvl w:val="0"/>
          <w:numId w:val="1011"/>
        </w:numPr>
        <w:pStyle w:val="Compact"/>
      </w:pPr>
      <w:r>
        <w:t xml:space="preserve">escale condições diferentes das premissas geotécnicas ou documentos do projeto.</w:t>
      </w:r>
    </w:p>
    <w:p>
      <w:pPr>
        <w:pStyle w:val="FirstParagraph"/>
      </w:pPr>
      <w:r>
        <w:t xml:space="preserve">Julgamentos de projeto geotécnico devem permanecer com profissionais devidamente qualificados.</w:t>
      </w:r>
    </w:p>
    <w:bookmarkEnd w:id="32"/>
    <w:bookmarkStart w:id="33" w:name="asfalto-pavimentos-e-transportes"/>
    <w:p>
      <w:pPr>
        <w:pStyle w:val="Heading2"/>
      </w:pPr>
      <w:r>
        <w:t xml:space="preserve">Asfalto, pavimentos e transportes</w:t>
      </w:r>
    </w:p>
    <w:p>
      <w:pPr>
        <w:pStyle w:val="FirstParagraph"/>
      </w:pPr>
      <w:r>
        <w:t xml:space="preserve">Trabalhos de vias e pavimentos podem envolver quantitativos, verificação de greide/elevação, documentação de materiais, apoio a compactação/densidade, interface com controle de tráfego, registros de progresso e verificações de conformidade.</w:t>
      </w:r>
    </w:p>
    <w:p>
      <w:pPr>
        <w:pStyle w:val="BodyText"/>
      </w:pPr>
      <w:r>
        <w:t xml:space="preserve">Antes de trabalhar perto de tráfego ativo ou equipamentos móveis de construção:</w:t>
      </w:r>
    </w:p>
    <w:p>
      <w:pPr>
        <w:numPr>
          <w:ilvl w:val="0"/>
          <w:numId w:val="1012"/>
        </w:numPr>
        <w:pStyle w:val="Compact"/>
      </w:pPr>
      <w:r>
        <w:t xml:space="preserve">siga o plano aprovado de controle de tráfego e segurança do local;</w:t>
      </w:r>
    </w:p>
    <w:p>
      <w:pPr>
        <w:numPr>
          <w:ilvl w:val="0"/>
          <w:numId w:val="1012"/>
        </w:numPr>
        <w:pStyle w:val="Compact"/>
      </w:pPr>
      <w:r>
        <w:t xml:space="preserve">use EPI de alta visibilidade e demais equipamentos exigidos;</w:t>
      </w:r>
    </w:p>
    <w:p>
      <w:pPr>
        <w:numPr>
          <w:ilvl w:val="0"/>
          <w:numId w:val="1012"/>
        </w:numPr>
        <w:pStyle w:val="Compact"/>
      </w:pPr>
      <w:r>
        <w:t xml:space="preserve">permaneça dentro das áreas de trabalho designadas;</w:t>
      </w:r>
    </w:p>
    <w:p>
      <w:pPr>
        <w:numPr>
          <w:ilvl w:val="0"/>
          <w:numId w:val="1012"/>
        </w:numPr>
        <w:pStyle w:val="Compact"/>
      </w:pPr>
      <w:r>
        <w:t xml:space="preserve">mantenha comunicação com a equipe;</w:t>
      </w:r>
    </w:p>
    <w:p>
      <w:pPr>
        <w:numPr>
          <w:ilvl w:val="0"/>
          <w:numId w:val="1012"/>
        </w:numPr>
        <w:pStyle w:val="Compact"/>
      </w:pPr>
      <w:r>
        <w:t xml:space="preserve">use sinaleiros ou acesso controlado quando exigido;</w:t>
      </w:r>
    </w:p>
    <w:p>
      <w:pPr>
        <w:numPr>
          <w:ilvl w:val="0"/>
          <w:numId w:val="1012"/>
        </w:numPr>
        <w:pStyle w:val="Compact"/>
      </w:pPr>
      <w:r>
        <w:t xml:space="preserve">nunca se posicione em local inseguro apenas para obter uma medição melhor.</w:t>
      </w:r>
    </w:p>
    <w:bookmarkEnd w:id="33"/>
    <w:bookmarkStart w:id="34" w:name="quantitativos-e-estimativas"/>
    <w:p>
      <w:pPr>
        <w:pStyle w:val="Heading2"/>
      </w:pPr>
      <w:r>
        <w:t xml:space="preserve">Quantitativos e estimativas</w:t>
      </w:r>
    </w:p>
    <w:p>
      <w:pPr>
        <w:pStyle w:val="FirstParagraph"/>
      </w:pPr>
      <w:r>
        <w:t xml:space="preserve">Técnicos podem apoiar levantamentos de quantitativos e estimativas de terraplenagem, concreto, armaduras, tubulação, pavimento, acabamentos, mão de obra ou equipamentos.</w:t>
      </w:r>
    </w:p>
    <w:p>
      <w:pPr>
        <w:pStyle w:val="BodyText"/>
      </w:pPr>
      <w:r>
        <w:t xml:space="preserve">Uma estimativa defensável deve identificar:</w:t>
      </w:r>
    </w:p>
    <w:p>
      <w:pPr>
        <w:numPr>
          <w:ilvl w:val="0"/>
          <w:numId w:val="1013"/>
        </w:numPr>
        <w:pStyle w:val="Compact"/>
      </w:pPr>
      <w:r>
        <w:t xml:space="preserve">revisão do desenho/modelo-fonte;</w:t>
      </w:r>
    </w:p>
    <w:p>
      <w:pPr>
        <w:numPr>
          <w:ilvl w:val="0"/>
          <w:numId w:val="1013"/>
        </w:numPr>
        <w:pStyle w:val="Compact"/>
      </w:pPr>
      <w:r>
        <w:t xml:space="preserve">unidades de medição;</w:t>
      </w:r>
    </w:p>
    <w:p>
      <w:pPr>
        <w:numPr>
          <w:ilvl w:val="0"/>
          <w:numId w:val="1013"/>
        </w:numPr>
        <w:pStyle w:val="Compact"/>
      </w:pPr>
      <w:r>
        <w:t xml:space="preserve">método de quantificação;</w:t>
      </w:r>
    </w:p>
    <w:p>
      <w:pPr>
        <w:numPr>
          <w:ilvl w:val="0"/>
          <w:numId w:val="1013"/>
        </w:numPr>
        <w:pStyle w:val="Compact"/>
      </w:pPr>
      <w:r>
        <w:t xml:space="preserve">premissas;</w:t>
      </w:r>
    </w:p>
    <w:p>
      <w:pPr>
        <w:numPr>
          <w:ilvl w:val="0"/>
          <w:numId w:val="1013"/>
        </w:numPr>
        <w:pStyle w:val="Compact"/>
      </w:pPr>
      <w:r>
        <w:t xml:space="preserve">exclusões;</w:t>
      </w:r>
    </w:p>
    <w:p>
      <w:pPr>
        <w:numPr>
          <w:ilvl w:val="0"/>
          <w:numId w:val="1013"/>
        </w:numPr>
        <w:pStyle w:val="Compact"/>
      </w:pPr>
      <w:r>
        <w:t xml:space="preserve">fatores de perdas/contingência quando autorizados;</w:t>
      </w:r>
    </w:p>
    <w:p>
      <w:pPr>
        <w:numPr>
          <w:ilvl w:val="0"/>
          <w:numId w:val="1013"/>
        </w:numPr>
        <w:pStyle w:val="Compact"/>
      </w:pPr>
      <w:r>
        <w:t xml:space="preserve">fonte/data do preço quando houver custo;</w:t>
      </w:r>
    </w:p>
    <w:p>
      <w:pPr>
        <w:numPr>
          <w:ilvl w:val="0"/>
          <w:numId w:val="1013"/>
        </w:numPr>
        <w:pStyle w:val="Compact"/>
      </w:pPr>
      <w:r>
        <w:t xml:space="preserve">alternativas ou incerteza;</w:t>
      </w:r>
    </w:p>
    <w:p>
      <w:pPr>
        <w:numPr>
          <w:ilvl w:val="0"/>
          <w:numId w:val="1013"/>
        </w:numPr>
        <w:pStyle w:val="Compact"/>
      </w:pPr>
      <w:r>
        <w:t xml:space="preserve">fluxo de revisão/aprovação.</w:t>
      </w:r>
    </w:p>
    <w:p>
      <w:pPr>
        <w:pStyle w:val="FirstParagraph"/>
      </w:pPr>
      <w:r>
        <w:t xml:space="preserve">Não apresente uma estimativa preliminar de planejamento como preço garantido de construção.</w:t>
      </w:r>
    </w:p>
    <w:bookmarkEnd w:id="34"/>
    <w:bookmarkStart w:id="35" w:name="controles-de-custos-e-orçamento"/>
    <w:p>
      <w:pPr>
        <w:pStyle w:val="Heading2"/>
      </w:pPr>
      <w:r>
        <w:t xml:space="preserve">Controles de custos e orçamento</w:t>
      </w:r>
    </w:p>
    <w:p>
      <w:pPr>
        <w:pStyle w:val="FirstParagraph"/>
      </w:pPr>
      <w:r>
        <w:t xml:space="preserve">Dados de custos podem mudar rapidamente. Mantenha separados:</w:t>
      </w:r>
    </w:p>
    <w:p>
      <w:pPr>
        <w:numPr>
          <w:ilvl w:val="0"/>
          <w:numId w:val="1014"/>
        </w:numPr>
        <w:pStyle w:val="Compact"/>
      </w:pPr>
      <w:r>
        <w:t xml:space="preserve">quantidade;</w:t>
      </w:r>
    </w:p>
    <w:p>
      <w:pPr>
        <w:numPr>
          <w:ilvl w:val="0"/>
          <w:numId w:val="1014"/>
        </w:numPr>
        <w:pStyle w:val="Compact"/>
      </w:pPr>
      <w:r>
        <w:t xml:space="preserve">custo unitário;</w:t>
      </w:r>
    </w:p>
    <w:p>
      <w:pPr>
        <w:numPr>
          <w:ilvl w:val="0"/>
          <w:numId w:val="1014"/>
        </w:numPr>
        <w:pStyle w:val="Compact"/>
      </w:pPr>
      <w:r>
        <w:t xml:space="preserve">tarifa de mão de obra;</w:t>
      </w:r>
    </w:p>
    <w:p>
      <w:pPr>
        <w:numPr>
          <w:ilvl w:val="0"/>
          <w:numId w:val="1014"/>
        </w:numPr>
        <w:pStyle w:val="Compact"/>
      </w:pPr>
      <w:r>
        <w:t xml:space="preserve">tarifa de equipamento;</w:t>
      </w:r>
    </w:p>
    <w:p>
      <w:pPr>
        <w:numPr>
          <w:ilvl w:val="0"/>
          <w:numId w:val="1014"/>
        </w:numPr>
        <w:pStyle w:val="Compact"/>
      </w:pPr>
      <w:r>
        <w:t xml:space="preserve">cotação de material;</w:t>
      </w:r>
    </w:p>
    <w:p>
      <w:pPr>
        <w:numPr>
          <w:ilvl w:val="0"/>
          <w:numId w:val="1014"/>
        </w:numPr>
        <w:pStyle w:val="Compact"/>
      </w:pPr>
      <w:r>
        <w:t xml:space="preserve">imposto/tarifa quando aplicável;</w:t>
      </w:r>
    </w:p>
    <w:p>
      <w:pPr>
        <w:numPr>
          <w:ilvl w:val="0"/>
          <w:numId w:val="1014"/>
        </w:numPr>
        <w:pStyle w:val="Compact"/>
      </w:pPr>
      <w:r>
        <w:t xml:space="preserve">contingência;</w:t>
      </w:r>
    </w:p>
    <w:p>
      <w:pPr>
        <w:numPr>
          <w:ilvl w:val="0"/>
          <w:numId w:val="1014"/>
        </w:numPr>
        <w:pStyle w:val="Compact"/>
      </w:pPr>
      <w:r>
        <w:t xml:space="preserve">escalonamento;</w:t>
      </w:r>
    </w:p>
    <w:p>
      <w:pPr>
        <w:numPr>
          <w:ilvl w:val="0"/>
          <w:numId w:val="1014"/>
        </w:numPr>
        <w:pStyle w:val="Compact"/>
      </w:pPr>
      <w:r>
        <w:t xml:space="preserve">despesas gerais/lucro quando aplicável;</w:t>
      </w:r>
    </w:p>
    <w:p>
      <w:pPr>
        <w:numPr>
          <w:ilvl w:val="0"/>
          <w:numId w:val="1014"/>
        </w:numPr>
        <w:pStyle w:val="Compact"/>
      </w:pPr>
      <w:r>
        <w:t xml:space="preserve">moeda e data.</w:t>
      </w:r>
    </w:p>
    <w:p>
      <w:pPr>
        <w:pStyle w:val="FirstParagraph"/>
      </w:pPr>
      <w:r>
        <w:t xml:space="preserve">Nunca misture moedas ou bases de preço de datas diferentes sem conversão e data explícitas.</w:t>
      </w:r>
    </w:p>
    <w:bookmarkEnd w:id="35"/>
    <w:bookmarkStart w:id="36" w:name="cad-e-software-de-projeto-civil"/>
    <w:p>
      <w:pPr>
        <w:pStyle w:val="Heading2"/>
      </w:pPr>
      <w:r>
        <w:t xml:space="preserve">CAD e software de projeto civil</w:t>
      </w:r>
    </w:p>
    <w:p>
      <w:pPr>
        <w:pStyle w:val="FirstParagraph"/>
      </w:pPr>
      <w:r>
        <w:t xml:space="preserve">Técnicos civis frequentemente usam sistemas CAD/de projeto civil, mas domínio do software precisa vir acompanhado de disciplina documental de engenharia.</w:t>
      </w:r>
    </w:p>
    <w:p>
      <w:pPr>
        <w:pStyle w:val="BodyText"/>
      </w:pPr>
      <w:r>
        <w:t xml:space="preserve">Possíveis tarefas:</w:t>
      </w:r>
    </w:p>
    <w:p>
      <w:pPr>
        <w:numPr>
          <w:ilvl w:val="0"/>
          <w:numId w:val="1015"/>
        </w:numPr>
        <w:pStyle w:val="Compact"/>
      </w:pPr>
      <w:r>
        <w:t xml:space="preserve">criar ou revisar desenhos;</w:t>
      </w:r>
    </w:p>
    <w:p>
      <w:pPr>
        <w:numPr>
          <w:ilvl w:val="0"/>
          <w:numId w:val="1015"/>
        </w:numPr>
        <w:pStyle w:val="Compact"/>
      </w:pPr>
      <w:r>
        <w:t xml:space="preserve">gerenciar layers/estilos;</w:t>
      </w:r>
    </w:p>
    <w:p>
      <w:pPr>
        <w:numPr>
          <w:ilvl w:val="0"/>
          <w:numId w:val="1015"/>
        </w:numPr>
        <w:pStyle w:val="Compact"/>
      </w:pPr>
      <w:r>
        <w:t xml:space="preserve">importar dados de campo ou levantamento;</w:t>
      </w:r>
    </w:p>
    <w:p>
      <w:pPr>
        <w:numPr>
          <w:ilvl w:val="0"/>
          <w:numId w:val="1015"/>
        </w:numPr>
        <w:pStyle w:val="Compact"/>
      </w:pPr>
      <w:r>
        <w:t xml:space="preserve">preparar perfis/seções;</w:t>
      </w:r>
    </w:p>
    <w:p>
      <w:pPr>
        <w:numPr>
          <w:ilvl w:val="0"/>
          <w:numId w:val="1015"/>
        </w:numPr>
        <w:pStyle w:val="Compact"/>
      </w:pPr>
      <w:r>
        <w:t xml:space="preserve">apoiar superfícies e modelos de terreno;</w:t>
      </w:r>
    </w:p>
    <w:p>
      <w:pPr>
        <w:numPr>
          <w:ilvl w:val="0"/>
          <w:numId w:val="1015"/>
        </w:numPr>
        <w:pStyle w:val="Compact"/>
      </w:pPr>
      <w:r>
        <w:t xml:space="preserve">calcular ou exibir quantitativos;</w:t>
      </w:r>
    </w:p>
    <w:p>
      <w:pPr>
        <w:numPr>
          <w:ilvl w:val="0"/>
          <w:numId w:val="1015"/>
        </w:numPr>
        <w:pStyle w:val="Compact"/>
      </w:pPr>
      <w:r>
        <w:t xml:space="preserve">anotar detalhes;</w:t>
      </w:r>
    </w:p>
    <w:p>
      <w:pPr>
        <w:numPr>
          <w:ilvl w:val="0"/>
          <w:numId w:val="1015"/>
        </w:numPr>
        <w:pStyle w:val="Compact"/>
      </w:pPr>
      <w:r>
        <w:t xml:space="preserve">comparar informações de projeto e registro;</w:t>
      </w:r>
    </w:p>
    <w:p>
      <w:pPr>
        <w:numPr>
          <w:ilvl w:val="0"/>
          <w:numId w:val="1015"/>
        </w:numPr>
        <w:pStyle w:val="Compact"/>
      </w:pPr>
      <w:r>
        <w:t xml:space="preserve">produzir entregáveis controlados.</w:t>
      </w:r>
    </w:p>
    <w:p>
      <w:pPr>
        <w:pStyle w:val="FirstParagraph"/>
      </w:pPr>
      <w:r>
        <w:t xml:space="preserve">Controles:</w:t>
      </w:r>
    </w:p>
    <w:p>
      <w:pPr>
        <w:numPr>
          <w:ilvl w:val="0"/>
          <w:numId w:val="1016"/>
        </w:numPr>
        <w:pStyle w:val="Compact"/>
      </w:pPr>
      <w:r>
        <w:t xml:space="preserve">confirme unidades e sistema de coordenadas;</w:t>
      </w:r>
    </w:p>
    <w:p>
      <w:pPr>
        <w:numPr>
          <w:ilvl w:val="0"/>
          <w:numId w:val="1016"/>
        </w:numPr>
        <w:pStyle w:val="Compact"/>
      </w:pPr>
      <w:r>
        <w:t xml:space="preserve">use template/padrões corretos;</w:t>
      </w:r>
    </w:p>
    <w:p>
      <w:pPr>
        <w:numPr>
          <w:ilvl w:val="0"/>
          <w:numId w:val="1016"/>
        </w:numPr>
        <w:pStyle w:val="Compact"/>
      </w:pPr>
      <w:r>
        <w:t xml:space="preserve">mantenha integridade de referências externas e caminhos de arquivo;</w:t>
      </w:r>
    </w:p>
    <w:p>
      <w:pPr>
        <w:numPr>
          <w:ilvl w:val="0"/>
          <w:numId w:val="1016"/>
        </w:numPr>
        <w:pStyle w:val="Compact"/>
      </w:pPr>
      <w:r>
        <w:t xml:space="preserve">não elimine restrições de projeto apenas por serem inconvenientes;</w:t>
      </w:r>
    </w:p>
    <w:p>
      <w:pPr>
        <w:numPr>
          <w:ilvl w:val="0"/>
          <w:numId w:val="1016"/>
        </w:numPr>
        <w:pStyle w:val="Compact"/>
      </w:pPr>
      <w:r>
        <w:t xml:space="preserve">diferencie geometria de referência de geometria de projeto aprovada;</w:t>
      </w:r>
    </w:p>
    <w:p>
      <w:pPr>
        <w:numPr>
          <w:ilvl w:val="0"/>
          <w:numId w:val="1016"/>
        </w:numPr>
        <w:pStyle w:val="Compact"/>
      </w:pPr>
      <w:r>
        <w:t xml:space="preserve">confira a saída plotada/exportada, não apenas a visualização na tela;</w:t>
      </w:r>
    </w:p>
    <w:p>
      <w:pPr>
        <w:numPr>
          <w:ilvl w:val="0"/>
          <w:numId w:val="1016"/>
        </w:numPr>
        <w:pStyle w:val="Compact"/>
      </w:pPr>
      <w:r>
        <w:t xml:space="preserve">siga procedimentos de revisão/aprovação antes da emissão.</w:t>
      </w:r>
    </w:p>
    <w:bookmarkEnd w:id="36"/>
    <w:bookmarkStart w:id="37" w:name="bim-e-fluxos-baseados-em-modelos"/>
    <w:p>
      <w:pPr>
        <w:pStyle w:val="Heading2"/>
      </w:pPr>
      <w:r>
        <w:t xml:space="preserve">BIM e fluxos baseados em modelos</w:t>
      </w:r>
    </w:p>
    <w:p>
      <w:pPr>
        <w:pStyle w:val="FirstParagraph"/>
      </w:pPr>
      <w:r>
        <w:t xml:space="preserve">Building Information Modeling pode combinar geometria, atributos, coordenação e informações do ciclo de vida.</w:t>
      </w:r>
    </w:p>
    <w:p>
      <w:pPr>
        <w:pStyle w:val="BodyText"/>
      </w:pPr>
      <w:r>
        <w:t xml:space="preserve">Responsabilidades do técnico podem incluir atualizações de modelo, apoio à coordenação/clashes, quantitativos, documentação ou preparação de exportações.</w:t>
      </w:r>
    </w:p>
    <w:p>
      <w:pPr>
        <w:pStyle w:val="BodyText"/>
      </w:pPr>
      <w:r>
        <w:t xml:space="preserve">Um modelo não é automaticamente autoritativo apenas por ser detalhado. Verifique status do modelo, responsabilidade de disciplina, revisão, nível de desenvolvimento/requisitos de informação e uso aprovado antes de utilizá-lo para construção ou quantitativos.</w:t>
      </w:r>
    </w:p>
    <w:p>
      <w:pPr>
        <w:pStyle w:val="BodyText"/>
      </w:pPr>
      <w:r>
        <w:t xml:space="preserve">Não trate resultado automático “sem clashes” como prova de que o projeto atende códigos, é construtível ou está profissionalmente aprovado.</w:t>
      </w:r>
    </w:p>
    <w:bookmarkEnd w:id="37"/>
    <w:bookmarkStart w:id="38" w:name="gis-e-informações-geoespaciais"/>
    <w:p>
      <w:pPr>
        <w:pStyle w:val="Heading2"/>
      </w:pPr>
      <w:r>
        <w:t xml:space="preserve">GIS e informações geoespaciais</w:t>
      </w:r>
    </w:p>
    <w:p>
      <w:pPr>
        <w:pStyle w:val="FirstParagraph"/>
      </w:pPr>
      <w:r>
        <w:t xml:space="preserve">Projetos civis podem usar GIS para serviços públicos, transporte, drenagem, parcelas, restrições ambientais, inventários de ativos ou planejamento.</w:t>
      </w:r>
    </w:p>
    <w:p>
      <w:pPr>
        <w:pStyle w:val="BodyText"/>
      </w:pPr>
      <w:r>
        <w:t xml:space="preserve">Verifique:</w:t>
      </w:r>
    </w:p>
    <w:p>
      <w:pPr>
        <w:numPr>
          <w:ilvl w:val="0"/>
          <w:numId w:val="1017"/>
        </w:numPr>
        <w:pStyle w:val="Compact"/>
      </w:pPr>
      <w:r>
        <w:t xml:space="preserve">fonte/data dos dados;</w:t>
      </w:r>
    </w:p>
    <w:p>
      <w:pPr>
        <w:numPr>
          <w:ilvl w:val="0"/>
          <w:numId w:val="1017"/>
        </w:numPr>
        <w:pStyle w:val="Compact"/>
      </w:pPr>
      <w:r>
        <w:t xml:space="preserve">sistema de referência de coordenadas;</w:t>
      </w:r>
    </w:p>
    <w:p>
      <w:pPr>
        <w:numPr>
          <w:ilvl w:val="0"/>
          <w:numId w:val="1017"/>
        </w:numPr>
        <w:pStyle w:val="Compact"/>
      </w:pPr>
      <w:r>
        <w:t xml:space="preserve">precisão posicional/escala;</w:t>
      </w:r>
    </w:p>
    <w:p>
      <w:pPr>
        <w:numPr>
          <w:ilvl w:val="0"/>
          <w:numId w:val="1017"/>
        </w:numPr>
        <w:pStyle w:val="Compact"/>
      </w:pPr>
      <w:r>
        <w:t xml:space="preserve">integridade dos atributos;</w:t>
      </w:r>
    </w:p>
    <w:p>
      <w:pPr>
        <w:numPr>
          <w:ilvl w:val="0"/>
          <w:numId w:val="1017"/>
        </w:numPr>
        <w:pStyle w:val="Compact"/>
      </w:pPr>
      <w:r>
        <w:t xml:space="preserve">limitações legais/de status;</w:t>
      </w:r>
    </w:p>
    <w:p>
      <w:pPr>
        <w:numPr>
          <w:ilvl w:val="0"/>
          <w:numId w:val="1017"/>
        </w:numPr>
        <w:pStyle w:val="Compact"/>
      </w:pPr>
      <w:r>
        <w:t xml:space="preserve">responsabilidade pela atualização.</w:t>
      </w:r>
    </w:p>
    <w:p>
      <w:pPr>
        <w:pStyle w:val="FirstParagraph"/>
      </w:pPr>
      <w:r>
        <w:t xml:space="preserve">Uma parcela, utilidade ou ativo em GIS pode ser útil para planejamento sem ter precisão de levantamento ou autoridade para escavação.</w:t>
      </w:r>
    </w:p>
    <w:bookmarkEnd w:id="38"/>
    <w:bookmarkStart w:id="39" w:name="X43bd0c9d7590b0720bc3d811c7599fc1cf8a378"/>
    <w:p>
      <w:pPr>
        <w:pStyle w:val="Heading2"/>
      </w:pPr>
      <w:r>
        <w:t xml:space="preserve">Documentação do projeto e linhagem dos dados</w:t>
      </w:r>
    </w:p>
    <w:p>
      <w:pPr>
        <w:pStyle w:val="FirstParagraph"/>
      </w:pPr>
      <w:r>
        <w:t xml:space="preserve">Bom trabalho técnico deve ser reproduzível e rastreável.</w:t>
      </w:r>
    </w:p>
    <w:p>
      <w:pPr>
        <w:pStyle w:val="BodyText"/>
      </w:pPr>
      <w:r>
        <w:t xml:space="preserve">Mantenha, conforme aplicável:</w:t>
      </w:r>
    </w:p>
    <w:p>
      <w:pPr>
        <w:numPr>
          <w:ilvl w:val="0"/>
          <w:numId w:val="1018"/>
        </w:numPr>
        <w:pStyle w:val="Compact"/>
      </w:pPr>
      <w:r>
        <w:t xml:space="preserve">revisão do desenho/modelo;</w:t>
      </w:r>
    </w:p>
    <w:p>
      <w:pPr>
        <w:numPr>
          <w:ilvl w:val="0"/>
          <w:numId w:val="1018"/>
        </w:numPr>
        <w:pStyle w:val="Compact"/>
      </w:pPr>
      <w:r>
        <w:t xml:space="preserve">fonte do cálculo;</w:t>
      </w:r>
    </w:p>
    <w:p>
      <w:pPr>
        <w:numPr>
          <w:ilvl w:val="0"/>
          <w:numId w:val="1018"/>
        </w:numPr>
        <w:pStyle w:val="Compact"/>
      </w:pPr>
      <w:r>
        <w:t xml:space="preserve">fonte do quantitativo;</w:t>
      </w:r>
    </w:p>
    <w:p>
      <w:pPr>
        <w:numPr>
          <w:ilvl w:val="0"/>
          <w:numId w:val="1018"/>
        </w:numPr>
        <w:pStyle w:val="Compact"/>
      </w:pPr>
      <w:r>
        <w:t xml:space="preserve">identificação de ensaio/amostra;</w:t>
      </w:r>
    </w:p>
    <w:p>
      <w:pPr>
        <w:numPr>
          <w:ilvl w:val="0"/>
          <w:numId w:val="1018"/>
        </w:numPr>
        <w:pStyle w:val="Compact"/>
      </w:pPr>
      <w:r>
        <w:t xml:space="preserve">origem da nota de campo;</w:t>
      </w:r>
    </w:p>
    <w:p>
      <w:pPr>
        <w:numPr>
          <w:ilvl w:val="0"/>
          <w:numId w:val="1018"/>
        </w:numPr>
        <w:pStyle w:val="Compact"/>
      </w:pPr>
      <w:r>
        <w:t xml:space="preserve">data/hora;</w:t>
      </w:r>
    </w:p>
    <w:p>
      <w:pPr>
        <w:numPr>
          <w:ilvl w:val="0"/>
          <w:numId w:val="1018"/>
        </w:numPr>
        <w:pStyle w:val="Compact"/>
      </w:pPr>
      <w:r>
        <w:t xml:space="preserve">autor/revisor;</w:t>
      </w:r>
    </w:p>
    <w:p>
      <w:pPr>
        <w:numPr>
          <w:ilvl w:val="0"/>
          <w:numId w:val="1018"/>
        </w:numPr>
        <w:pStyle w:val="Compact"/>
      </w:pPr>
      <w:r>
        <w:t xml:space="preserve">versão de software/arquivo quando relevante;</w:t>
      </w:r>
    </w:p>
    <w:p>
      <w:pPr>
        <w:numPr>
          <w:ilvl w:val="0"/>
          <w:numId w:val="1018"/>
        </w:numPr>
        <w:pStyle w:val="Compact"/>
      </w:pPr>
      <w:r>
        <w:t xml:space="preserve">registro de mudanças;</w:t>
      </w:r>
    </w:p>
    <w:p>
      <w:pPr>
        <w:numPr>
          <w:ilvl w:val="0"/>
          <w:numId w:val="1018"/>
        </w:numPr>
        <w:pStyle w:val="Compact"/>
      </w:pPr>
      <w:r>
        <w:t xml:space="preserve">status de aprovação;</w:t>
      </w:r>
    </w:p>
    <w:p>
      <w:pPr>
        <w:numPr>
          <w:ilvl w:val="0"/>
          <w:numId w:val="1018"/>
        </w:numPr>
        <w:pStyle w:val="Compact"/>
      </w:pPr>
      <w:r>
        <w:t xml:space="preserve">fotografia ou evidência de inspeção vinculada;</w:t>
      </w:r>
    </w:p>
    <w:p>
      <w:pPr>
        <w:numPr>
          <w:ilvl w:val="0"/>
          <w:numId w:val="1018"/>
        </w:numPr>
        <w:pStyle w:val="Compact"/>
      </w:pPr>
      <w:r>
        <w:t xml:space="preserve">tratamento de documentos substituídos.</w:t>
      </w:r>
    </w:p>
    <w:p>
      <w:pPr>
        <w:pStyle w:val="FirstParagraph"/>
      </w:pPr>
      <w:r>
        <w:t xml:space="preserve">Não dependa de dispositivos pessoais, nuvem pessoal ou cópias não controladas para registros protegidos do projeto, salvo autorização expressa do empregador.</w:t>
      </w:r>
    </w:p>
    <w:bookmarkEnd w:id="39"/>
    <w:bookmarkStart w:id="40" w:name="garantia-e-controle-de-qualidade"/>
    <w:p>
      <w:pPr>
        <w:pStyle w:val="Heading2"/>
      </w:pPr>
      <w:r>
        <w:t xml:space="preserve">Garantia e controle de qualidade</w:t>
      </w:r>
    </w:p>
    <w:p>
      <w:pPr>
        <w:pStyle w:val="FirstParagraph"/>
      </w:pPr>
      <w:r>
        <w:t xml:space="preserve">QA/QC pode incluir:</w:t>
      </w:r>
    </w:p>
    <w:p>
      <w:pPr>
        <w:numPr>
          <w:ilvl w:val="0"/>
          <w:numId w:val="1019"/>
        </w:numPr>
        <w:pStyle w:val="Compact"/>
      </w:pPr>
      <w:r>
        <w:t xml:space="preserve">verificação independente de cálculos;</w:t>
      </w:r>
    </w:p>
    <w:p>
      <w:pPr>
        <w:numPr>
          <w:ilvl w:val="0"/>
          <w:numId w:val="1019"/>
        </w:numPr>
        <w:pStyle w:val="Compact"/>
      </w:pPr>
      <w:r>
        <w:t xml:space="preserve">revisão de desenhos/modelos;</w:t>
      </w:r>
    </w:p>
    <w:p>
      <w:pPr>
        <w:numPr>
          <w:ilvl w:val="0"/>
          <w:numId w:val="1019"/>
        </w:numPr>
        <w:pStyle w:val="Compact"/>
      </w:pPr>
      <w:r>
        <w:t xml:space="preserve">verificação de unidades;</w:t>
      </w:r>
    </w:p>
    <w:p>
      <w:pPr>
        <w:numPr>
          <w:ilvl w:val="0"/>
          <w:numId w:val="1019"/>
        </w:numPr>
        <w:pStyle w:val="Compact"/>
      </w:pPr>
      <w:r>
        <w:t xml:space="preserve">reconciliação de quantitativos;</w:t>
      </w:r>
    </w:p>
    <w:p>
      <w:pPr>
        <w:numPr>
          <w:ilvl w:val="0"/>
          <w:numId w:val="1019"/>
        </w:numPr>
        <w:pStyle w:val="Compact"/>
      </w:pPr>
      <w:r>
        <w:t xml:space="preserve">verificações de equipamentos de ensaio;</w:t>
      </w:r>
    </w:p>
    <w:p>
      <w:pPr>
        <w:numPr>
          <w:ilvl w:val="0"/>
          <w:numId w:val="1019"/>
        </w:numPr>
        <w:pStyle w:val="Compact"/>
      </w:pPr>
      <w:r>
        <w:t xml:space="preserve">ensaios duplicados ou repetidos quando exigidos;</w:t>
      </w:r>
    </w:p>
    <w:p>
      <w:pPr>
        <w:numPr>
          <w:ilvl w:val="0"/>
          <w:numId w:val="1019"/>
        </w:numPr>
        <w:pStyle w:val="Compact"/>
      </w:pPr>
      <w:r>
        <w:t xml:space="preserve">comparação com especificações;</w:t>
      </w:r>
    </w:p>
    <w:p>
      <w:pPr>
        <w:numPr>
          <w:ilvl w:val="0"/>
          <w:numId w:val="1019"/>
        </w:numPr>
        <w:pStyle w:val="Compact"/>
      </w:pPr>
      <w:r>
        <w:t xml:space="preserve">verificação campo-versus-projeto;</w:t>
      </w:r>
    </w:p>
    <w:p>
      <w:pPr>
        <w:numPr>
          <w:ilvl w:val="0"/>
          <w:numId w:val="1019"/>
        </w:numPr>
        <w:pStyle w:val="Compact"/>
      </w:pPr>
      <w:r>
        <w:t xml:space="preserve">revisão por pares;</w:t>
      </w:r>
    </w:p>
    <w:p>
      <w:pPr>
        <w:numPr>
          <w:ilvl w:val="0"/>
          <w:numId w:val="1019"/>
        </w:numPr>
        <w:pStyle w:val="Compact"/>
      </w:pPr>
      <w:r>
        <w:t xml:space="preserve">verificação de revisões;</w:t>
      </w:r>
    </w:p>
    <w:p>
      <w:pPr>
        <w:numPr>
          <w:ilvl w:val="0"/>
          <w:numId w:val="1019"/>
        </w:numPr>
        <w:pStyle w:val="Compact"/>
      </w:pPr>
      <w:r>
        <w:t xml:space="preserve">completude documental;</w:t>
      </w:r>
    </w:p>
    <w:p>
      <w:pPr>
        <w:numPr>
          <w:ilvl w:val="0"/>
          <w:numId w:val="1019"/>
        </w:numPr>
        <w:pStyle w:val="Compact"/>
      </w:pPr>
      <w:r>
        <w:t xml:space="preserve">acompanhamento de ações corretivas.</w:t>
      </w:r>
    </w:p>
    <w:p>
      <w:pPr>
        <w:pStyle w:val="FirstParagraph"/>
      </w:pPr>
      <w:r>
        <w:t xml:space="preserve">Um resultado que falha em uma verificação deve ser investigado, não ocultado.</w:t>
      </w:r>
    </w:p>
    <w:bookmarkEnd w:id="40"/>
    <w:bookmarkStart w:id="41" w:name="segurança-na-construção-e-em-campo"/>
    <w:p>
      <w:pPr>
        <w:pStyle w:val="Heading2"/>
      </w:pPr>
      <w:r>
        <w:t xml:space="preserve">Segurança na construção e em campo</w:t>
      </w:r>
    </w:p>
    <w:p>
      <w:pPr>
        <w:pStyle w:val="FirstParagraph"/>
      </w:pPr>
      <w:r>
        <w:t xml:space="preserve">A OSHA identifica a construção como uma indústria de alto risco. Técnicos civis podem estar expostos aos mesmos perigos que as equipes de construção mesmo quando sua função principal é inspeção, documentação ou ensaios.</w:t>
      </w:r>
    </w:p>
    <w:p>
      <w:pPr>
        <w:pStyle w:val="BodyText"/>
      </w:pPr>
      <w:r>
        <w:t xml:space="preserve">Possíveis perigos incluem:</w:t>
      </w:r>
    </w:p>
    <w:p>
      <w:pPr>
        <w:numPr>
          <w:ilvl w:val="0"/>
          <w:numId w:val="1020"/>
        </w:numPr>
        <w:pStyle w:val="Compact"/>
      </w:pPr>
      <w:r>
        <w:t xml:space="preserve">quedas;</w:t>
      </w:r>
    </w:p>
    <w:p>
      <w:pPr>
        <w:numPr>
          <w:ilvl w:val="0"/>
          <w:numId w:val="1020"/>
        </w:numPr>
        <w:pStyle w:val="Compact"/>
      </w:pPr>
      <w:r>
        <w:t xml:space="preserve">veículos e equipamentos pesados em movimento;</w:t>
      </w:r>
    </w:p>
    <w:p>
      <w:pPr>
        <w:numPr>
          <w:ilvl w:val="0"/>
          <w:numId w:val="1020"/>
        </w:numPr>
        <w:pStyle w:val="Compact"/>
      </w:pPr>
      <w:r>
        <w:t xml:space="preserve">riscos de impacto e aprisionamento;</w:t>
      </w:r>
    </w:p>
    <w:p>
      <w:pPr>
        <w:numPr>
          <w:ilvl w:val="0"/>
          <w:numId w:val="1020"/>
        </w:numPr>
        <w:pStyle w:val="Compact"/>
      </w:pPr>
      <w:r>
        <w:t xml:space="preserve">riscos elétricos;</w:t>
      </w:r>
    </w:p>
    <w:p>
      <w:pPr>
        <w:numPr>
          <w:ilvl w:val="0"/>
          <w:numId w:val="1020"/>
        </w:numPr>
        <w:pStyle w:val="Compact"/>
      </w:pPr>
      <w:r>
        <w:t xml:space="preserve">valas e escavações;</w:t>
      </w:r>
    </w:p>
    <w:p>
      <w:pPr>
        <w:numPr>
          <w:ilvl w:val="0"/>
          <w:numId w:val="1020"/>
        </w:numPr>
        <w:pStyle w:val="Compact"/>
      </w:pPr>
      <w:r>
        <w:t xml:space="preserve">guindastes e operações de içamento;</w:t>
      </w:r>
    </w:p>
    <w:p>
      <w:pPr>
        <w:numPr>
          <w:ilvl w:val="0"/>
          <w:numId w:val="1020"/>
        </w:numPr>
        <w:pStyle w:val="Compact"/>
      </w:pPr>
      <w:r>
        <w:t xml:space="preserve">poeira de sílica e outros materiais perigosos;</w:t>
      </w:r>
    </w:p>
    <w:p>
      <w:pPr>
        <w:numPr>
          <w:ilvl w:val="0"/>
          <w:numId w:val="1020"/>
        </w:numPr>
        <w:pStyle w:val="Compact"/>
      </w:pPr>
      <w:r>
        <w:t xml:space="preserve">espaços confinados;</w:t>
      </w:r>
    </w:p>
    <w:p>
      <w:pPr>
        <w:numPr>
          <w:ilvl w:val="0"/>
          <w:numId w:val="1020"/>
        </w:numPr>
        <w:pStyle w:val="Compact"/>
      </w:pPr>
      <w:r>
        <w:t xml:space="preserve">calor e condições climáticas;</w:t>
      </w:r>
    </w:p>
    <w:p>
      <w:pPr>
        <w:numPr>
          <w:ilvl w:val="0"/>
          <w:numId w:val="1020"/>
        </w:numPr>
        <w:pStyle w:val="Compact"/>
      </w:pPr>
      <w:r>
        <w:t xml:space="preserve">zonas de trabalho e tráfego público;</w:t>
      </w:r>
    </w:p>
    <w:p>
      <w:pPr>
        <w:numPr>
          <w:ilvl w:val="0"/>
          <w:numId w:val="1020"/>
        </w:numPr>
        <w:pStyle w:val="Compact"/>
      </w:pPr>
      <w:r>
        <w:t xml:space="preserve">terreno irregular e acessos temporários.</w:t>
      </w:r>
    </w:p>
    <w:p>
      <w:pPr>
        <w:pStyle w:val="FirstParagraph"/>
      </w:pPr>
      <w:r>
        <w:t xml:space="preserve">Controles:</w:t>
      </w:r>
    </w:p>
    <w:p>
      <w:pPr>
        <w:numPr>
          <w:ilvl w:val="0"/>
          <w:numId w:val="1021"/>
        </w:numPr>
        <w:pStyle w:val="Compact"/>
      </w:pPr>
      <w:r>
        <w:t xml:space="preserve">conclua a integração/orientação exigida no local;</w:t>
      </w:r>
    </w:p>
    <w:p>
      <w:pPr>
        <w:numPr>
          <w:ilvl w:val="0"/>
          <w:numId w:val="1021"/>
        </w:numPr>
        <w:pStyle w:val="Compact"/>
      </w:pPr>
      <w:r>
        <w:t xml:space="preserve">siga a avaliação de perigos do empregador/projeto;</w:t>
      </w:r>
    </w:p>
    <w:p>
      <w:pPr>
        <w:numPr>
          <w:ilvl w:val="0"/>
          <w:numId w:val="1021"/>
        </w:numPr>
        <w:pStyle w:val="Compact"/>
      </w:pPr>
      <w:r>
        <w:t xml:space="preserve">use o EPI exigido;</w:t>
      </w:r>
    </w:p>
    <w:p>
      <w:pPr>
        <w:numPr>
          <w:ilvl w:val="0"/>
          <w:numId w:val="1021"/>
        </w:numPr>
        <w:pStyle w:val="Compact"/>
      </w:pPr>
      <w:r>
        <w:t xml:space="preserve">permaneça fora de áreas de exclusão;</w:t>
      </w:r>
    </w:p>
    <w:p>
      <w:pPr>
        <w:numPr>
          <w:ilvl w:val="0"/>
          <w:numId w:val="1021"/>
        </w:numPr>
        <w:pStyle w:val="Compact"/>
      </w:pPr>
      <w:r>
        <w:t xml:space="preserve">mantenha separação segura de equipamentos em operação;</w:t>
      </w:r>
    </w:p>
    <w:p>
      <w:pPr>
        <w:numPr>
          <w:ilvl w:val="0"/>
          <w:numId w:val="1021"/>
        </w:numPr>
        <w:pStyle w:val="Compact"/>
      </w:pPr>
      <w:r>
        <w:t xml:space="preserve">nunca entre em valas, espaços confinados, áreas energizadas ou trabalhos em altura sem controles/autorização exigidos;</w:t>
      </w:r>
    </w:p>
    <w:p>
      <w:pPr>
        <w:numPr>
          <w:ilvl w:val="0"/>
          <w:numId w:val="1021"/>
        </w:numPr>
        <w:pStyle w:val="Compact"/>
      </w:pPr>
      <w:r>
        <w:t xml:space="preserve">siga controles de sílica e proteção respiratória quando aplicáveis;</w:t>
      </w:r>
    </w:p>
    <w:p>
      <w:pPr>
        <w:numPr>
          <w:ilvl w:val="0"/>
          <w:numId w:val="1021"/>
        </w:numPr>
        <w:pStyle w:val="Compact"/>
      </w:pPr>
      <w:r>
        <w:t xml:space="preserve">interrompa e escale quando as condições forem diferentes do método seguro aprovado.</w:t>
      </w:r>
    </w:p>
    <w:p>
      <w:pPr>
        <w:pStyle w:val="FirstParagraph"/>
      </w:pPr>
      <w:r>
        <w:t xml:space="preserve">Este guia não substitui treinamento do empregador, regras do local, requisitos da OSHA ou regulamentos locais de segurança.</w:t>
      </w:r>
    </w:p>
    <w:bookmarkEnd w:id="41"/>
    <w:bookmarkStart w:id="42" w:name="privacidade-e-cibersegurança"/>
    <w:p>
      <w:pPr>
        <w:pStyle w:val="Heading2"/>
      </w:pPr>
      <w:r>
        <w:t xml:space="preserve">Privacidade e cibersegurança</w:t>
      </w:r>
    </w:p>
    <w:p>
      <w:pPr>
        <w:pStyle w:val="FirstParagraph"/>
      </w:pPr>
      <w:r>
        <w:t xml:space="preserve">Arquivos de projetos civis podem revelar informações sensíveis, como:</w:t>
      </w:r>
    </w:p>
    <w:p>
      <w:pPr>
        <w:numPr>
          <w:ilvl w:val="0"/>
          <w:numId w:val="1022"/>
        </w:numPr>
        <w:pStyle w:val="Compact"/>
      </w:pPr>
      <w:r>
        <w:t xml:space="preserve">layouts de edifícios;</w:t>
      </w:r>
    </w:p>
    <w:p>
      <w:pPr>
        <w:numPr>
          <w:ilvl w:val="0"/>
          <w:numId w:val="1022"/>
        </w:numPr>
        <w:pStyle w:val="Compact"/>
      </w:pPr>
      <w:r>
        <w:t xml:space="preserve">serviços públicos;</w:t>
      </w:r>
    </w:p>
    <w:p>
      <w:pPr>
        <w:numPr>
          <w:ilvl w:val="0"/>
          <w:numId w:val="1022"/>
        </w:numPr>
        <w:pStyle w:val="Compact"/>
      </w:pPr>
      <w:r>
        <w:t xml:space="preserve">transporte ou infraestrutura pública;</w:t>
      </w:r>
    </w:p>
    <w:p>
      <w:pPr>
        <w:numPr>
          <w:ilvl w:val="0"/>
          <w:numId w:val="1022"/>
        </w:numPr>
        <w:pStyle w:val="Compact"/>
      </w:pPr>
      <w:r>
        <w:t xml:space="preserve">sistemas de segurança;</w:t>
      </w:r>
    </w:p>
    <w:p>
      <w:pPr>
        <w:numPr>
          <w:ilvl w:val="0"/>
          <w:numId w:val="1022"/>
        </w:numPr>
        <w:pStyle w:val="Compact"/>
      </w:pPr>
      <w:r>
        <w:t xml:space="preserve">instalações críticas;</w:t>
      </w:r>
    </w:p>
    <w:p>
      <w:pPr>
        <w:numPr>
          <w:ilvl w:val="0"/>
          <w:numId w:val="1022"/>
        </w:numPr>
        <w:pStyle w:val="Compact"/>
      </w:pPr>
      <w:r>
        <w:t xml:space="preserve">informações de propriedade privada;</w:t>
      </w:r>
    </w:p>
    <w:p>
      <w:pPr>
        <w:numPr>
          <w:ilvl w:val="0"/>
          <w:numId w:val="1022"/>
        </w:numPr>
        <w:pStyle w:val="Compact"/>
      </w:pPr>
      <w:r>
        <w:t xml:space="preserve">informações de licitação/preços;</w:t>
      </w:r>
    </w:p>
    <w:p>
      <w:pPr>
        <w:numPr>
          <w:ilvl w:val="0"/>
          <w:numId w:val="1022"/>
        </w:numPr>
        <w:pStyle w:val="Compact"/>
      </w:pPr>
      <w:r>
        <w:t xml:space="preserve">dados financeiros ou contratuais de clientes.</w:t>
      </w:r>
    </w:p>
    <w:p>
      <w:pPr>
        <w:pStyle w:val="FirstParagraph"/>
      </w:pPr>
      <w:r>
        <w:t xml:space="preserve">Controles podem incluir:</w:t>
      </w:r>
    </w:p>
    <w:p>
      <w:pPr>
        <w:numPr>
          <w:ilvl w:val="0"/>
          <w:numId w:val="1023"/>
        </w:numPr>
        <w:pStyle w:val="Compact"/>
      </w:pPr>
      <w:r>
        <w:t xml:space="preserve">armazenamento aprovado;</w:t>
      </w:r>
    </w:p>
    <w:p>
      <w:pPr>
        <w:numPr>
          <w:ilvl w:val="0"/>
          <w:numId w:val="1023"/>
        </w:numPr>
        <w:pStyle w:val="Compact"/>
      </w:pPr>
      <w:r>
        <w:t xml:space="preserve">acesso de menor privilégio;</w:t>
      </w:r>
    </w:p>
    <w:p>
      <w:pPr>
        <w:numPr>
          <w:ilvl w:val="0"/>
          <w:numId w:val="1023"/>
        </w:numPr>
        <w:pStyle w:val="Compact"/>
      </w:pPr>
      <w:r>
        <w:t xml:space="preserve">autenticação forte;</w:t>
      </w:r>
    </w:p>
    <w:p>
      <w:pPr>
        <w:numPr>
          <w:ilvl w:val="0"/>
          <w:numId w:val="1023"/>
        </w:numPr>
        <w:pStyle w:val="Compact"/>
      </w:pPr>
      <w:r>
        <w:t xml:space="preserve">transferência criptografada quando exigida;</w:t>
      </w:r>
    </w:p>
    <w:p>
      <w:pPr>
        <w:numPr>
          <w:ilvl w:val="0"/>
          <w:numId w:val="1023"/>
        </w:numPr>
        <w:pStyle w:val="Compact"/>
      </w:pPr>
      <w:r>
        <w:t xml:space="preserve">compartilhamento externo controlado;</w:t>
      </w:r>
    </w:p>
    <w:p>
      <w:pPr>
        <w:numPr>
          <w:ilvl w:val="0"/>
          <w:numId w:val="1023"/>
        </w:numPr>
        <w:pStyle w:val="Compact"/>
      </w:pPr>
      <w:r>
        <w:t xml:space="preserve">backups versionados;</w:t>
      </w:r>
    </w:p>
    <w:p>
      <w:pPr>
        <w:numPr>
          <w:ilvl w:val="0"/>
          <w:numId w:val="1023"/>
        </w:numPr>
        <w:pStyle w:val="Compact"/>
      </w:pPr>
      <w:r>
        <w:t xml:space="preserve">proteção de dispositivos;</w:t>
      </w:r>
    </w:p>
    <w:p>
      <w:pPr>
        <w:numPr>
          <w:ilvl w:val="0"/>
          <w:numId w:val="1023"/>
        </w:numPr>
        <w:pStyle w:val="Compact"/>
      </w:pPr>
      <w:r>
        <w:t xml:space="preserve">retenção/descarte seguro;</w:t>
      </w:r>
    </w:p>
    <w:p>
      <w:pPr>
        <w:numPr>
          <w:ilvl w:val="0"/>
          <w:numId w:val="1023"/>
        </w:numPr>
        <w:pStyle w:val="Compact"/>
      </w:pPr>
      <w:r>
        <w:t xml:space="preserve">reporte de incidentes.</w:t>
      </w:r>
    </w:p>
    <w:p>
      <w:pPr>
        <w:pStyle w:val="FirstParagraph"/>
      </w:pPr>
      <w:r>
        <w:t xml:space="preserve">Não envie plantas protegidas, coordenadas, fotos de inspeção, dados de ensaio, preços de clientes ou detalhes de infraestrutura para serviços externos não aprovados.</w:t>
      </w:r>
    </w:p>
    <w:bookmarkEnd w:id="42"/>
    <w:bookmarkStart w:id="43" w:name="ia-responsável"/>
    <w:p>
      <w:pPr>
        <w:pStyle w:val="Heading2"/>
      </w:pPr>
      <w:r>
        <w:t xml:space="preserve">IA responsável</w:t>
      </w:r>
    </w:p>
    <w:p>
      <w:pPr>
        <w:pStyle w:val="FirstParagraph"/>
      </w:pPr>
      <w:r>
        <w:t xml:space="preserve">IA aprovada por políticas pode ajudar em tarefas de menor consequência, como:</w:t>
      </w:r>
    </w:p>
    <w:p>
      <w:pPr>
        <w:numPr>
          <w:ilvl w:val="0"/>
          <w:numId w:val="1024"/>
        </w:numPr>
        <w:pStyle w:val="Compact"/>
      </w:pPr>
      <w:r>
        <w:t xml:space="preserve">explicar fórmulas ou terminologia;</w:t>
      </w:r>
    </w:p>
    <w:p>
      <w:pPr>
        <w:numPr>
          <w:ilvl w:val="0"/>
          <w:numId w:val="1024"/>
        </w:numPr>
        <w:pStyle w:val="Compact"/>
      </w:pPr>
      <w:r>
        <w:t xml:space="preserve">elaborar notas de estudo;</w:t>
      </w:r>
    </w:p>
    <w:p>
      <w:pPr>
        <w:numPr>
          <w:ilvl w:val="0"/>
          <w:numId w:val="1024"/>
        </w:numPr>
        <w:pStyle w:val="Compact"/>
      </w:pPr>
      <w:r>
        <w:t xml:space="preserve">gerar conjuntos de dados sintéticos para prática;</w:t>
      </w:r>
    </w:p>
    <w:p>
      <w:pPr>
        <w:numPr>
          <w:ilvl w:val="0"/>
          <w:numId w:val="1024"/>
        </w:numPr>
        <w:pStyle w:val="Compact"/>
      </w:pPr>
      <w:r>
        <w:t xml:space="preserve">preparar checklists ou modelos;</w:t>
      </w:r>
    </w:p>
    <w:p>
      <w:pPr>
        <w:numPr>
          <w:ilvl w:val="0"/>
          <w:numId w:val="1024"/>
        </w:numPr>
        <w:pStyle w:val="Compact"/>
      </w:pPr>
      <w:r>
        <w:t xml:space="preserve">criar perguntas de entrevista;</w:t>
      </w:r>
    </w:p>
    <w:p>
      <w:pPr>
        <w:numPr>
          <w:ilvl w:val="0"/>
          <w:numId w:val="1024"/>
        </w:numPr>
        <w:pStyle w:val="Compact"/>
      </w:pPr>
      <w:r>
        <w:t xml:space="preserve">documentar workflows não sensíveis;</w:t>
      </w:r>
    </w:p>
    <w:p>
      <w:pPr>
        <w:numPr>
          <w:ilvl w:val="0"/>
          <w:numId w:val="1024"/>
        </w:numPr>
        <w:pStyle w:val="Compact"/>
      </w:pPr>
      <w:r>
        <w:t xml:space="preserve">revisar conceitos gerais de planilhas ou programação.</w:t>
      </w:r>
    </w:p>
    <w:p>
      <w:pPr>
        <w:pStyle w:val="FirstParagraph"/>
      </w:pPr>
      <w:r>
        <w:t xml:space="preserve">Controles:</w:t>
      </w:r>
    </w:p>
    <w:p>
      <w:pPr>
        <w:numPr>
          <w:ilvl w:val="0"/>
          <w:numId w:val="1025"/>
        </w:numPr>
        <w:pStyle w:val="Compact"/>
      </w:pPr>
      <w:r>
        <w:t xml:space="preserve">nunca forneça dados protegidos de cliente/local/projeto a serviço de IA não aprovado;</w:t>
      </w:r>
    </w:p>
    <w:p>
      <w:pPr>
        <w:numPr>
          <w:ilvl w:val="0"/>
          <w:numId w:val="1025"/>
        </w:numPr>
        <w:pStyle w:val="Compact"/>
      </w:pPr>
      <w:r>
        <w:t xml:space="preserve">verifique independentemente cálculos, unidades, quantitativos, códigos e especificações;</w:t>
      </w:r>
    </w:p>
    <w:p>
      <w:pPr>
        <w:numPr>
          <w:ilvl w:val="0"/>
          <w:numId w:val="1025"/>
        </w:numPr>
        <w:pStyle w:val="Compact"/>
      </w:pPr>
      <w:r>
        <w:t xml:space="preserve">verifique fórmulas/scripts gerados antes do uso;</w:t>
      </w:r>
    </w:p>
    <w:p>
      <w:pPr>
        <w:numPr>
          <w:ilvl w:val="0"/>
          <w:numId w:val="1025"/>
        </w:numPr>
        <w:pStyle w:val="Compact"/>
      </w:pPr>
      <w:r>
        <w:t xml:space="preserve">confira regulamentos e normas citados em fontes autoritativas;</w:t>
      </w:r>
    </w:p>
    <w:p>
      <w:pPr>
        <w:numPr>
          <w:ilvl w:val="0"/>
          <w:numId w:val="1025"/>
        </w:numPr>
        <w:pStyle w:val="Compact"/>
      </w:pPr>
      <w:r>
        <w:t xml:space="preserve">preserve linhagem de dados e documentos;</w:t>
      </w:r>
    </w:p>
    <w:p>
      <w:pPr>
        <w:numPr>
          <w:ilvl w:val="0"/>
          <w:numId w:val="1025"/>
        </w:numPr>
        <w:pStyle w:val="Compact"/>
      </w:pPr>
      <w:r>
        <w:t xml:space="preserve">nunca permita que IA invente medições, observações de inspeção, resultados de ensaio, certificados de materiais, condições as-built, aprovações, assinaturas ou selos profissionais;</w:t>
      </w:r>
    </w:p>
    <w:p>
      <w:pPr>
        <w:numPr>
          <w:ilvl w:val="0"/>
          <w:numId w:val="1025"/>
        </w:numPr>
        <w:pStyle w:val="Compact"/>
      </w:pPr>
      <w:r>
        <w:t xml:space="preserve">exija revisão humana qualificada proporcional à consequência.</w:t>
      </w:r>
    </w:p>
    <w:p>
      <w:pPr>
        <w:pStyle w:val="FirstParagraph"/>
      </w:pPr>
      <w:r>
        <w:t xml:space="preserve">Saída de IA não é aprovação de engenharia, evidência de inspeção nem substituto de profissional licenciado.</w:t>
      </w:r>
    </w:p>
    <w:bookmarkEnd w:id="43"/>
    <w:bookmarkStart w:id="44" w:name="acessibilidade-e-práticas-inclusivas"/>
    <w:p>
      <w:pPr>
        <w:pStyle w:val="Heading2"/>
      </w:pPr>
      <w:r>
        <w:t xml:space="preserve">Acessibilidade e práticas inclusivas</w:t>
      </w:r>
    </w:p>
    <w:p>
      <w:pPr>
        <w:pStyle w:val="FirstParagraph"/>
      </w:pPr>
      <w:r>
        <w:t xml:space="preserve">A tecnologia de engenharia civil inclui trabalho de escritório, laboratório e campo. Algumas tarefas têm requisitos físicos ou de segurança essenciais; muitos fluxos de informação e documentação podem ser adaptados.</w:t>
      </w:r>
    </w:p>
    <w:p>
      <w:pPr>
        <w:pStyle w:val="BodyText"/>
      </w:pPr>
      <w:r>
        <w:t xml:space="preserve">Práticas úteis podem incluir:</w:t>
      </w:r>
    </w:p>
    <w:p>
      <w:pPr>
        <w:numPr>
          <w:ilvl w:val="0"/>
          <w:numId w:val="1026"/>
        </w:numPr>
        <w:pStyle w:val="Compact"/>
      </w:pPr>
      <w:r>
        <w:t xml:space="preserve">desenhos e interfaces com texto ampliado/alto contraste;</w:t>
      </w:r>
    </w:p>
    <w:p>
      <w:pPr>
        <w:numPr>
          <w:ilvl w:val="0"/>
          <w:numId w:val="1026"/>
        </w:numPr>
        <w:pStyle w:val="Compact"/>
      </w:pPr>
      <w:r>
        <w:t xml:space="preserve">ampliação de tela;</w:t>
      </w:r>
    </w:p>
    <w:p>
      <w:pPr>
        <w:numPr>
          <w:ilvl w:val="0"/>
          <w:numId w:val="1026"/>
        </w:numPr>
        <w:pStyle w:val="Compact"/>
      </w:pPr>
      <w:r>
        <w:t xml:space="preserve">fluxos de escritório/CAD acessíveis por teclado quando disponíveis;</w:t>
      </w:r>
    </w:p>
    <w:p>
      <w:pPr>
        <w:numPr>
          <w:ilvl w:val="0"/>
          <w:numId w:val="1026"/>
        </w:numPr>
        <w:pStyle w:val="Compact"/>
      </w:pPr>
      <w:r>
        <w:t xml:space="preserve">checklists estruturados;</w:t>
      </w:r>
    </w:p>
    <w:p>
      <w:pPr>
        <w:numPr>
          <w:ilvl w:val="0"/>
          <w:numId w:val="1026"/>
        </w:numPr>
        <w:pStyle w:val="Compact"/>
      </w:pPr>
      <w:r>
        <w:t xml:space="preserve">procedimentos de ensaio e inspeção passo a passo;</w:t>
      </w:r>
    </w:p>
    <w:p>
      <w:pPr>
        <w:numPr>
          <w:ilvl w:val="0"/>
          <w:numId w:val="1026"/>
        </w:numPr>
        <w:pStyle w:val="Compact"/>
      </w:pPr>
      <w:r>
        <w:t xml:space="preserve">sistemas consistentes de nomes e pastas;</w:t>
      </w:r>
    </w:p>
    <w:p>
      <w:pPr>
        <w:numPr>
          <w:ilvl w:val="0"/>
          <w:numId w:val="1026"/>
        </w:numPr>
        <w:pStyle w:val="Compact"/>
      </w:pPr>
      <w:r>
        <w:t xml:space="preserve">legendas ou descrições em texto para gráficos de treinamento;</w:t>
      </w:r>
    </w:p>
    <w:p>
      <w:pPr>
        <w:numPr>
          <w:ilvl w:val="0"/>
          <w:numId w:val="1026"/>
        </w:numPr>
        <w:pStyle w:val="Compact"/>
      </w:pPr>
      <w:r>
        <w:t xml:space="preserve">tabelas acompanhando mapas ou dashboards visuais;</w:t>
      </w:r>
    </w:p>
    <w:p>
      <w:pPr>
        <w:numPr>
          <w:ilvl w:val="0"/>
          <w:numId w:val="1026"/>
        </w:numPr>
        <w:pStyle w:val="Compact"/>
      </w:pPr>
      <w:r>
        <w:t xml:space="preserve">dispositivos de entrada ergonômicos;</w:t>
      </w:r>
    </w:p>
    <w:p>
      <w:pPr>
        <w:numPr>
          <w:ilvl w:val="0"/>
          <w:numId w:val="1026"/>
        </w:numPr>
        <w:pStyle w:val="Compact"/>
      </w:pPr>
      <w:r>
        <w:t xml:space="preserve">distribuição de tarefas em equipes de campo quando compatível com funções essenciais e segurança.</w:t>
      </w:r>
    </w:p>
    <w:p>
      <w:pPr>
        <w:pStyle w:val="FirstParagraph"/>
      </w:pPr>
      <w:r>
        <w:t xml:space="preserve">A adaptação depende do cargo, empregador, equipamento e local. Acessibilidade não elimina requisitos reais de segurança ou exercício profissional.</w:t>
      </w:r>
    </w:p>
    <w:bookmarkEnd w:id="44"/>
    <w:bookmarkStart w:id="45" w:name="X46a29f1b0d8efc7a90d41f6aecd0435b714efbc"/>
    <w:p>
      <w:pPr>
        <w:pStyle w:val="Heading2"/>
      </w:pPr>
      <w:r>
        <w:t xml:space="preserve">Estados Unidos — referência oficial de carreira</w:t>
      </w:r>
    </w:p>
    <w:p>
      <w:pPr>
        <w:pStyle w:val="FirstParagraph"/>
      </w:pPr>
      <w:r>
        <w:rPr>
          <w:bCs/>
          <w:b/>
        </w:rPr>
        <w:t xml:space="preserve">O*NET-SOC 17-3022.00 — Civil Engineering Technologists and Technicians</w:t>
      </w:r>
      <w:r>
        <w:t xml:space="preserve"> </w:t>
      </w:r>
      <w:r>
        <w:t xml:space="preserve">é a referência atual direta.</w:t>
      </w:r>
    </w:p>
    <w:p>
      <w:pPr>
        <w:pStyle w:val="BodyText"/>
      </w:pPr>
      <w:r>
        <w:t xml:space="preserve">Dados atuais O*NET/BLS de salários de 2025 reportam:</w:t>
      </w:r>
    </w:p>
    <w:p>
      <w:pPr>
        <w:numPr>
          <w:ilvl w:val="0"/>
          <w:numId w:val="1027"/>
        </w:numPr>
        <w:pStyle w:val="Compact"/>
      </w:pPr>
      <w:r>
        <w:t xml:space="preserve">mediana anual:</w:t>
      </w:r>
      <w:r>
        <w:t xml:space="preserve"> </w:t>
      </w:r>
      <w:r>
        <w:rPr>
          <w:bCs/>
          <w:b/>
        </w:rPr>
        <w:t xml:space="preserve">$64,950</w:t>
      </w:r>
      <w:r>
        <w:t xml:space="preserve">;</w:t>
      </w:r>
    </w:p>
    <w:p>
      <w:pPr>
        <w:numPr>
          <w:ilvl w:val="0"/>
          <w:numId w:val="1027"/>
        </w:numPr>
        <w:pStyle w:val="Compact"/>
      </w:pPr>
      <w:r>
        <w:t xml:space="preserve">mediana por hora:</w:t>
      </w:r>
      <w:r>
        <w:t xml:space="preserve"> </w:t>
      </w:r>
      <w:r>
        <w:rPr>
          <w:bCs/>
          <w:b/>
        </w:rPr>
        <w:t xml:space="preserve">$31.23</w:t>
      </w:r>
      <w:r>
        <w:t xml:space="preserve">;</w:t>
      </w:r>
    </w:p>
    <w:p>
      <w:pPr>
        <w:numPr>
          <w:ilvl w:val="0"/>
          <w:numId w:val="1027"/>
        </w:numPr>
        <w:pStyle w:val="Compact"/>
      </w:pPr>
      <w:r>
        <w:t xml:space="preserve">percentil 10:</w:t>
      </w:r>
      <w:r>
        <w:t xml:space="preserve"> </w:t>
      </w:r>
      <w:r>
        <w:rPr>
          <w:bCs/>
          <w:b/>
        </w:rPr>
        <w:t xml:space="preserve">$44,220/ano</w:t>
      </w:r>
      <w:r>
        <w:t xml:space="preserve">;</w:t>
      </w:r>
    </w:p>
    <w:p>
      <w:pPr>
        <w:numPr>
          <w:ilvl w:val="0"/>
          <w:numId w:val="1027"/>
        </w:numPr>
        <w:pStyle w:val="Compact"/>
      </w:pPr>
      <w:r>
        <w:t xml:space="preserve">percentil 90:</w:t>
      </w:r>
      <w:r>
        <w:t xml:space="preserve"> </w:t>
      </w:r>
      <w:r>
        <w:rPr>
          <w:bCs/>
          <w:b/>
        </w:rPr>
        <w:t xml:space="preserve">$98,980/ano</w:t>
      </w:r>
      <w:r>
        <w:t xml:space="preserve">.</w:t>
      </w:r>
    </w:p>
    <w:p>
      <w:pPr>
        <w:pStyle w:val="FirstParagraph"/>
      </w:pPr>
      <w:r>
        <w:t xml:space="preserve">O BLS Occupational Outlook Handbook informa, usando sua base salarial/projeção de maio de 2024:</w:t>
      </w:r>
    </w:p>
    <w:p>
      <w:pPr>
        <w:numPr>
          <w:ilvl w:val="0"/>
          <w:numId w:val="1028"/>
        </w:numPr>
        <w:pStyle w:val="Compact"/>
      </w:pPr>
      <w:r>
        <w:t xml:space="preserve">mediana anual:</w:t>
      </w:r>
      <w:r>
        <w:t xml:space="preserve"> </w:t>
      </w:r>
      <w:r>
        <w:rPr>
          <w:bCs/>
          <w:b/>
        </w:rPr>
        <w:t xml:space="preserve">$64,200</w:t>
      </w:r>
      <w:r>
        <w:t xml:space="preserve">;</w:t>
      </w:r>
    </w:p>
    <w:p>
      <w:pPr>
        <w:numPr>
          <w:ilvl w:val="0"/>
          <w:numId w:val="1028"/>
        </w:numPr>
        <w:pStyle w:val="Compact"/>
      </w:pPr>
      <w:r>
        <w:t xml:space="preserve">mediana por hora:</w:t>
      </w:r>
      <w:r>
        <w:t xml:space="preserve"> </w:t>
      </w:r>
      <w:r>
        <w:rPr>
          <w:bCs/>
          <w:b/>
        </w:rPr>
        <w:t xml:space="preserve">$30.86</w:t>
      </w:r>
      <w:r>
        <w:t xml:space="preserve">;</w:t>
      </w:r>
    </w:p>
    <w:p>
      <w:pPr>
        <w:numPr>
          <w:ilvl w:val="0"/>
          <w:numId w:val="1028"/>
        </w:numPr>
        <w:pStyle w:val="Compact"/>
      </w:pPr>
      <w:r>
        <w:t xml:space="preserve">emprego em 2024: aproximadamente</w:t>
      </w:r>
      <w:r>
        <w:t xml:space="preserve"> </w:t>
      </w:r>
      <w:r>
        <w:rPr>
          <w:bCs/>
          <w:b/>
        </w:rPr>
        <w:t xml:space="preserve">64,900</w:t>
      </w:r>
      <w:r>
        <w:t xml:space="preserve">;</w:t>
      </w:r>
    </w:p>
    <w:p>
      <w:pPr>
        <w:numPr>
          <w:ilvl w:val="0"/>
          <w:numId w:val="1028"/>
        </w:numPr>
        <w:pStyle w:val="Compact"/>
      </w:pPr>
      <w:r>
        <w:t xml:space="preserve">crescimento projetado 2024–2034:</w:t>
      </w:r>
      <w:r>
        <w:t xml:space="preserve"> </w:t>
      </w:r>
      <w:r>
        <w:rPr>
          <w:bCs/>
          <w:b/>
        </w:rPr>
        <w:t xml:space="preserve">2%</w:t>
      </w:r>
      <w:r>
        <w:t xml:space="preserve">;</w:t>
      </w:r>
    </w:p>
    <w:p>
      <w:pPr>
        <w:numPr>
          <w:ilvl w:val="0"/>
          <w:numId w:val="1028"/>
        </w:numPr>
        <w:pStyle w:val="Compact"/>
      </w:pPr>
      <w:r>
        <w:t xml:space="preserve">aberturas anuais projetadas: cerca de</w:t>
      </w:r>
      <w:r>
        <w:t xml:space="preserve"> </w:t>
      </w:r>
      <w:r>
        <w:rPr>
          <w:bCs/>
          <w:b/>
        </w:rPr>
        <w:t xml:space="preserve">5,500</w:t>
      </w:r>
      <w:r>
        <w:t xml:space="preserve">.</w:t>
      </w:r>
    </w:p>
    <w:p>
      <w:pPr>
        <w:pStyle w:val="FirstParagraph"/>
      </w:pPr>
      <w:r>
        <w:t xml:space="preserve">Os números salariais usam anos de referência diferentes. São estatísticas nacionais da ocupação, não salário inicial garantido nem previsão para empregador/local específico.</w:t>
      </w:r>
    </w:p>
    <w:bookmarkEnd w:id="45"/>
    <w:bookmarkStart w:id="46" w:name="X7ccd7df50ffe56b65f265c0faa886fb92f26011"/>
    <w:p>
      <w:pPr>
        <w:pStyle w:val="Heading2"/>
      </w:pPr>
      <w:r>
        <w:t xml:space="preserve">Estados Unidos — contexto atual de remuneração de mercado</w:t>
      </w:r>
    </w:p>
    <w:p>
      <w:pPr>
        <w:pStyle w:val="FirstParagraph"/>
      </w:pPr>
      <w:r>
        <w:t xml:space="preserve">Duas estimativas não governamentais atuais mostram por que fontes de mercado devem ser usadas como contexto e não como estatísticas oficiais:</w:t>
      </w:r>
    </w:p>
    <w:p>
      <w:pPr>
        <w:numPr>
          <w:ilvl w:val="0"/>
          <w:numId w:val="1029"/>
        </w:numPr>
        <w:pStyle w:val="Compact"/>
      </w:pPr>
      <w:r>
        <w:t xml:space="preserve">ZipRecruiter, 27 de julho de 2026: média estimada</w:t>
      </w:r>
      <w:r>
        <w:t xml:space="preserve"> </w:t>
      </w:r>
      <w:r>
        <w:rPr>
          <w:bCs/>
          <w:b/>
        </w:rPr>
        <w:t xml:space="preserve">$52,811/ano</w:t>
      </w:r>
      <w:r>
        <w:t xml:space="preserve"> </w:t>
      </w:r>
      <w:r>
        <w:t xml:space="preserve">(</w:t>
      </w:r>
      <w:r>
        <w:rPr>
          <w:bCs/>
          <w:b/>
        </w:rPr>
        <w:t xml:space="preserve">$25.39/hora</w:t>
      </w:r>
      <w:r>
        <w:t xml:space="preserve">), com faixa declarada dos percentis 25–75 de aproximadamente</w:t>
      </w:r>
      <w:r>
        <w:t xml:space="preserve"> </w:t>
      </w:r>
      <w:r>
        <w:rPr>
          <w:bCs/>
          <w:b/>
        </w:rPr>
        <w:t xml:space="preserve">$42,500–$57,500</w:t>
      </w:r>
      <w:r>
        <w:t xml:space="preserve">;</w:t>
      </w:r>
    </w:p>
    <w:p>
      <w:pPr>
        <w:numPr>
          <w:ilvl w:val="0"/>
          <w:numId w:val="1029"/>
        </w:numPr>
        <w:pStyle w:val="Compact"/>
      </w:pPr>
      <w:r>
        <w:t xml:space="preserve">Salary.com, 1º de agosto de 2026: média estimada</w:t>
      </w:r>
      <w:r>
        <w:t xml:space="preserve"> </w:t>
      </w:r>
      <w:r>
        <w:rPr>
          <w:bCs/>
          <w:b/>
        </w:rPr>
        <w:t xml:space="preserve">$60,968/ano</w:t>
      </w:r>
      <w:r>
        <w:t xml:space="preserve">, com faixa declarada dos percentis 25–75 de</w:t>
      </w:r>
      <w:r>
        <w:t xml:space="preserve"> </w:t>
      </w:r>
      <w:r>
        <w:rPr>
          <w:bCs/>
          <w:b/>
        </w:rPr>
        <w:t xml:space="preserve">$54,129–$67,570</w:t>
      </w:r>
      <w:r>
        <w:t xml:space="preserve">.</w:t>
      </w:r>
    </w:p>
    <w:p>
      <w:pPr>
        <w:pStyle w:val="FirstParagraph"/>
      </w:pPr>
      <w:r>
        <w:t xml:space="preserve">Metodologias, correspondência de títulos e amostras diferem. Use O*NET/BLS para estatísticas nacionais oficiais e vagas/faixas do empregador para candidatura específica.</w:t>
      </w:r>
    </w:p>
    <w:bookmarkEnd w:id="46"/>
    <w:bookmarkStart w:id="47" w:name="Xa8d3eb398a1f652d19e589306e287eedd8f56c7"/>
    <w:p>
      <w:pPr>
        <w:pStyle w:val="Heading2"/>
      </w:pPr>
      <w:r>
        <w:t xml:space="preserve">Estados Unidos — educação, apprenticeship e workforce</w:t>
      </w:r>
    </w:p>
    <w:p>
      <w:pPr>
        <w:pStyle w:val="FirstParagraph"/>
      </w:pPr>
      <w:r>
        <w:t xml:space="preserve">O BLS informa que associate degree, preferencialmente em civil engineering technology, é a educação típica de entrada. Empregadores podem usar diferentes combinações de certificados, college, experiência e habilidades de software/campo.</w:t>
      </w:r>
    </w:p>
    <w:p>
      <w:pPr>
        <w:pStyle w:val="BodyText"/>
      </w:pPr>
      <w:r>
        <w:t xml:space="preserve">O O*NET vincula o título aprovado de Registered Apprenticeship</w:t>
      </w:r>
      <w:r>
        <w:t xml:space="preserve"> </w:t>
      </w:r>
      <w:r>
        <w:rPr>
          <w:bCs/>
          <w:b/>
        </w:rPr>
        <w:t xml:space="preserve">Civil Engineering Technician (Nof)</w:t>
      </w:r>
      <w:r>
        <w:t xml:space="preserve">. Pesquise oportunidades atuais em Apprenticeship.gov em vez de presumir que um título aprovado significa vaga disponível.</w:t>
      </w:r>
    </w:p>
    <w:p>
      <w:pPr>
        <w:pStyle w:val="BodyText"/>
      </w:pPr>
      <w:r>
        <w:t xml:space="preserve">O WIOA-Eligible Training Program Finder do CareerOneStop ajuda pessoas elegíveis a localizar provedores de treinamento aprovados pelo estado. American Job Centers oferecem assistência gratuita de carreira/emprego e podem explicar opções locais de treinamento e serviços de apoio.</w:t>
      </w:r>
    </w:p>
    <w:p>
      <w:pPr>
        <w:pStyle w:val="BodyText"/>
      </w:pPr>
      <w:r>
        <w:t xml:space="preserve">Elegibilidade WIOA, programas aprovados, recursos locais e valores disponíveis variam. Um locator não é garantia de financiamento.</w:t>
      </w:r>
    </w:p>
    <w:bookmarkEnd w:id="47"/>
    <w:bookmarkStart w:id="49" w:name="canadá"/>
    <w:p>
      <w:pPr>
        <w:pStyle w:val="Heading2"/>
      </w:pPr>
      <w:r>
        <w:t xml:space="preserve">Canadá</w:t>
      </w:r>
    </w:p>
    <w:p>
      <w:pPr>
        <w:pStyle w:val="FirstParagraph"/>
      </w:pPr>
      <w:r>
        <w:rPr>
          <w:bCs/>
          <w:b/>
        </w:rPr>
        <w:t xml:space="preserve">NOC 22300 — Civil engineering technologists and technicians</w:t>
      </w:r>
      <w:r>
        <w:t xml:space="preserve"> </w:t>
      </w:r>
      <w:r>
        <w:t xml:space="preserve">é a principal comparação canadense.</w:t>
      </w:r>
    </w:p>
    <w:p>
      <w:pPr>
        <w:pStyle w:val="BodyText"/>
      </w:pPr>
      <w:r>
        <w:t xml:space="preserve">Dados nacionais do Job Bank atualizados em 19 de novembro de 2025 reportam:</w:t>
      </w:r>
    </w:p>
    <w:p>
      <w:pPr>
        <w:numPr>
          <w:ilvl w:val="0"/>
          <w:numId w:val="1030"/>
        </w:numPr>
        <w:pStyle w:val="Compact"/>
      </w:pPr>
      <w:r>
        <w:t xml:space="preserve">baixo</w:t>
      </w:r>
      <w:r>
        <w:t xml:space="preserve"> </w:t>
      </w:r>
      <w:r>
        <w:rPr>
          <w:bCs/>
          <w:b/>
        </w:rPr>
        <w:t xml:space="preserve">C$22.00/hora</w:t>
      </w:r>
      <w:r>
        <w:t xml:space="preserve">;</w:t>
      </w:r>
    </w:p>
    <w:p>
      <w:pPr>
        <w:numPr>
          <w:ilvl w:val="0"/>
          <w:numId w:val="1030"/>
        </w:numPr>
        <w:pStyle w:val="Compact"/>
      </w:pPr>
      <w:r>
        <w:t xml:space="preserve">mediano</w:t>
      </w:r>
      <w:r>
        <w:t xml:space="preserve"> </w:t>
      </w:r>
      <w:r>
        <w:rPr>
          <w:bCs/>
          <w:b/>
        </w:rPr>
        <w:t xml:space="preserve">C$33.89/hora</w:t>
      </w:r>
      <w:r>
        <w:t xml:space="preserve">;</w:t>
      </w:r>
    </w:p>
    <w:p>
      <w:pPr>
        <w:numPr>
          <w:ilvl w:val="0"/>
          <w:numId w:val="1030"/>
        </w:numPr>
        <w:pStyle w:val="Compact"/>
      </w:pPr>
      <w:r>
        <w:t xml:space="preserve">alto</w:t>
      </w:r>
      <w:r>
        <w:t xml:space="preserve"> </w:t>
      </w:r>
      <w:r>
        <w:rPr>
          <w:bCs/>
          <w:b/>
        </w:rPr>
        <w:t xml:space="preserve">C$51.10/hora</w:t>
      </w:r>
      <w:r>
        <w:t xml:space="preserve">.</w:t>
      </w:r>
    </w:p>
    <w:p>
      <w:pPr>
        <w:pStyle w:val="FirstParagraph"/>
      </w:pPr>
      <w:r>
        <w:t xml:space="preserve">O período nacional de referência salarial é 2023–2024.</w:t>
      </w:r>
    </w:p>
    <w:p>
      <w:pPr>
        <w:pStyle w:val="BodyText"/>
      </w:pPr>
      <w:r>
        <w:t xml:space="preserve">Os requisitos atuais do Job Bank distinguem:</w:t>
      </w:r>
    </w:p>
    <w:p>
      <w:pPr>
        <w:numPr>
          <w:ilvl w:val="0"/>
          <w:numId w:val="1031"/>
        </w:numPr>
        <w:pStyle w:val="Compact"/>
      </w:pPr>
      <w:r>
        <w:t xml:space="preserve">tecnólogos: normalmente programa de college de</w:t>
      </w:r>
      <w:r>
        <w:t xml:space="preserve"> </w:t>
      </w:r>
      <w:r>
        <w:rPr>
          <w:bCs/>
          <w:b/>
        </w:rPr>
        <w:t xml:space="preserve">2 ou 3 anos</w:t>
      </w:r>
      <w:r>
        <w:t xml:space="preserve"> </w:t>
      </w:r>
      <w:r>
        <w:t xml:space="preserve">em civil engineering technology ou disciplina próxima;</w:t>
      </w:r>
    </w:p>
    <w:p>
      <w:pPr>
        <w:numPr>
          <w:ilvl w:val="0"/>
          <w:numId w:val="1031"/>
        </w:numPr>
        <w:pStyle w:val="Compact"/>
      </w:pPr>
      <w:r>
        <w:t xml:space="preserve">técnicos: normalmente programa de college de</w:t>
      </w:r>
      <w:r>
        <w:t xml:space="preserve"> </w:t>
      </w:r>
      <w:r>
        <w:rPr>
          <w:bCs/>
          <w:b/>
        </w:rPr>
        <w:t xml:space="preserve">1 ou 2 anos</w:t>
      </w:r>
      <w:r>
        <w:t xml:space="preserve"> </w:t>
      </w:r>
      <w:r>
        <w:t xml:space="preserve">em civil engineering technology;</w:t>
      </w:r>
    </w:p>
    <w:p>
      <w:pPr>
        <w:numPr>
          <w:ilvl w:val="0"/>
          <w:numId w:val="1031"/>
        </w:numPr>
        <w:pStyle w:val="Compact"/>
      </w:pPr>
      <w:r>
        <w:t xml:space="preserve">certificação pode estar disponível ou ser exigida para alguns cargos conforme a província;</w:t>
      </w:r>
    </w:p>
    <w:p>
      <w:pPr>
        <w:numPr>
          <w:ilvl w:val="0"/>
          <w:numId w:val="1031"/>
        </w:numPr>
        <w:pStyle w:val="Compact"/>
      </w:pPr>
      <w:r>
        <w:t xml:space="preserve">normalmente são exigidos</w:t>
      </w:r>
      <w:r>
        <w:t xml:space="preserve"> </w:t>
      </w:r>
      <w:r>
        <w:rPr>
          <w:bCs/>
          <w:b/>
        </w:rPr>
        <w:t xml:space="preserve">2 anos</w:t>
      </w:r>
      <w:r>
        <w:t xml:space="preserve"> </w:t>
      </w:r>
      <w:r>
        <w:t xml:space="preserve">de experiência supervisionada antes da certificação;</w:t>
      </w:r>
    </w:p>
    <w:p>
      <w:pPr>
        <w:numPr>
          <w:ilvl w:val="0"/>
          <w:numId w:val="1031"/>
        </w:numPr>
        <w:pStyle w:val="Compact"/>
      </w:pPr>
      <w:r>
        <w:t xml:space="preserve">Quebec exige participação no órgão regulador para usar o título</w:t>
      </w:r>
      <w:r>
        <w:t xml:space="preserve"> </w:t>
      </w:r>
      <w:r>
        <w:rPr>
          <w:bCs/>
          <w:b/>
        </w:rPr>
        <w:t xml:space="preserve">Professional Technologist</w:t>
      </w:r>
      <w:r>
        <w:t xml:space="preserve">.</w:t>
      </w:r>
    </w:p>
    <w:p>
      <w:pPr>
        <w:pStyle w:val="FirstParagraph"/>
      </w:pPr>
      <w:r>
        <w:t xml:space="preserve">Requisitos e perspectivas variam por província/território. Verifique regras locais de título e certificação antes de aceitar responsabilidades reguladas ou reservadas.</w:t>
      </w:r>
    </w:p>
    <w:bookmarkStart w:id="48" w:name="canadá--financiamento-de-estudos"/>
    <w:p>
      <w:pPr>
        <w:pStyle w:val="Heading3"/>
      </w:pPr>
      <w:r>
        <w:t xml:space="preserve">Canadá — financiamento de estudos</w:t>
      </w:r>
    </w:p>
    <w:p>
      <w:pPr>
        <w:pStyle w:val="FirstParagraph"/>
      </w:pPr>
      <w:r>
        <w:t xml:space="preserve">O portal canadense de auxílio estudantil oferece informações sobre grants e loans para college, universidade e trades por sistemas federais e provinciais/territoriais.</w:t>
      </w:r>
    </w:p>
    <w:p>
      <w:pPr>
        <w:pStyle w:val="BodyText"/>
      </w:pPr>
      <w:r>
        <w:t xml:space="preserve">Os antigos Apprenticeship Incentive Grant e Apprenticeship Completion Grant estão encerrados. Canada Apprentice Loans e outros apoios a ofícios qualificados aplicam-se a apprenticeships Red Seal elegíveis; não presuma que NOC 22300 ou programa de civil engineering technology é elegível. Verifique o programa e a elegibilidade reais.</w:t>
      </w:r>
    </w:p>
    <w:bookmarkEnd w:id="48"/>
    <w:bookmarkEnd w:id="49"/>
    <w:bookmarkStart w:id="51" w:name="colômbia"/>
    <w:p>
      <w:pPr>
        <w:pStyle w:val="Heading2"/>
      </w:pPr>
      <w:r>
        <w:t xml:space="preserve">Colômbia</w:t>
      </w:r>
    </w:p>
    <w:p>
      <w:pPr>
        <w:pStyle w:val="FirstParagraph"/>
      </w:pPr>
      <w:r>
        <w:rPr>
          <w:bCs/>
          <w:b/>
        </w:rPr>
        <w:t xml:space="preserve">CUOC 31121 — Técnicos en construcción y arquitectura</w:t>
      </w:r>
      <w:r>
        <w:t xml:space="preserve"> </w:t>
      </w:r>
      <w:r>
        <w:t xml:space="preserve">é uma comparação colombiana direta dentro do grupo de técnicos em engenharia civil.</w:t>
      </w:r>
    </w:p>
    <w:p>
      <w:pPr>
        <w:pStyle w:val="BodyText"/>
      </w:pPr>
      <w:r>
        <w:t xml:space="preserve">Os títulos atuais incluem Técnico de ingeniería civil, Técnico de construcción, Técnico de construcciones civiles, Técnico de geotécnica, funções de custos/construção, materiais e solos/estruturas.</w:t>
      </w:r>
    </w:p>
    <w:p>
      <w:pPr>
        <w:pStyle w:val="BodyText"/>
      </w:pPr>
      <w:r>
        <w:t xml:space="preserve">As funções atuais incluem apoio técnico em engenharia civil/transporte/hidráulica/arquitetura, conformidade de construção e materiais, desenhos/modelos, especificações, planejamento, contratos/documentação de cronogramas, quantitativos, custos, materiais e estimativas de mão de obra.</w:t>
      </w:r>
    </w:p>
    <w:bookmarkStart w:id="50" w:name="alerta-salarial-importante-na-colômbia"/>
    <w:p>
      <w:pPr>
        <w:pStyle w:val="Heading3"/>
      </w:pPr>
      <w:r>
        <w:t xml:space="preserve">Alerta salarial importante na Colômbia</w:t>
      </w:r>
    </w:p>
    <w:p>
      <w:pPr>
        <w:pStyle w:val="FirstParagraph"/>
      </w:pPr>
      <w:r>
        <w:t xml:space="preserve">OCUPACOL apresenta</w:t>
      </w:r>
      <w:r>
        <w:t xml:space="preserve"> </w:t>
      </w:r>
      <w:r>
        <w:rPr>
          <w:bCs/>
          <w:b/>
        </w:rPr>
        <w:t xml:space="preserve">COP $600,000–$6,467,913</w:t>
      </w:r>
      <w:r>
        <w:t xml:space="preserve">, mas declara expressamente que seus dados salariais</w:t>
      </w:r>
      <w:r>
        <w:t xml:space="preserve"> </w:t>
      </w:r>
      <w:r>
        <w:rPr>
          <w:bCs/>
          <w:b/>
        </w:rPr>
        <w:t xml:space="preserve">não têm representatividade estatística</w:t>
      </w:r>
      <w:r>
        <w:t xml:space="preserve"> </w:t>
      </w:r>
      <w:r>
        <w:t xml:space="preserve">segundo a metodologia. Não trate essa faixa como referência salarial nacional atual confiável.</w:t>
      </w:r>
    </w:p>
    <w:bookmarkEnd w:id="50"/>
    <w:bookmarkEnd w:id="51"/>
    <w:bookmarkStart w:id="55" w:name="colômbia--rotas-sena"/>
    <w:p>
      <w:pPr>
        <w:pStyle w:val="Heading2"/>
      </w:pPr>
      <w:r>
        <w:t xml:space="preserve">Colômbia — rotas SENA</w:t>
      </w:r>
    </w:p>
    <w:bookmarkStart w:id="52" w:name="técnico--construcción-de-edificaciones"/>
    <w:p>
      <w:pPr>
        <w:pStyle w:val="Heading3"/>
      </w:pPr>
      <w:r>
        <w:t xml:space="preserve">Técnico — Construcción de Edificaciones</w:t>
      </w:r>
    </w:p>
    <w:p>
      <w:pPr>
        <w:pStyle w:val="FirstParagraph"/>
      </w:pPr>
      <w:r>
        <w:t xml:space="preserve">Informação atual do SENA Betowa:</w:t>
      </w:r>
    </w:p>
    <w:p>
      <w:pPr>
        <w:numPr>
          <w:ilvl w:val="0"/>
          <w:numId w:val="1032"/>
        </w:numPr>
        <w:pStyle w:val="Compact"/>
      </w:pPr>
      <w:r>
        <w:rPr>
          <w:bCs/>
          <w:b/>
        </w:rPr>
        <w:t xml:space="preserve">2,160 horas</w:t>
      </w:r>
      <w:r>
        <w:t xml:space="preserve">;</w:t>
      </w:r>
    </w:p>
    <w:p>
      <w:pPr>
        <w:numPr>
          <w:ilvl w:val="0"/>
          <w:numId w:val="1032"/>
        </w:numPr>
        <w:pStyle w:val="Compact"/>
      </w:pPr>
      <w:r>
        <w:t xml:space="preserve">Titulada;</w:t>
      </w:r>
    </w:p>
    <w:p>
      <w:pPr>
        <w:numPr>
          <w:ilvl w:val="0"/>
          <w:numId w:val="1032"/>
        </w:numPr>
        <w:pStyle w:val="Compact"/>
      </w:pPr>
      <w:r>
        <w:t xml:space="preserve">Técnico;</w:t>
      </w:r>
    </w:p>
    <w:p>
      <w:pPr>
        <w:numPr>
          <w:ilvl w:val="0"/>
          <w:numId w:val="1032"/>
        </w:numPr>
        <w:pStyle w:val="Compact"/>
      </w:pPr>
      <w:r>
        <w:t xml:space="preserve">presencial;</w:t>
      </w:r>
    </w:p>
    <w:p>
      <w:pPr>
        <w:numPr>
          <w:ilvl w:val="0"/>
          <w:numId w:val="1032"/>
        </w:numPr>
        <w:pStyle w:val="Compact"/>
      </w:pPr>
      <w:r>
        <w:t xml:space="preserve">conteúdo sobre armadura estrutural, concreto/argamassa, alvenaria estrutural, redes hidrossanitárias, coberturas, desenhos/especificações, segurança/meio ambiente, ferramentas digitais e etapa prática.</w:t>
      </w:r>
    </w:p>
    <w:bookmarkEnd w:id="52"/>
    <w:bookmarkStart w:id="53" w:name="técnico--construcción-de-vías"/>
    <w:p>
      <w:pPr>
        <w:pStyle w:val="Heading3"/>
      </w:pPr>
      <w:r>
        <w:t xml:space="preserve">Técnico — Construcción de Vías</w:t>
      </w:r>
    </w:p>
    <w:p>
      <w:pPr>
        <w:pStyle w:val="FirstParagraph"/>
      </w:pPr>
      <w:r>
        <w:t xml:space="preserve">Informação atual do SENA Betowa:</w:t>
      </w:r>
    </w:p>
    <w:p>
      <w:pPr>
        <w:numPr>
          <w:ilvl w:val="0"/>
          <w:numId w:val="1033"/>
        </w:numPr>
        <w:pStyle w:val="Compact"/>
      </w:pPr>
      <w:r>
        <w:rPr>
          <w:bCs/>
          <w:b/>
        </w:rPr>
        <w:t xml:space="preserve">2,208 horas</w:t>
      </w:r>
      <w:r>
        <w:t xml:space="preserve">;</w:t>
      </w:r>
    </w:p>
    <w:p>
      <w:pPr>
        <w:numPr>
          <w:ilvl w:val="0"/>
          <w:numId w:val="1033"/>
        </w:numPr>
        <w:pStyle w:val="Compact"/>
      </w:pPr>
      <w:r>
        <w:t xml:space="preserve">Titulada;</w:t>
      </w:r>
    </w:p>
    <w:p>
      <w:pPr>
        <w:numPr>
          <w:ilvl w:val="0"/>
          <w:numId w:val="1033"/>
        </w:numPr>
        <w:pStyle w:val="Compact"/>
      </w:pPr>
      <w:r>
        <w:t xml:space="preserve">Técnico;</w:t>
      </w:r>
    </w:p>
    <w:p>
      <w:pPr>
        <w:numPr>
          <w:ilvl w:val="0"/>
          <w:numId w:val="1033"/>
        </w:numPr>
        <w:pStyle w:val="Compact"/>
      </w:pPr>
      <w:r>
        <w:t xml:space="preserve">presencial;</w:t>
      </w:r>
    </w:p>
    <w:p>
      <w:pPr>
        <w:numPr>
          <w:ilvl w:val="0"/>
          <w:numId w:val="1033"/>
        </w:numPr>
        <w:pStyle w:val="Compact"/>
      </w:pPr>
      <w:r>
        <w:t xml:space="preserve">conteúdo sobre misturas asfálticas, filtros, concreto, pavimentos, especificações, segurança/meio ambiente, raciocínio quantitativo, ferramentas digitais e etapa prática.</w:t>
      </w:r>
    </w:p>
    <w:bookmarkEnd w:id="53"/>
    <w:bookmarkStart w:id="54" w:name="X66bd1958485909fc5baf3d4763942c4f12599f9"/>
    <w:p>
      <w:pPr>
        <w:pStyle w:val="Heading3"/>
      </w:pPr>
      <w:r>
        <w:t xml:space="preserve">Formação complementar — Costos y Presupuestos para Edificaciones I</w:t>
      </w:r>
    </w:p>
    <w:p>
      <w:pPr>
        <w:pStyle w:val="FirstParagraph"/>
      </w:pPr>
      <w:r>
        <w:t xml:space="preserve">Ofertas atuais do Betowa incluem:</w:t>
      </w:r>
    </w:p>
    <w:p>
      <w:pPr>
        <w:numPr>
          <w:ilvl w:val="0"/>
          <w:numId w:val="1034"/>
        </w:numPr>
        <w:pStyle w:val="Compact"/>
      </w:pPr>
      <w:r>
        <w:rPr>
          <w:bCs/>
          <w:b/>
        </w:rPr>
        <w:t xml:space="preserve">40 horas</w:t>
      </w:r>
      <w:r>
        <w:t xml:space="preserve">;</w:t>
      </w:r>
    </w:p>
    <w:p>
      <w:pPr>
        <w:numPr>
          <w:ilvl w:val="0"/>
          <w:numId w:val="1034"/>
        </w:numPr>
        <w:pStyle w:val="Compact"/>
      </w:pPr>
      <w:r>
        <w:t xml:space="preserve">formação complementar virtual;</w:t>
      </w:r>
    </w:p>
    <w:p>
      <w:pPr>
        <w:numPr>
          <w:ilvl w:val="0"/>
          <w:numId w:val="1034"/>
        </w:numPr>
        <w:pStyle w:val="Compact"/>
      </w:pPr>
      <w:r>
        <w:t xml:space="preserve">fundamentos de custos e orçamentos de construção.</w:t>
      </w:r>
    </w:p>
    <w:p>
      <w:pPr>
        <w:pStyle w:val="FirstParagraph"/>
      </w:pPr>
      <w:r>
        <w:t xml:space="preserve">Vagas, turmas, datas e locais mudam. Verifique o Betowa ao vivo antes de depender de disponibilidade de matrícula.</w:t>
      </w:r>
    </w:p>
    <w:bookmarkEnd w:id="54"/>
    <w:bookmarkEnd w:id="55"/>
    <w:bookmarkStart w:id="56" w:name="chile"/>
    <w:p>
      <w:pPr>
        <w:pStyle w:val="Heading2"/>
      </w:pPr>
      <w:r>
        <w:t xml:space="preserve">Chile</w:t>
      </w:r>
    </w:p>
    <w:p>
      <w:pPr>
        <w:pStyle w:val="FirstParagraph"/>
      </w:pPr>
      <w:r>
        <w:t xml:space="preserve">ChileValora lista atualmente</w:t>
      </w:r>
      <w:r>
        <w:t xml:space="preserve"> </w:t>
      </w:r>
      <w:r>
        <w:rPr>
          <w:bCs/>
          <w:b/>
        </w:rPr>
        <w:t xml:space="preserve">P-4100-3123-001-V04 — Jefe(a) de Obra</w:t>
      </w:r>
      <w:r>
        <w:t xml:space="preserve"> </w:t>
      </w:r>
      <w:r>
        <w:t xml:space="preserve">como vigente até</w:t>
      </w:r>
      <w:r>
        <w:t xml:space="preserve"> </w:t>
      </w:r>
      <w:r>
        <w:rPr>
          <w:bCs/>
          <w:b/>
        </w:rPr>
        <w:t xml:space="preserve">30 de dezembro de 2028</w:t>
      </w:r>
      <w:r>
        <w:t xml:space="preserve">, nível de qualificação 5.</w:t>
      </w:r>
    </w:p>
    <w:p>
      <w:pPr>
        <w:pStyle w:val="BodyText"/>
      </w:pPr>
      <w:r>
        <w:t xml:space="preserve">O perfil cobre coordenação de equipes, progresso, qualidade, segurança, requisitos ambientais, materiais/ferramentas e requisitos do projeto em múltiplos contextos de construção. ChileValora também identifica</w:t>
      </w:r>
      <w:r>
        <w:t xml:space="preserve"> </w:t>
      </w:r>
      <w:r>
        <w:rPr>
          <w:bCs/>
          <w:b/>
        </w:rPr>
        <w:t xml:space="preserve">Técnico en Obras Civiles</w:t>
      </w:r>
      <w:r>
        <w:t xml:space="preserve"> </w:t>
      </w:r>
      <w:r>
        <w:t xml:space="preserve">como rota educacional vinculada por instituição reconhecedora.</w:t>
      </w:r>
    </w:p>
    <w:p>
      <w:pPr>
        <w:pStyle w:val="BodyText"/>
      </w:pPr>
      <w:r>
        <w:t xml:space="preserve">É uma comparação de progressão profissional, não evidência de que todo técnico em engenharia civil atenda automaticamente ao perfil de Jefe(a) de Obra.</w:t>
      </w:r>
    </w:p>
    <w:bookmarkEnd w:id="56"/>
    <w:bookmarkStart w:id="57" w:name="peru"/>
    <w:p>
      <w:pPr>
        <w:pStyle w:val="Heading2"/>
      </w:pPr>
      <w:r>
        <w:t xml:space="preserve">Peru</w:t>
      </w:r>
    </w:p>
    <w:p>
      <w:pPr>
        <w:pStyle w:val="FirstParagraph"/>
      </w:pPr>
      <w:r>
        <w:t xml:space="preserve">A Escuela Superior Técnica do SENCICO lista programas relevantes, incluindo:</w:t>
      </w:r>
    </w:p>
    <w:p>
      <w:pPr>
        <w:numPr>
          <w:ilvl w:val="0"/>
          <w:numId w:val="1035"/>
        </w:numPr>
        <w:pStyle w:val="Compact"/>
      </w:pPr>
      <w:r>
        <w:rPr>
          <w:bCs/>
          <w:b/>
        </w:rPr>
        <w:t xml:space="preserve">Edificaciones — 3 anos</w:t>
      </w:r>
      <w:r>
        <w:t xml:space="preserve">;</w:t>
      </w:r>
    </w:p>
    <w:p>
      <w:pPr>
        <w:numPr>
          <w:ilvl w:val="0"/>
          <w:numId w:val="1035"/>
        </w:numPr>
        <w:pStyle w:val="Compact"/>
      </w:pPr>
      <w:r>
        <w:rPr>
          <w:bCs/>
          <w:b/>
        </w:rPr>
        <w:t xml:space="preserve">Administración de Obras de Construcción Civil — 3 anos</w:t>
      </w:r>
      <w:r>
        <w:t xml:space="preserve">;</w:t>
      </w:r>
    </w:p>
    <w:p>
      <w:pPr>
        <w:numPr>
          <w:ilvl w:val="0"/>
          <w:numId w:val="1035"/>
        </w:numPr>
        <w:pStyle w:val="Compact"/>
      </w:pPr>
      <w:r>
        <w:rPr>
          <w:bCs/>
          <w:b/>
        </w:rPr>
        <w:t xml:space="preserve">Laboratorio de Suelos, Concreto y Asfalto — 2.5 anos</w:t>
      </w:r>
      <w:r>
        <w:t xml:space="preserve">;</w:t>
      </w:r>
    </w:p>
    <w:p>
      <w:pPr>
        <w:numPr>
          <w:ilvl w:val="0"/>
          <w:numId w:val="1035"/>
        </w:numPr>
        <w:pStyle w:val="Compact"/>
      </w:pPr>
      <w:r>
        <w:rPr>
          <w:bCs/>
          <w:b/>
        </w:rPr>
        <w:t xml:space="preserve">Dibujo Digital Aplicado a la Construcción — 2.5 anos</w:t>
      </w:r>
      <w:r>
        <w:t xml:space="preserve">;</w:t>
      </w:r>
    </w:p>
    <w:p>
      <w:pPr>
        <w:numPr>
          <w:ilvl w:val="0"/>
          <w:numId w:val="1035"/>
        </w:numPr>
        <w:pStyle w:val="Compact"/>
      </w:pPr>
      <w:r>
        <w:rPr>
          <w:bCs/>
          <w:b/>
        </w:rPr>
        <w:t xml:space="preserve">Topografía y Geodesia — 3 anos</w:t>
      </w:r>
      <w:r>
        <w:t xml:space="preserve">.</w:t>
      </w:r>
    </w:p>
    <w:p>
      <w:pPr>
        <w:pStyle w:val="FirstParagraph"/>
      </w:pPr>
      <w:r>
        <w:t xml:space="preserve">Edificaciones inclui preparação de projetos, quantitativos, orçamentos, expedientes técnicos, planejamento, recursos, execução, supervisão e qualidade com engenheiros e arquitetos.</w:t>
      </w:r>
    </w:p>
    <w:p>
      <w:pPr>
        <w:pStyle w:val="BodyText"/>
      </w:pPr>
      <w:r>
        <w:t xml:space="preserve">Verifique admissões, campi, horários e custos atuais antes de tomar decisão de matrícula.</w:t>
      </w:r>
    </w:p>
    <w:bookmarkEnd w:id="57"/>
    <w:bookmarkStart w:id="58" w:name="brasil"/>
    <w:p>
      <w:pPr>
        <w:pStyle w:val="Heading2"/>
      </w:pPr>
      <w:r>
        <w:t xml:space="preserve">Brasil</w:t>
      </w:r>
    </w:p>
    <w:p>
      <w:pPr>
        <w:pStyle w:val="FirstParagraph"/>
      </w:pPr>
      <w:r>
        <w:t xml:space="preserve">O catálogo de cursos técnicos do Ministério da Educação do Brasil lista</w:t>
      </w:r>
      <w:r>
        <w:t xml:space="preserve"> </w:t>
      </w:r>
      <w:r>
        <w:rPr>
          <w:bCs/>
          <w:b/>
        </w:rPr>
        <w:t xml:space="preserve">Técnico em Edificações</w:t>
      </w:r>
      <w:r>
        <w:t xml:space="preserve"> </w:t>
      </w:r>
      <w:r>
        <w:t xml:space="preserve">com carga horária mínima de</w:t>
      </w:r>
      <w:r>
        <w:t xml:space="preserve"> </w:t>
      </w:r>
      <w:r>
        <w:rPr>
          <w:bCs/>
          <w:b/>
        </w:rPr>
        <w:t xml:space="preserve">1,200 horas</w:t>
      </w:r>
      <w:r>
        <w:t xml:space="preserve"> </w:t>
      </w:r>
      <w:r>
        <w:t xml:space="preserve">e o associa a</w:t>
      </w:r>
      <w:r>
        <w:t xml:space="preserve"> </w:t>
      </w:r>
      <w:r>
        <w:rPr>
          <w:bCs/>
          <w:b/>
        </w:rPr>
        <w:t xml:space="preserve">CBO 312105 / 3121-05 — Técnico de obras civis</w:t>
      </w:r>
      <w:r>
        <w:t xml:space="preserve">.</w:t>
      </w:r>
    </w:p>
    <w:p>
      <w:pPr>
        <w:pStyle w:val="BodyText"/>
      </w:pPr>
      <w:r>
        <w:t xml:space="preserve">O perfil inclui projetos de edificações, planejamento da execução, orçamentos, tecnologia da construção e manutenção, com ambientes como construtoras, escritórios de projetos, canteiros e laboratórios.</w:t>
      </w:r>
    </w:p>
    <w:p>
      <w:pPr>
        <w:pStyle w:val="BodyText"/>
      </w:pPr>
      <w:r>
        <w:t xml:space="preserve">O catálogo identifica rotas de continuidade como BIM, geoprocessamento, construção, controle de obras, estradas, materiais de construção, saneamento, obras hidráulicas, arquitetura e engenharia civil.</w:t>
      </w:r>
    </w:p>
    <w:p>
      <w:pPr>
        <w:pStyle w:val="BodyText"/>
      </w:pPr>
      <w:r>
        <w:t xml:space="preserve">O catálogo também referencia legislação brasileira de exercício profissional. Formação ou classificação ocupacional não concede automaticamente autoridade irrestrita de engenharia. Verifique requisitos atuais de registro e escopo para os serviços oferecidos.</w:t>
      </w:r>
    </w:p>
    <w:bookmarkEnd w:id="58"/>
    <w:bookmarkStart w:id="59" w:name="ideias-seguras-de-portfólio"/>
    <w:p>
      <w:pPr>
        <w:pStyle w:val="Heading2"/>
      </w:pPr>
      <w:r>
        <w:t xml:space="preserve">Ideias seguras de portfólio</w:t>
      </w:r>
    </w:p>
    <w:p>
      <w:pPr>
        <w:pStyle w:val="FirstParagraph"/>
      </w:pPr>
      <w:r>
        <w:t xml:space="preserve">Use informações públicas, abertas ou sintéticas. Exemplos:</w:t>
      </w:r>
    </w:p>
    <w:p>
      <w:pPr>
        <w:numPr>
          <w:ilvl w:val="0"/>
          <w:numId w:val="1036"/>
        </w:numPr>
        <w:pStyle w:val="Compact"/>
      </w:pPr>
      <w:r>
        <w:t xml:space="preserve">levantamento de quantitativos de um desenho sintético pequeno;</w:t>
      </w:r>
    </w:p>
    <w:p>
      <w:pPr>
        <w:numPr>
          <w:ilvl w:val="0"/>
          <w:numId w:val="1036"/>
        </w:numPr>
        <w:pStyle w:val="Compact"/>
      </w:pPr>
      <w:r>
        <w:t xml:space="preserve">estimativa de custos com preços de exemplo datados e claramente marcados como fictícios;</w:t>
      </w:r>
    </w:p>
    <w:p>
      <w:pPr>
        <w:numPr>
          <w:ilvl w:val="0"/>
          <w:numId w:val="1036"/>
        </w:numPr>
        <w:pStyle w:val="Compact"/>
      </w:pPr>
      <w:r>
        <w:t xml:space="preserve">exercício CAD de local/detalhe com geometria inventada;</w:t>
      </w:r>
    </w:p>
    <w:p>
      <w:pPr>
        <w:numPr>
          <w:ilvl w:val="0"/>
          <w:numId w:val="1036"/>
        </w:numPr>
        <w:pStyle w:val="Compact"/>
      </w:pPr>
      <w:r>
        <w:t xml:space="preserve">exercício de controle de revisão demonstrando rastreio de mudança;</w:t>
      </w:r>
    </w:p>
    <w:p>
      <w:pPr>
        <w:numPr>
          <w:ilvl w:val="0"/>
          <w:numId w:val="1036"/>
        </w:numPr>
        <w:pStyle w:val="Compact"/>
      </w:pPr>
      <w:r>
        <w:t xml:space="preserve">modelo de registro de ensaios de materiais com resultados sintéticos;</w:t>
      </w:r>
    </w:p>
    <w:p>
      <w:pPr>
        <w:numPr>
          <w:ilvl w:val="0"/>
          <w:numId w:val="1036"/>
        </w:numPr>
        <w:pStyle w:val="Compact"/>
      </w:pPr>
      <w:r>
        <w:t xml:space="preserve">relatório de inspeção baseado em cenário de treinamento ou público;</w:t>
      </w:r>
    </w:p>
    <w:p>
      <w:pPr>
        <w:numPr>
          <w:ilvl w:val="0"/>
          <w:numId w:val="1036"/>
        </w:numPr>
        <w:pStyle w:val="Compact"/>
      </w:pPr>
      <w:r>
        <w:t xml:space="preserve">mapa GIS com dados abertos de infraestrutura e CRS/fonte documentados;</w:t>
      </w:r>
    </w:p>
    <w:p>
      <w:pPr>
        <w:numPr>
          <w:ilvl w:val="0"/>
          <w:numId w:val="1036"/>
        </w:numPr>
        <w:pStyle w:val="Compact"/>
      </w:pPr>
      <w:r>
        <w:t xml:space="preserve">checklist de segurança pré-tarefa;</w:t>
      </w:r>
    </w:p>
    <w:p>
      <w:pPr>
        <w:numPr>
          <w:ilvl w:val="0"/>
          <w:numId w:val="1036"/>
        </w:numPr>
        <w:pStyle w:val="Compact"/>
      </w:pPr>
      <w:r>
        <w:t xml:space="preserve">dashboard acessível com alternativas de texto/tabela;</w:t>
      </w:r>
    </w:p>
    <w:p>
      <w:pPr>
        <w:numPr>
          <w:ilvl w:val="0"/>
          <w:numId w:val="1036"/>
        </w:numPr>
        <w:pStyle w:val="Compact"/>
      </w:pPr>
      <w:r>
        <w:t xml:space="preserve">planilha que verifique independentemente unidades e quantitativos.</w:t>
      </w:r>
    </w:p>
    <w:p>
      <w:pPr>
        <w:pStyle w:val="FirstParagraph"/>
      </w:pPr>
      <w:r>
        <w:t xml:space="preserve">Não publique desenhos de empregador/cliente, detalhes de infraestrutura privada ou sensível, informações reais de utilidades críticas, fotografias protegidas, estimativas proprietárias ou aprovações profissionais inventadas.</w:t>
      </w:r>
    </w:p>
    <w:bookmarkEnd w:id="59"/>
    <w:bookmarkStart w:id="64" w:name="plano-inicial-de-quatro-semanas"/>
    <w:p>
      <w:pPr>
        <w:pStyle w:val="Heading2"/>
      </w:pPr>
      <w:r>
        <w:t xml:space="preserve">Plano inicial de quatro semanas</w:t>
      </w:r>
    </w:p>
    <w:bookmarkStart w:id="60" w:name="X619a6134341b878f67bd784712244dc8dec32ab"/>
    <w:p>
      <w:pPr>
        <w:pStyle w:val="Heading3"/>
      </w:pPr>
      <w:r>
        <w:t xml:space="preserve">Semana 1 — desenhos, unidades e fundamentos civis</w:t>
      </w:r>
    </w:p>
    <w:p>
      <w:pPr>
        <w:pStyle w:val="FirstParagraph"/>
      </w:pPr>
      <w:r>
        <w:t xml:space="preserve">Aprenda conceitos de planta/perfil/seção, unidades, escala, coordenadas/elevações, quantitativos básicos e controle de revisões. Pratique com desenhos públicos ou sintéticos.</w:t>
      </w:r>
    </w:p>
    <w:bookmarkEnd w:id="60"/>
    <w:bookmarkStart w:id="61" w:name="X4591cbab8e25eff68e18d69c22e3ce1f0a15f0b"/>
    <w:p>
      <w:pPr>
        <w:pStyle w:val="Heading3"/>
      </w:pPr>
      <w:r>
        <w:t xml:space="preserve">Semana 2 — CAD, quantitativos e documentação</w:t>
      </w:r>
    </w:p>
    <w:p>
      <w:pPr>
        <w:pStyle w:val="FirstParagraph"/>
      </w:pPr>
      <w:r>
        <w:t xml:space="preserve">Pratique pequeno exercício CAD, levantamento de quantitativos e planilha de custos. Registre premissas, unidades, revisão-fonte e verificações.</w:t>
      </w:r>
    </w:p>
    <w:bookmarkEnd w:id="61"/>
    <w:bookmarkStart w:id="62" w:name="Xad8b64987f0fc2390ecc1c8706dc1fcf08b6c8f"/>
    <w:p>
      <w:pPr>
        <w:pStyle w:val="Heading3"/>
      </w:pPr>
      <w:r>
        <w:t xml:space="preserve">Semana 3 — conceitos de campo, materiais e segurança</w:t>
      </w:r>
    </w:p>
    <w:p>
      <w:pPr>
        <w:pStyle w:val="FirstParagraph"/>
      </w:pPr>
      <w:r>
        <w:t xml:space="preserve">Estude registros de inspeção, conceitos de ensaios de concreto/solo/asfalto, cadeia de custódia, documentação de não conformidades e perigos de construção. Use treinamento supervisionado para qualquer ensaio físico ou procedimento de campo.</w:t>
      </w:r>
    </w:p>
    <w:bookmarkEnd w:id="62"/>
    <w:bookmarkStart w:id="63" w:name="semana-4--qa-portfólio-e-entrevistas"/>
    <w:p>
      <w:pPr>
        <w:pStyle w:val="Heading3"/>
      </w:pPr>
      <w:r>
        <w:t xml:space="preserve">Semana 4 — QA, portfólio e entrevistas</w:t>
      </w:r>
    </w:p>
    <w:p>
      <w:pPr>
        <w:pStyle w:val="FirstParagraph"/>
      </w:pPr>
      <w:r>
        <w:t xml:space="preserve">Crie projeto seguro que inclua desenho/modelo ou planilha de quantitativos, registro tipo campo/ensaio com dados sintéticos e checklist QA. Prepare exemplos de como detectar, documentar e escalar discrepâncias.</w:t>
      </w:r>
    </w:p>
    <w:bookmarkEnd w:id="63"/>
    <w:bookmarkEnd w:id="64"/>
    <w:bookmarkStart w:id="65" w:name="preparação-para-entrevistas"/>
    <w:p>
      <w:pPr>
        <w:pStyle w:val="Heading2"/>
      </w:pPr>
      <w:r>
        <w:t xml:space="preserve">Preparação para entrevistas</w:t>
      </w:r>
    </w:p>
    <w:p>
      <w:pPr>
        <w:pStyle w:val="FirstParagraph"/>
      </w:pPr>
      <w:r>
        <w:t xml:space="preserve">Esteja preparado para explicar:</w:t>
      </w:r>
    </w:p>
    <w:p>
      <w:pPr>
        <w:numPr>
          <w:ilvl w:val="0"/>
          <w:numId w:val="1037"/>
        </w:numPr>
        <w:pStyle w:val="Compact"/>
      </w:pPr>
      <w:r>
        <w:t xml:space="preserve">autoridade de técnico/tecnólogo versus engenheiro licenciado;</w:t>
      </w:r>
    </w:p>
    <w:p>
      <w:pPr>
        <w:numPr>
          <w:ilvl w:val="0"/>
          <w:numId w:val="1037"/>
        </w:numPr>
        <w:pStyle w:val="Compact"/>
      </w:pPr>
      <w:r>
        <w:t xml:space="preserve">como verificar revisão de desenho;</w:t>
      </w:r>
    </w:p>
    <w:p>
      <w:pPr>
        <w:numPr>
          <w:ilvl w:val="0"/>
          <w:numId w:val="1037"/>
        </w:numPr>
        <w:pStyle w:val="Compact"/>
      </w:pPr>
      <w:r>
        <w:t xml:space="preserve">como evitar erros de unidades;</w:t>
      </w:r>
    </w:p>
    <w:p>
      <w:pPr>
        <w:numPr>
          <w:ilvl w:val="0"/>
          <w:numId w:val="1037"/>
        </w:numPr>
        <w:pStyle w:val="Compact"/>
      </w:pPr>
      <w:r>
        <w:t xml:space="preserve">controles de levantamento de quantitativos;</w:t>
      </w:r>
    </w:p>
    <w:p>
      <w:pPr>
        <w:numPr>
          <w:ilvl w:val="0"/>
          <w:numId w:val="1037"/>
        </w:numPr>
        <w:pStyle w:val="Compact"/>
      </w:pPr>
      <w:r>
        <w:t xml:space="preserve">como documentar discrepância de campo;</w:t>
      </w:r>
    </w:p>
    <w:p>
      <w:pPr>
        <w:numPr>
          <w:ilvl w:val="0"/>
          <w:numId w:val="1037"/>
        </w:numPr>
        <w:pStyle w:val="Compact"/>
      </w:pPr>
      <w:r>
        <w:t xml:space="preserve">como lidar com resultado de ensaio reprovado/fora de especificação;</w:t>
      </w:r>
    </w:p>
    <w:p>
      <w:pPr>
        <w:numPr>
          <w:ilvl w:val="0"/>
          <w:numId w:val="1037"/>
        </w:numPr>
        <w:pStyle w:val="Compact"/>
      </w:pPr>
      <w:r>
        <w:t xml:space="preserve">controles de versão/fonte em CAD/BIM/GIS;</w:t>
      </w:r>
    </w:p>
    <w:p>
      <w:pPr>
        <w:numPr>
          <w:ilvl w:val="0"/>
          <w:numId w:val="1037"/>
        </w:numPr>
        <w:pStyle w:val="Compact"/>
      </w:pPr>
      <w:r>
        <w:t xml:space="preserve">por que modelo detalhado não está automaticamente aprovado para construção;</w:t>
      </w:r>
    </w:p>
    <w:p>
      <w:pPr>
        <w:numPr>
          <w:ilvl w:val="0"/>
          <w:numId w:val="1037"/>
        </w:numPr>
        <w:pStyle w:val="Compact"/>
      </w:pPr>
      <w:r>
        <w:t xml:space="preserve">como proteger dados do projeto;</w:t>
      </w:r>
    </w:p>
    <w:p>
      <w:pPr>
        <w:numPr>
          <w:ilvl w:val="0"/>
          <w:numId w:val="1037"/>
        </w:numPr>
        <w:pStyle w:val="Compact"/>
      </w:pPr>
      <w:r>
        <w:t xml:space="preserve">como trabalhar com segurança perto de equipamento pesado ou tráfego;</w:t>
      </w:r>
    </w:p>
    <w:p>
      <w:pPr>
        <w:numPr>
          <w:ilvl w:val="0"/>
          <w:numId w:val="1037"/>
        </w:numPr>
        <w:pStyle w:val="Compact"/>
      </w:pPr>
      <w:r>
        <w:t xml:space="preserve">como verificar fórmula, quantitativo ou referência de código gerada por IA;</w:t>
      </w:r>
    </w:p>
    <w:p>
      <w:pPr>
        <w:numPr>
          <w:ilvl w:val="0"/>
          <w:numId w:val="1037"/>
        </w:numPr>
        <w:pStyle w:val="Compact"/>
      </w:pPr>
      <w:r>
        <w:t xml:space="preserve">como distinguir fatos observados de interpretação de engenharia.</w:t>
      </w:r>
    </w:p>
    <w:bookmarkEnd w:id="65"/>
    <w:bookmarkStart w:id="66" w:name="diligência-sobre-o-empregador"/>
    <w:p>
      <w:pPr>
        <w:pStyle w:val="Heading2"/>
      </w:pPr>
      <w:r>
        <w:t xml:space="preserve">Diligência sobre o empregador</w:t>
      </w:r>
    </w:p>
    <w:p>
      <w:pPr>
        <w:pStyle w:val="FirstParagraph"/>
      </w:pPr>
      <w:r>
        <w:t xml:space="preserve">Pergunte:</w:t>
      </w:r>
    </w:p>
    <w:p>
      <w:pPr>
        <w:numPr>
          <w:ilvl w:val="0"/>
          <w:numId w:val="1038"/>
        </w:numPr>
        <w:pStyle w:val="Compact"/>
      </w:pPr>
      <w:r>
        <w:t xml:space="preserve">Qual percentual do cargo é escritório, laboratório e campo?</w:t>
      </w:r>
    </w:p>
    <w:p>
      <w:pPr>
        <w:numPr>
          <w:ilvl w:val="0"/>
          <w:numId w:val="1038"/>
        </w:numPr>
        <w:pStyle w:val="Compact"/>
      </w:pPr>
      <w:r>
        <w:t xml:space="preserve">Quais disciplinas civis estão envolvidas: transportes, estruturas, municipal, água, geotecnia, meio ambiente ou construção?</w:t>
      </w:r>
    </w:p>
    <w:p>
      <w:pPr>
        <w:numPr>
          <w:ilvl w:val="0"/>
          <w:numId w:val="1038"/>
        </w:numPr>
        <w:pStyle w:val="Compact"/>
      </w:pPr>
      <w:r>
        <w:t xml:space="preserve">Quais sistemas CAD/BIM/GIS/projeto são padrão?</w:t>
      </w:r>
    </w:p>
    <w:p>
      <w:pPr>
        <w:numPr>
          <w:ilvl w:val="0"/>
          <w:numId w:val="1038"/>
        </w:numPr>
        <w:pStyle w:val="Compact"/>
      </w:pPr>
      <w:r>
        <w:t xml:space="preserve">Quais ensaios ou certificações são exigidos?</w:t>
      </w:r>
    </w:p>
    <w:p>
      <w:pPr>
        <w:numPr>
          <w:ilvl w:val="0"/>
          <w:numId w:val="1038"/>
        </w:numPr>
        <w:pStyle w:val="Compact"/>
      </w:pPr>
      <w:r>
        <w:t xml:space="preserve">Quem tem autoridade de aprovação/assinatura profissional de engenharia?</w:t>
      </w:r>
    </w:p>
    <w:p>
      <w:pPr>
        <w:numPr>
          <w:ilvl w:val="0"/>
          <w:numId w:val="1038"/>
        </w:numPr>
        <w:pStyle w:val="Compact"/>
      </w:pPr>
      <w:r>
        <w:t xml:space="preserve">Que trabalho técnicos podem aprovar internamente, se houver?</w:t>
      </w:r>
    </w:p>
    <w:p>
      <w:pPr>
        <w:numPr>
          <w:ilvl w:val="0"/>
          <w:numId w:val="1038"/>
        </w:numPr>
        <w:pStyle w:val="Compact"/>
      </w:pPr>
      <w:r>
        <w:t xml:space="preserve">Como desenhos, revisões e registros de projeto são controlados?</w:t>
      </w:r>
    </w:p>
    <w:p>
      <w:pPr>
        <w:numPr>
          <w:ilvl w:val="0"/>
          <w:numId w:val="1038"/>
        </w:numPr>
        <w:pStyle w:val="Compact"/>
      </w:pPr>
      <w:r>
        <w:t xml:space="preserve">Quais verificações independentes são exigidas para cálculos e quantitativos?</w:t>
      </w:r>
    </w:p>
    <w:p>
      <w:pPr>
        <w:numPr>
          <w:ilvl w:val="0"/>
          <w:numId w:val="1038"/>
        </w:numPr>
        <w:pStyle w:val="Compact"/>
      </w:pPr>
      <w:r>
        <w:t xml:space="preserve">Que treinamento de segurança e EPI são fornecidos?</w:t>
      </w:r>
    </w:p>
    <w:p>
      <w:pPr>
        <w:numPr>
          <w:ilvl w:val="0"/>
          <w:numId w:val="1038"/>
        </w:numPr>
        <w:pStyle w:val="Compact"/>
      </w:pPr>
      <w:r>
        <w:t xml:space="preserve">Há riscos de tráfego, escavação, espaços confinados, sílica ou quedas?</w:t>
      </w:r>
    </w:p>
    <w:p>
      <w:pPr>
        <w:numPr>
          <w:ilvl w:val="0"/>
          <w:numId w:val="1038"/>
        </w:numPr>
        <w:pStyle w:val="Compact"/>
      </w:pPr>
      <w:r>
        <w:t xml:space="preserve">Quanto deslocamento ou trabalho noturno em campo é esperado?</w:t>
      </w:r>
    </w:p>
    <w:p>
      <w:pPr>
        <w:numPr>
          <w:ilvl w:val="0"/>
          <w:numId w:val="1038"/>
        </w:numPr>
        <w:pStyle w:val="Compact"/>
      </w:pPr>
      <w:r>
        <w:t xml:space="preserve">Que apoio para treinamento ou mensalidade existe?</w:t>
      </w:r>
    </w:p>
    <w:p>
      <w:pPr>
        <w:numPr>
          <w:ilvl w:val="0"/>
          <w:numId w:val="1038"/>
        </w:numPr>
        <w:pStyle w:val="Compact"/>
      </w:pPr>
      <w:r>
        <w:t xml:space="preserve">Como horas extras, tempo de viagem e despesas de campo são tratados?</w:t>
      </w:r>
    </w:p>
    <w:p>
      <w:pPr>
        <w:numPr>
          <w:ilvl w:val="0"/>
          <w:numId w:val="1038"/>
        </w:numPr>
        <w:pStyle w:val="Compact"/>
      </w:pPr>
      <w:r>
        <w:t xml:space="preserve">Qual caminho de avanço existe para tecnólogo, especialista, supervisor ou formação em engenharia?</w:t>
      </w:r>
    </w:p>
    <w:bookmarkEnd w:id="66"/>
    <w:bookmarkStart w:id="93" w:name="links-de-verificação-para-leitores"/>
    <w:p>
      <w:pPr>
        <w:pStyle w:val="Heading2"/>
      </w:pPr>
      <w:r>
        <w:t xml:space="preserve">Links de verificação para leitores</w:t>
      </w:r>
    </w:p>
    <w:p>
      <w:pPr>
        <w:numPr>
          <w:ilvl w:val="0"/>
          <w:numId w:val="1039"/>
        </w:numPr>
        <w:pStyle w:val="Compact"/>
      </w:pPr>
      <w:hyperlink r:id="rId67">
        <w:hyperlink r:id="rId67">
          <w:r>
            <w:rPr>
              <w:rStyle w:val="Hyperlink"/>
            </w:rPr>
            <w:t xml:space="preserve">Source link</w:t>
          </w:r>
        </w:hyperlink>
      </w:hyperlink>
    </w:p>
    <w:p>
      <w:pPr>
        <w:numPr>
          <w:ilvl w:val="0"/>
          <w:numId w:val="1039"/>
        </w:numPr>
        <w:pStyle w:val="Compact"/>
      </w:pPr>
      <w:hyperlink r:id="rId68">
        <w:hyperlink r:id="rId68">
          <w:r>
            <w:rPr>
              <w:rStyle w:val="Hyperlink"/>
            </w:rPr>
            <w:t xml:space="preserve">Source link</w:t>
          </w:r>
        </w:hyperlink>
      </w:hyperlink>
    </w:p>
    <w:p>
      <w:pPr>
        <w:numPr>
          <w:ilvl w:val="0"/>
          <w:numId w:val="1039"/>
        </w:numPr>
        <w:pStyle w:val="Compact"/>
      </w:pPr>
      <w:hyperlink r:id="rId69">
        <w:hyperlink r:id="rId69">
          <w:r>
            <w:rPr>
              <w:rStyle w:val="Hyperlink"/>
            </w:rPr>
            <w:t xml:space="preserve">Source link</w:t>
          </w:r>
        </w:hyperlink>
      </w:hyperlink>
    </w:p>
    <w:p>
      <w:pPr>
        <w:numPr>
          <w:ilvl w:val="0"/>
          <w:numId w:val="1039"/>
        </w:numPr>
        <w:pStyle w:val="Compact"/>
      </w:pPr>
      <w:hyperlink r:id="rId70">
        <w:hyperlink r:id="rId70">
          <w:r>
            <w:rPr>
              <w:rStyle w:val="Hyperlink"/>
            </w:rPr>
            <w:t xml:space="preserve">Source link</w:t>
          </w:r>
        </w:hyperlink>
      </w:hyperlink>
    </w:p>
    <w:p>
      <w:pPr>
        <w:numPr>
          <w:ilvl w:val="0"/>
          <w:numId w:val="1039"/>
        </w:numPr>
        <w:pStyle w:val="Compact"/>
      </w:pPr>
      <w:hyperlink r:id="rId71">
        <w:hyperlink r:id="rId71">
          <w:r>
            <w:rPr>
              <w:rStyle w:val="Hyperlink"/>
            </w:rPr>
            <w:t xml:space="preserve">Source link</w:t>
          </w:r>
        </w:hyperlink>
      </w:hyperlink>
    </w:p>
    <w:p>
      <w:pPr>
        <w:numPr>
          <w:ilvl w:val="0"/>
          <w:numId w:val="1039"/>
        </w:numPr>
        <w:pStyle w:val="Compact"/>
      </w:pPr>
      <w:hyperlink r:id="rId72">
        <w:r>
          <w:rPr>
            <w:rStyle w:val="Hyperlink"/>
          </w:rPr>
          <w:t xml:space="preserve">https://www.apprenticeship.gov/</w:t>
        </w:r>
      </w:hyperlink>
    </w:p>
    <w:p>
      <w:pPr>
        <w:numPr>
          <w:ilvl w:val="0"/>
          <w:numId w:val="1039"/>
        </w:numPr>
        <w:pStyle w:val="Compact"/>
      </w:pPr>
      <w:hyperlink r:id="rId73">
        <w:hyperlink r:id="rId73">
          <w:r>
            <w:rPr>
              <w:rStyle w:val="Hyperlink"/>
            </w:rPr>
            <w:t xml:space="preserve">Source link</w:t>
          </w:r>
        </w:hyperlink>
      </w:hyperlink>
    </w:p>
    <w:p>
      <w:pPr>
        <w:numPr>
          <w:ilvl w:val="0"/>
          <w:numId w:val="1039"/>
        </w:numPr>
        <w:pStyle w:val="Compact"/>
      </w:pPr>
      <w:hyperlink r:id="rId74">
        <w:hyperlink r:id="rId74">
          <w:r>
            <w:rPr>
              <w:rStyle w:val="Hyperlink"/>
            </w:rPr>
            <w:t xml:space="preserve">Source link</w:t>
          </w:r>
        </w:hyperlink>
      </w:hyperlink>
    </w:p>
    <w:p>
      <w:pPr>
        <w:numPr>
          <w:ilvl w:val="0"/>
          <w:numId w:val="1039"/>
        </w:numPr>
        <w:pStyle w:val="Compact"/>
      </w:pPr>
      <w:hyperlink r:id="rId75">
        <w:hyperlink r:id="rId75">
          <w:r>
            <w:rPr>
              <w:rStyle w:val="Hyperlink"/>
            </w:rPr>
            <w:t xml:space="preserve">Source link</w:t>
          </w:r>
        </w:hyperlink>
      </w:hyperlink>
    </w:p>
    <w:p>
      <w:pPr>
        <w:numPr>
          <w:ilvl w:val="0"/>
          <w:numId w:val="1039"/>
        </w:numPr>
        <w:pStyle w:val="Compact"/>
      </w:pPr>
      <w:hyperlink r:id="rId76">
        <w:hyperlink r:id="rId76">
          <w:r>
            <w:rPr>
              <w:rStyle w:val="Hyperlink"/>
            </w:rPr>
            <w:t xml:space="preserve">Source link</w:t>
          </w:r>
        </w:hyperlink>
      </w:hyperlink>
    </w:p>
    <w:p>
      <w:pPr>
        <w:numPr>
          <w:ilvl w:val="0"/>
          <w:numId w:val="1039"/>
        </w:numPr>
        <w:pStyle w:val="Compact"/>
      </w:pPr>
      <w:hyperlink r:id="rId77">
        <w:hyperlink r:id="rId77">
          <w:r>
            <w:rPr>
              <w:rStyle w:val="Hyperlink"/>
            </w:rPr>
            <w:t xml:space="preserve">Source link</w:t>
          </w:r>
        </w:hyperlink>
      </w:hyperlink>
    </w:p>
    <w:p>
      <w:pPr>
        <w:numPr>
          <w:ilvl w:val="0"/>
          <w:numId w:val="1039"/>
        </w:numPr>
        <w:pStyle w:val="Compact"/>
      </w:pPr>
      <w:hyperlink r:id="rId78">
        <w:hyperlink r:id="rId78">
          <w:r>
            <w:rPr>
              <w:rStyle w:val="Hyperlink"/>
            </w:rPr>
            <w:t xml:space="preserve">Source link</w:t>
          </w:r>
        </w:hyperlink>
      </w:hyperlink>
    </w:p>
    <w:p>
      <w:pPr>
        <w:numPr>
          <w:ilvl w:val="0"/>
          <w:numId w:val="1039"/>
        </w:numPr>
        <w:pStyle w:val="Compact"/>
      </w:pPr>
      <w:hyperlink r:id="rId79">
        <w:hyperlink r:id="rId79">
          <w:r>
            <w:rPr>
              <w:rStyle w:val="Hyperlink"/>
            </w:rPr>
            <w:t xml:space="preserve">Source link</w:t>
          </w:r>
        </w:hyperlink>
      </w:hyperlink>
    </w:p>
    <w:p>
      <w:pPr>
        <w:numPr>
          <w:ilvl w:val="0"/>
          <w:numId w:val="1039"/>
        </w:numPr>
        <w:pStyle w:val="Compact"/>
      </w:pPr>
      <w:hyperlink r:id="rId80">
        <w:hyperlink r:id="rId80">
          <w:r>
            <w:rPr>
              <w:rStyle w:val="Hyperlink"/>
            </w:rPr>
            <w:t xml:space="preserve">Source link</w:t>
          </w:r>
        </w:hyperlink>
      </w:hyperlink>
    </w:p>
    <w:p>
      <w:pPr>
        <w:numPr>
          <w:ilvl w:val="0"/>
          <w:numId w:val="1039"/>
        </w:numPr>
        <w:pStyle w:val="Compact"/>
      </w:pPr>
      <w:hyperlink r:id="rId81">
        <w:hyperlink r:id="rId81">
          <w:r>
            <w:rPr>
              <w:rStyle w:val="Hyperlink"/>
            </w:rPr>
            <w:t xml:space="preserve">Source link</w:t>
          </w:r>
        </w:hyperlink>
      </w:hyperlink>
    </w:p>
    <w:p>
      <w:pPr>
        <w:numPr>
          <w:ilvl w:val="0"/>
          <w:numId w:val="1039"/>
        </w:numPr>
        <w:pStyle w:val="Compact"/>
      </w:pPr>
      <w:hyperlink r:id="rId82">
        <w:hyperlink r:id="rId82">
          <w:r>
            <w:rPr>
              <w:rStyle w:val="Hyperlink"/>
            </w:rPr>
            <w:t xml:space="preserve">Source link</w:t>
          </w:r>
        </w:hyperlink>
      </w:hyperlink>
    </w:p>
    <w:p>
      <w:pPr>
        <w:numPr>
          <w:ilvl w:val="0"/>
          <w:numId w:val="1039"/>
        </w:numPr>
        <w:pStyle w:val="Compact"/>
      </w:pPr>
      <w:hyperlink r:id="rId83">
        <w:hyperlink r:id="rId83">
          <w:r>
            <w:rPr>
              <w:rStyle w:val="Hyperlink"/>
            </w:rPr>
            <w:t xml:space="preserve">Source link</w:t>
          </w:r>
        </w:hyperlink>
      </w:hyperlink>
    </w:p>
    <w:p>
      <w:pPr>
        <w:numPr>
          <w:ilvl w:val="0"/>
          <w:numId w:val="1039"/>
        </w:numPr>
        <w:pStyle w:val="Compact"/>
      </w:pPr>
      <w:hyperlink r:id="rId84">
        <w:hyperlink r:id="rId84">
          <w:r>
            <w:rPr>
              <w:rStyle w:val="Hyperlink"/>
            </w:rPr>
            <w:t xml:space="preserve">Source link</w:t>
          </w:r>
        </w:hyperlink>
      </w:hyperlink>
    </w:p>
    <w:p>
      <w:pPr>
        <w:numPr>
          <w:ilvl w:val="0"/>
          <w:numId w:val="1039"/>
        </w:numPr>
        <w:pStyle w:val="Compact"/>
      </w:pPr>
      <w:hyperlink r:id="rId85">
        <w:r>
          <w:rPr>
            <w:rStyle w:val="Hyperlink"/>
          </w:rPr>
          <w:t xml:space="preserve">https://escuela.sencico.gob.pe/</w:t>
        </w:r>
      </w:hyperlink>
    </w:p>
    <w:p>
      <w:pPr>
        <w:numPr>
          <w:ilvl w:val="0"/>
          <w:numId w:val="1039"/>
        </w:numPr>
        <w:pStyle w:val="Compact"/>
      </w:pPr>
      <w:hyperlink r:id="rId86">
        <w:r>
          <w:rPr>
            <w:rStyle w:val="Hyperlink"/>
          </w:rPr>
          <w:t xml:space="preserve">https://escuela.sencico.gob.pe/edificacines/</w:t>
        </w:r>
      </w:hyperlink>
    </w:p>
    <w:p>
      <w:pPr>
        <w:numPr>
          <w:ilvl w:val="0"/>
          <w:numId w:val="1039"/>
        </w:numPr>
        <w:pStyle w:val="Compact"/>
      </w:pPr>
      <w:hyperlink r:id="rId87">
        <w:hyperlink r:id="rId87">
          <w:r>
            <w:rPr>
              <w:rStyle w:val="Hyperlink"/>
            </w:rPr>
            <w:t xml:space="preserve">Source link</w:t>
          </w:r>
        </w:hyperlink>
      </w:hyperlink>
    </w:p>
    <w:p>
      <w:pPr>
        <w:numPr>
          <w:ilvl w:val="0"/>
          <w:numId w:val="1039"/>
        </w:numPr>
        <w:pStyle w:val="Compact"/>
      </w:pPr>
      <w:hyperlink r:id="rId88">
        <w:r>
          <w:rPr>
            <w:rStyle w:val="Hyperlink"/>
          </w:rPr>
          <w:t xml:space="preserve">https://cnct.mec.gov.br/</w:t>
        </w:r>
      </w:hyperlink>
    </w:p>
    <w:p>
      <w:pPr>
        <w:numPr>
          <w:ilvl w:val="0"/>
          <w:numId w:val="1039"/>
        </w:numPr>
        <w:pStyle w:val="Compact"/>
      </w:pPr>
      <w:hyperlink r:id="rId89">
        <w:r>
          <w:rPr>
            <w:rStyle w:val="Hyperlink"/>
          </w:rPr>
          <w:t xml:space="preserve">https://www.osha.gov/construction</w:t>
        </w:r>
      </w:hyperlink>
    </w:p>
    <w:p>
      <w:pPr>
        <w:numPr>
          <w:ilvl w:val="0"/>
          <w:numId w:val="1039"/>
        </w:numPr>
        <w:pStyle w:val="Compact"/>
      </w:pPr>
      <w:hyperlink r:id="rId90">
        <w:hyperlink r:id="rId90">
          <w:r>
            <w:rPr>
              <w:rStyle w:val="Hyperlink"/>
            </w:rPr>
            <w:t xml:space="preserve">Source link</w:t>
          </w:r>
        </w:hyperlink>
      </w:hyperlink>
    </w:p>
    <w:p>
      <w:pPr>
        <w:numPr>
          <w:ilvl w:val="0"/>
          <w:numId w:val="1039"/>
        </w:numPr>
        <w:pStyle w:val="Compact"/>
      </w:pPr>
      <w:hyperlink r:id="rId91">
        <w:hyperlink r:id="rId91">
          <w:r>
            <w:rPr>
              <w:rStyle w:val="Hyperlink"/>
            </w:rPr>
            <w:t xml:space="preserve">Source link</w:t>
          </w:r>
        </w:hyperlink>
      </w:hyperlink>
    </w:p>
    <w:p>
      <w:pPr>
        <w:numPr>
          <w:ilvl w:val="0"/>
          <w:numId w:val="1039"/>
        </w:numPr>
        <w:pStyle w:val="Compact"/>
      </w:pPr>
      <w:hyperlink r:id="rId92">
        <w:hyperlink r:id="rId92">
          <w:r>
            <w:rPr>
              <w:rStyle w:val="Hyperlink"/>
            </w:rPr>
            <w:t xml:space="preserve">Source link</w:t>
          </w:r>
        </w:hyperlink>
      </w:hyperlink>
    </w:p>
    <w:bookmarkEnd w:id="93"/>
    <w:bookmarkStart w:id="94" w:name="limites-importantes"/>
    <w:p>
      <w:pPr>
        <w:pStyle w:val="Heading2"/>
      </w:pPr>
      <w:r>
        <w:t xml:space="preserve">Limites importantes</w:t>
      </w:r>
    </w:p>
    <w:p>
      <w:pPr>
        <w:pStyle w:val="FirstParagraph"/>
      </w:pPr>
      <w:r>
        <w:t xml:space="preserve">Este guia oferece informações educacionais e de planejamento de carreira. Não garante emprego, remuneração, admissão, financiamento, certificação, licença, autoridade profissional de engenharia, aprovação de projeto, aceitação de ensaios, segurança da construção, promoção ou qualquer outro resultado. Não constitui certificação jurídica, de engenharia, levantamento, geotecnia, construção, segurança ocupacional, cibersegurança, privacidade, finanças ou acessibilidade. Disponibilidade de treinamento, regulamentos, salários, escopos profissionais e requisitos de empregadores podem mudar. As edições linguísticas criadas por este projeto são localizações controladas, não traduções certificadas.</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betowa.sena.edu.co/oferta/construccion-de-edificaciones?location=57023001&amp;modality=P&amp;offertype=company&amp;programId=195656" TargetMode="External" /><Relationship Type="http://schemas.openxmlformats.org/officeDocument/2006/relationships/hyperlink" Id="rId82" Target="https://betowa.sena.edu.co/oferta/construccion-de-vias?modality=P&amp;offertype=company&amp;programId=169375&amp;technology=4" TargetMode="External" /><Relationship Type="http://schemas.openxmlformats.org/officeDocument/2006/relationships/hyperlink" Id="rId83" Target="https://betowa.sena.edu.co/oferta/costos-y-presupuestos-para-edificaciones-i-generalidades?modality=V" TargetMode="External" /><Relationship Type="http://schemas.openxmlformats.org/officeDocument/2006/relationships/hyperlink" Id="rId84" Target="https://certificacion.chilevalora.cl/ChileValora-publica/perfilesEdit.html?paramRequest=2104" TargetMode="External" /><Relationship Type="http://schemas.openxmlformats.org/officeDocument/2006/relationships/hyperlink" Id="rId88" Target="https://cnct.mec.gov.br/" TargetMode="External" /><Relationship Type="http://schemas.openxmlformats.org/officeDocument/2006/relationships/hyperlink" Id="rId85" Target="https://escuela.sencico.gob.pe/" TargetMode="External" /><Relationship Type="http://schemas.openxmlformats.org/officeDocument/2006/relationships/hyperlink" Id="rId86" Target="https://escuela.sencico.gob.pe/edificacines/" TargetMode="External" /><Relationship Type="http://schemas.openxmlformats.org/officeDocument/2006/relationships/hyperlink" Id="rId80" Target="https://ocupacol.mintrabajo.gov.co/Profile/OccupationalProfile/31121" TargetMode="External" /><Relationship Type="http://schemas.openxmlformats.org/officeDocument/2006/relationships/hyperlink" Id="rId72" Target="https://www.apprenticeship.gov/" TargetMode="External" /><Relationship Type="http://schemas.openxmlformats.org/officeDocument/2006/relationships/hyperlink" Id="rId67" Target="https://www.bls.gov/ooh/architecture-and-engineering/civil-engineering-technicians.htm" TargetMode="External" /><Relationship Type="http://schemas.openxmlformats.org/officeDocument/2006/relationships/hyperlink" Id="rId78" Target="https://www.canada.ca/en/services/benefits/education/student-aid.html" TargetMode="External" /><Relationship Type="http://schemas.openxmlformats.org/officeDocument/2006/relationships/hyperlink" Id="rId79" Target="https://www.canada.ca/en/services/jobs/training/support-skilled-trades-apprentices/grants.html" TargetMode="External" /><Relationship Type="http://schemas.openxmlformats.org/officeDocument/2006/relationships/hyperlink" Id="rId71" Target="https://www.careeronestop.org/LocalHelp/AmericanJobCenters/american-job-centers.aspx" TargetMode="External" /><Relationship Type="http://schemas.openxmlformats.org/officeDocument/2006/relationships/hyperlink" Id="rId70" Target="https://www.careeronestop.org/LocalHelp/EmploymentAndTraining/find-WIOA-training-programs.aspx" TargetMode="External" /><Relationship Type="http://schemas.openxmlformats.org/officeDocument/2006/relationships/hyperlink" Id="rId87" Target="https://www.gov.br/mec/pt-br/media/acesso_informacacao/pdf-arq/cnct_3a_edicao.pdf" TargetMode="External" /><Relationship Type="http://schemas.openxmlformats.org/officeDocument/2006/relationships/hyperlink" Id="rId77" Target="https://www.jobbank.gc.ca/marketreport/requirements/17963/ca" TargetMode="External" /><Relationship Type="http://schemas.openxmlformats.org/officeDocument/2006/relationships/hyperlink" Id="rId75" Target="https://www.jobbank.gc.ca/marketreport/summary-occupation/17964/ca" TargetMode="External" /><Relationship Type="http://schemas.openxmlformats.org/officeDocument/2006/relationships/hyperlink" Id="rId76" Target="https://www.jobbank.gc.ca/wagereport/occupation/17997"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8" Target="https://www.onetonline.org/link/details/17-3022.00" TargetMode="External" /><Relationship Type="http://schemas.openxmlformats.org/officeDocument/2006/relationships/hyperlink" Id="rId69" Target="https://www.onetonline.org/link/localwages/17-3022.00" TargetMode="External" /><Relationship Type="http://schemas.openxmlformats.org/officeDocument/2006/relationships/hyperlink" Id="rId89" Target="https://www.osha.gov/construction" TargetMode="External" /><Relationship Type="http://schemas.openxmlformats.org/officeDocument/2006/relationships/hyperlink" Id="rId90" Target="https://www.osha.gov/silica-crystalline/construction" TargetMode="External" /><Relationship Type="http://schemas.openxmlformats.org/officeDocument/2006/relationships/hyperlink" Id="rId74" Target="https://www.salary.com/research/salary/listing/civil-engineering-technician-salary" TargetMode="External" /><Relationship Type="http://schemas.openxmlformats.org/officeDocument/2006/relationships/hyperlink" Id="rId73" Target="https://www.ziprecruiter.com/Salaries/Civil-Engineering-Technician-Salary" TargetMode="External" /></Relationships>
</file>

<file path=word/_rels/footnotes.xml.rels><?xml version="1.0" encoding="UTF-8"?><Relationships xmlns="http://schemas.openxmlformats.org/package/2006/relationships"><Relationship Type="http://schemas.openxmlformats.org/officeDocument/2006/relationships/hyperlink" Id="rId81" Target="https://betowa.sena.edu.co/oferta/construccion-de-edificaciones?location=57023001&amp;modality=P&amp;offertype=company&amp;programId=195656" TargetMode="External" /><Relationship Type="http://schemas.openxmlformats.org/officeDocument/2006/relationships/hyperlink" Id="rId82" Target="https://betowa.sena.edu.co/oferta/construccion-de-vias?modality=P&amp;offertype=company&amp;programId=169375&amp;technology=4" TargetMode="External" /><Relationship Type="http://schemas.openxmlformats.org/officeDocument/2006/relationships/hyperlink" Id="rId83" Target="https://betowa.sena.edu.co/oferta/costos-y-presupuestos-para-edificaciones-i-generalidades?modality=V" TargetMode="External" /><Relationship Type="http://schemas.openxmlformats.org/officeDocument/2006/relationships/hyperlink" Id="rId84" Target="https://certificacion.chilevalora.cl/ChileValora-publica/perfilesEdit.html?paramRequest=2104" TargetMode="External" /><Relationship Type="http://schemas.openxmlformats.org/officeDocument/2006/relationships/hyperlink" Id="rId88" Target="https://cnct.mec.gov.br/" TargetMode="External" /><Relationship Type="http://schemas.openxmlformats.org/officeDocument/2006/relationships/hyperlink" Id="rId85" Target="https://escuela.sencico.gob.pe/" TargetMode="External" /><Relationship Type="http://schemas.openxmlformats.org/officeDocument/2006/relationships/hyperlink" Id="rId86" Target="https://escuela.sencico.gob.pe/edificacines/" TargetMode="External" /><Relationship Type="http://schemas.openxmlformats.org/officeDocument/2006/relationships/hyperlink" Id="rId80" Target="https://ocupacol.mintrabajo.gov.co/Profile/OccupationalProfile/31121" TargetMode="External" /><Relationship Type="http://schemas.openxmlformats.org/officeDocument/2006/relationships/hyperlink" Id="rId72" Target="https://www.apprenticeship.gov/" TargetMode="External" /><Relationship Type="http://schemas.openxmlformats.org/officeDocument/2006/relationships/hyperlink" Id="rId67" Target="https://www.bls.gov/ooh/architecture-and-engineering/civil-engineering-technicians.htm" TargetMode="External" /><Relationship Type="http://schemas.openxmlformats.org/officeDocument/2006/relationships/hyperlink" Id="rId78" Target="https://www.canada.ca/en/services/benefits/education/student-aid.html" TargetMode="External" /><Relationship Type="http://schemas.openxmlformats.org/officeDocument/2006/relationships/hyperlink" Id="rId79" Target="https://www.canada.ca/en/services/jobs/training/support-skilled-trades-apprentices/grants.html" TargetMode="External" /><Relationship Type="http://schemas.openxmlformats.org/officeDocument/2006/relationships/hyperlink" Id="rId71" Target="https://www.careeronestop.org/LocalHelp/AmericanJobCenters/american-job-centers.aspx" TargetMode="External" /><Relationship Type="http://schemas.openxmlformats.org/officeDocument/2006/relationships/hyperlink" Id="rId70" Target="https://www.careeronestop.org/LocalHelp/EmploymentAndTraining/find-WIOA-training-programs.aspx" TargetMode="External" /><Relationship Type="http://schemas.openxmlformats.org/officeDocument/2006/relationships/hyperlink" Id="rId87" Target="https://www.gov.br/mec/pt-br/media/acesso_informacacao/pdf-arq/cnct_3a_edicao.pdf" TargetMode="External" /><Relationship Type="http://schemas.openxmlformats.org/officeDocument/2006/relationships/hyperlink" Id="rId77" Target="https://www.jobbank.gc.ca/marketreport/requirements/17963/ca" TargetMode="External" /><Relationship Type="http://schemas.openxmlformats.org/officeDocument/2006/relationships/hyperlink" Id="rId75" Target="https://www.jobbank.gc.ca/marketreport/summary-occupation/17964/ca" TargetMode="External" /><Relationship Type="http://schemas.openxmlformats.org/officeDocument/2006/relationships/hyperlink" Id="rId76" Target="https://www.jobbank.gc.ca/wagereport/occupation/17997"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8" Target="https://www.onetonline.org/link/details/17-3022.00" TargetMode="External" /><Relationship Type="http://schemas.openxmlformats.org/officeDocument/2006/relationships/hyperlink" Id="rId69" Target="https://www.onetonline.org/link/localwages/17-3022.00" TargetMode="External" /><Relationship Type="http://schemas.openxmlformats.org/officeDocument/2006/relationships/hyperlink" Id="rId89" Target="https://www.osha.gov/construction" TargetMode="External" /><Relationship Type="http://schemas.openxmlformats.org/officeDocument/2006/relationships/hyperlink" Id="rId90" Target="https://www.osha.gov/silica-crystalline/construction" TargetMode="External" /><Relationship Type="http://schemas.openxmlformats.org/officeDocument/2006/relationships/hyperlink" Id="rId74" Target="https://www.salary.com/research/salary/listing/civil-engineering-technician-salary" TargetMode="External" /><Relationship Type="http://schemas.openxmlformats.org/officeDocument/2006/relationships/hyperlink" Id="rId73" Target="https://www.ziprecruiter.com/Salaries/Civil-Engineering-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2026-08-22T15:20:12Z</dcterms:created>
  <dcterms:modified xsi:type="dcterms:W3CDTF">2026-08-22T15:20:12Z</dcterms:modified>
</cp:coreProperties>
</file>

<file path=docProps/custom.xml><?xml version="1.0" encoding="utf-8"?>
<Properties xmlns="http://schemas.openxmlformats.org/officeDocument/2006/custom-properties" xmlns:vt="http://schemas.openxmlformats.org/officeDocument/2006/docPropsVTypes"/>
</file>