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1170466094aa5a65b4d7004d7a9d152543b182f"/>
    <w:p>
      <w:pPr>
        <w:pStyle w:val="Heading1"/>
      </w:pPr>
      <w:r>
        <w:t xml:space="preserve">Guía de Oportunidades de por Vida 97 — Técnico/a en Ingeniería Mecánica</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w:t>
      </w:r>
      <w:r>
        <w:rPr>
          <w:rStyle w:val="VerbatimChar"/>
        </w:rPr>
        <w:t xml:space="preserve">es-419</w:t>
      </w:r>
      <w:r>
        <w:t xml:space="preserve">)</w:t>
      </w:r>
      <w:r>
        <w:br/>
      </w:r>
      <w:r>
        <w:rPr>
          <w:bCs/>
          <w:b/>
        </w:rPr>
        <w:t xml:space="preserve">Referencia ocupacional de EE. UU.:</w:t>
      </w:r>
      <w:r>
        <w:t xml:space="preserve"> </w:t>
      </w:r>
      <w:r>
        <w:t xml:space="preserve">O*NET-SOC 17-3027.00 — Mechanical Engineering Technologists and Technicians</w:t>
      </w:r>
      <w:r>
        <w:br/>
      </w:r>
      <w:r>
        <w:rPr>
          <w:bCs/>
          <w:b/>
        </w:rPr>
        <w:t xml:space="preserve">Comparación con Canadá:</w:t>
      </w:r>
      <w:r>
        <w:t xml:space="preserve"> </w:t>
      </w:r>
      <w:r>
        <w:t xml:space="preserve">NOC 22301 — Mechanical engineering technologists and technicians</w:t>
      </w:r>
      <w:r>
        <w:br/>
      </w:r>
      <w:r>
        <w:rPr>
          <w:bCs/>
          <w:b/>
        </w:rPr>
        <w:t xml:space="preserve">Comparación con Colombia:</w:t>
      </w:r>
      <w:r>
        <w:t xml:space="preserve"> </w:t>
      </w:r>
      <w:r>
        <w:t xml:space="preserve">CUOC 31150 — Técnicos en ingeniería mecánica</w:t>
      </w:r>
      <w:r>
        <w:br/>
      </w:r>
      <w:r>
        <w:rPr>
          <w:bCs/>
          <w:b/>
        </w:rPr>
        <w:t xml:space="preserve">Fecha de revisión:</w:t>
      </w:r>
      <w:r>
        <w:t xml:space="preserve"> </w:t>
      </w:r>
      <w:r>
        <w:t xml:space="preserve">2026-08-22</w:t>
      </w:r>
    </w:p>
    <w:bookmarkStart w:id="20" w:name="qué-es-esta-carrera"/>
    <w:p>
      <w:pPr>
        <w:pStyle w:val="Heading2"/>
      </w:pPr>
      <w:r>
        <w:t xml:space="preserve">Qué es esta carrera</w:t>
      </w:r>
    </w:p>
    <w:p>
      <w:pPr>
        <w:pStyle w:val="FirstParagraph"/>
      </w:pPr>
      <w:r>
        <w:t xml:space="preserve">Los técnicos y tecnólogos en ingeniería mecánica ayudan a convertir ideas de ingeniería en piezas, máquinas, pruebas, registros y mejoras de producción que funcionen. Pueden apoyar a ingenieros con planos, prototipos, mediciones, preparación de equipos, pruebas, diagnóstico de problemas, mantenimiento, manufactura, control de calidad, análisis de fallas y documentación técnica.</w:t>
      </w:r>
    </w:p>
    <w:p>
      <w:pPr>
        <w:pStyle w:val="BodyText"/>
      </w:pPr>
      <w:r>
        <w:t xml:space="preserve">El título exacto varía. Los empleadores pueden usar nombres como técnico en ingeniería mecánica, técnico mecánico, técnico de ingeniería, técnico de ingeniería de manufactura, técnico de procesos, técnico de laboratorio de ingeniería, diseñador mecánico, técnico de pruebas, técnico de confiabilidad o tecnólogo de ingeniería.</w:t>
      </w:r>
    </w:p>
    <w:p>
      <w:pPr>
        <w:pStyle w:val="BodyText"/>
      </w:pPr>
      <w:r>
        <w:t xml:space="preserve">Esta guía usa</w:t>
      </w:r>
      <w:r>
        <w:t xml:space="preserve"> </w:t>
      </w:r>
      <w:r>
        <w:rPr>
          <w:bCs/>
          <w:b/>
        </w:rPr>
        <w:t xml:space="preserve">O*NET-SOC 17-3027.00 — Mechanical Engineering Technologists and Technicians</w:t>
      </w:r>
      <w:r>
        <w:t xml:space="preserve"> </w:t>
      </w:r>
      <w:r>
        <w:t xml:space="preserve">como referencia principal de EE. UU.,</w:t>
      </w:r>
      <w:r>
        <w:t xml:space="preserve"> </w:t>
      </w:r>
      <w:r>
        <w:rPr>
          <w:bCs/>
          <w:b/>
        </w:rPr>
        <w:t xml:space="preserve">NOC 22301</w:t>
      </w:r>
      <w:r>
        <w:t xml:space="preserve"> </w:t>
      </w:r>
      <w:r>
        <w:t xml:space="preserve">como comparación canadiense y</w:t>
      </w:r>
      <w:r>
        <w:t xml:space="preserve"> </w:t>
      </w:r>
      <w:r>
        <w:rPr>
          <w:bCs/>
          <w:b/>
        </w:rPr>
        <w:t xml:space="preserve">CUOC 31150</w:t>
      </w:r>
      <w:r>
        <w:t xml:space="preserve"> </w:t>
      </w:r>
      <w:r>
        <w:t xml:space="preserve">como comparación colombiana. Estas clasificaciones se superponen, pero no son idénticas.</w:t>
      </w:r>
    </w:p>
    <w:p>
      <w:pPr>
        <w:pStyle w:val="BodyText"/>
      </w:pPr>
      <w:r>
        <w:t xml:space="preserve">El rol no equivale a ser ingeniero profesional con licencia. Un técnico puede realizar trabajo técnico sofisticado, pero la autoridad para aprobar o firmar diseños de ingeniería, cálculos regulados, cambios críticos para la seguridad o decisiones de cumplimiento depende del empleador, la jurisdicción, el proyecto, la credencial y la responsabilidad delegada.</w:t>
      </w:r>
    </w:p>
    <w:bookmarkEnd w:id="20"/>
    <w:bookmarkStart w:id="21" w:name="X346acdf6c862651f65994ba8236d11aa18a322c"/>
    <w:p>
      <w:pPr>
        <w:pStyle w:val="Heading2"/>
      </w:pPr>
      <w:r>
        <w:t xml:space="preserve">Por qué este rol puede ser una oportunidad</w:t>
      </w:r>
    </w:p>
    <w:p>
      <w:pPr>
        <w:pStyle w:val="FirstParagraph"/>
      </w:pPr>
      <w:r>
        <w:t xml:space="preserve">La tecnología de ingeniería mecánica combina resolución práctica de problemas con matemáticas, herramientas, medición, software de diseño, pruebas, documentación y trabajo en equipo. Puede ser adecuada para personas que disfrutan entender cómo funcionan las cosas y mejorarlas de manera sistemática.</w:t>
      </w:r>
    </w:p>
    <w:p>
      <w:pPr>
        <w:pStyle w:val="BodyText"/>
      </w:pPr>
      <w:r>
        <w:t xml:space="preserve">Experiencias transferibles pueden incluir:</w:t>
      </w:r>
    </w:p>
    <w:p>
      <w:pPr>
        <w:numPr>
          <w:ilvl w:val="0"/>
          <w:numId w:val="1001"/>
        </w:numPr>
        <w:pStyle w:val="Compact"/>
      </w:pPr>
      <w:r>
        <w:t xml:space="preserve">mantenimiento industrial;</w:t>
      </w:r>
    </w:p>
    <w:p>
      <w:pPr>
        <w:numPr>
          <w:ilvl w:val="0"/>
          <w:numId w:val="1001"/>
        </w:numPr>
        <w:pStyle w:val="Compact"/>
      </w:pPr>
      <w:r>
        <w:t xml:space="preserve">maquinado o trabajo CNC;</w:t>
      </w:r>
    </w:p>
    <w:p>
      <w:pPr>
        <w:numPr>
          <w:ilvl w:val="0"/>
          <w:numId w:val="1001"/>
        </w:numPr>
        <w:pStyle w:val="Compact"/>
      </w:pPr>
      <w:r>
        <w:t xml:space="preserve">servicio automotriz o diésel;</w:t>
      </w:r>
    </w:p>
    <w:p>
      <w:pPr>
        <w:numPr>
          <w:ilvl w:val="0"/>
          <w:numId w:val="1001"/>
        </w:numPr>
        <w:pStyle w:val="Compact"/>
      </w:pPr>
      <w:r>
        <w:t xml:space="preserve">HVAC o refrigeración;</w:t>
      </w:r>
    </w:p>
    <w:p>
      <w:pPr>
        <w:numPr>
          <w:ilvl w:val="0"/>
          <w:numId w:val="1001"/>
        </w:numPr>
        <w:pStyle w:val="Compact"/>
      </w:pPr>
      <w:r>
        <w:t xml:space="preserve">soldadura o fabricación;</w:t>
      </w:r>
    </w:p>
    <w:p>
      <w:pPr>
        <w:numPr>
          <w:ilvl w:val="0"/>
          <w:numId w:val="1001"/>
        </w:numPr>
        <w:pStyle w:val="Compact"/>
      </w:pPr>
      <w:r>
        <w:t xml:space="preserve">inspección de calidad;</w:t>
      </w:r>
    </w:p>
    <w:p>
      <w:pPr>
        <w:numPr>
          <w:ilvl w:val="0"/>
          <w:numId w:val="1001"/>
        </w:numPr>
        <w:pStyle w:val="Compact"/>
      </w:pPr>
      <w:r>
        <w:t xml:space="preserve">CAD o dibujo técnico;</w:t>
      </w:r>
    </w:p>
    <w:p>
      <w:pPr>
        <w:numPr>
          <w:ilvl w:val="0"/>
          <w:numId w:val="1001"/>
        </w:numPr>
        <w:pStyle w:val="Compact"/>
      </w:pPr>
      <w:r>
        <w:t xml:space="preserve">electrónica o mecatrónica;</w:t>
      </w:r>
    </w:p>
    <w:p>
      <w:pPr>
        <w:numPr>
          <w:ilvl w:val="0"/>
          <w:numId w:val="1001"/>
        </w:numPr>
        <w:pStyle w:val="Compact"/>
      </w:pPr>
      <w:r>
        <w:t xml:space="preserve">operaciones de producción;</w:t>
      </w:r>
    </w:p>
    <w:p>
      <w:pPr>
        <w:numPr>
          <w:ilvl w:val="0"/>
          <w:numId w:val="1001"/>
        </w:numPr>
        <w:pStyle w:val="Compact"/>
      </w:pPr>
      <w:r>
        <w:t xml:space="preserve">trabajo de laboratorio;</w:t>
      </w:r>
    </w:p>
    <w:p>
      <w:pPr>
        <w:numPr>
          <w:ilvl w:val="0"/>
          <w:numId w:val="1001"/>
        </w:numPr>
        <w:pStyle w:val="Compact"/>
      </w:pPr>
      <w:r>
        <w:t xml:space="preserve">experiencia técnica militar;</w:t>
      </w:r>
    </w:p>
    <w:p>
      <w:pPr>
        <w:numPr>
          <w:ilvl w:val="0"/>
          <w:numId w:val="1001"/>
        </w:numPr>
        <w:pStyle w:val="Compact"/>
      </w:pPr>
      <w:r>
        <w:t xml:space="preserve">supervisión de manufactura;</w:t>
      </w:r>
    </w:p>
    <w:p>
      <w:pPr>
        <w:numPr>
          <w:ilvl w:val="0"/>
          <w:numId w:val="1001"/>
        </w:numPr>
        <w:pStyle w:val="Compact"/>
      </w:pPr>
      <w:r>
        <w:t xml:space="preserve">servicio de campo.</w:t>
      </w:r>
    </w:p>
    <w:p>
      <w:pPr>
        <w:pStyle w:val="FirstParagraph"/>
      </w:pPr>
      <w:r>
        <w:t xml:space="preserve">No es necesario dominar todas las especialidades mecánicas. Una estrategia más sólida es desarrollar una base confiable: leer planos, medir con precisión, documentar cambios, trabajar de forma segura, comprender tolerancias, analizar resultados de pruebas, comunicarse con claridad y saber cuándo escalar a un ingeniero u otro profesional calificado.</w:t>
      </w:r>
    </w:p>
    <w:bookmarkEnd w:id="21"/>
    <w:bookmarkStart w:id="22" w:name="qué-puede-incluir-el-trabajo"/>
    <w:p>
      <w:pPr>
        <w:pStyle w:val="Heading2"/>
      </w:pPr>
      <w:r>
        <w:t xml:space="preserve">Qué puede incluir el trabajo</w:t>
      </w:r>
    </w:p>
    <w:p>
      <w:pPr>
        <w:pStyle w:val="FirstParagraph"/>
      </w:pPr>
      <w:r>
        <w:t xml:space="preserve">Según el empleador, un técnico en ingeniería mecánica puede:</w:t>
      </w:r>
    </w:p>
    <w:p>
      <w:pPr>
        <w:numPr>
          <w:ilvl w:val="0"/>
          <w:numId w:val="1002"/>
        </w:numPr>
        <w:pStyle w:val="Compact"/>
      </w:pPr>
      <w:r>
        <w:t xml:space="preserve">leer planos, bocetos, especificaciones, instrucciones de trabajo y listas de materiales;</w:t>
      </w:r>
    </w:p>
    <w:p>
      <w:pPr>
        <w:numPr>
          <w:ilvl w:val="0"/>
          <w:numId w:val="1002"/>
        </w:numPr>
        <w:pStyle w:val="Compact"/>
      </w:pPr>
      <w:r>
        <w:t xml:space="preserve">preparar o revisar dibujos CAD bajo control de cambios aprobado;</w:t>
      </w:r>
    </w:p>
    <w:p>
      <w:pPr>
        <w:numPr>
          <w:ilvl w:val="0"/>
          <w:numId w:val="1002"/>
        </w:numPr>
        <w:pStyle w:val="Compact"/>
      </w:pPr>
      <w:r>
        <w:t xml:space="preserve">crear distribuciones para maquinaria, conjuntos, dispositivos de prueba o procesos de producción;</w:t>
      </w:r>
    </w:p>
    <w:p>
      <w:pPr>
        <w:numPr>
          <w:ilvl w:val="0"/>
          <w:numId w:val="1002"/>
        </w:numPr>
        <w:pStyle w:val="Compact"/>
      </w:pPr>
      <w:r>
        <w:t xml:space="preserve">ensamblar y desensamblar sistemas mecánicos;</w:t>
      </w:r>
    </w:p>
    <w:p>
      <w:pPr>
        <w:numPr>
          <w:ilvl w:val="0"/>
          <w:numId w:val="1002"/>
        </w:numPr>
        <w:pStyle w:val="Compact"/>
      </w:pPr>
      <w:r>
        <w:t xml:space="preserve">preparar prototipos o equipos de prueba;</w:t>
      </w:r>
    </w:p>
    <w:p>
      <w:pPr>
        <w:numPr>
          <w:ilvl w:val="0"/>
          <w:numId w:val="1002"/>
        </w:numPr>
        <w:pStyle w:val="Compact"/>
      </w:pPr>
      <w:r>
        <w:t xml:space="preserve">seleccionar y conectar instrumentos de medición aprobados;</w:t>
      </w:r>
    </w:p>
    <w:p>
      <w:pPr>
        <w:numPr>
          <w:ilvl w:val="0"/>
          <w:numId w:val="1002"/>
        </w:numPr>
        <w:pStyle w:val="Compact"/>
      </w:pPr>
      <w:r>
        <w:t xml:space="preserve">ejecutar pruebas según procedimientos escritos;</w:t>
      </w:r>
    </w:p>
    <w:p>
      <w:pPr>
        <w:numPr>
          <w:ilvl w:val="0"/>
          <w:numId w:val="1002"/>
        </w:numPr>
        <w:pStyle w:val="Compact"/>
      </w:pPr>
      <w:r>
        <w:t xml:space="preserve">registrar dimensiones, fuerzas, temperaturas, presiones, vibración, velocidad, caudal u otras mediciones;</w:t>
      </w:r>
    </w:p>
    <w:p>
      <w:pPr>
        <w:numPr>
          <w:ilvl w:val="0"/>
          <w:numId w:val="1002"/>
        </w:numPr>
        <w:pStyle w:val="Compact"/>
      </w:pPr>
      <w:r>
        <w:t xml:space="preserve">comparar resultados con especificaciones y criterios de aceptación;</w:t>
      </w:r>
    </w:p>
    <w:p>
      <w:pPr>
        <w:numPr>
          <w:ilvl w:val="0"/>
          <w:numId w:val="1002"/>
        </w:numPr>
        <w:pStyle w:val="Compact"/>
      </w:pPr>
      <w:r>
        <w:t xml:space="preserve">identificar discrepancias y documentarlas con precisión;</w:t>
      </w:r>
    </w:p>
    <w:p>
      <w:pPr>
        <w:numPr>
          <w:ilvl w:val="0"/>
          <w:numId w:val="1002"/>
        </w:numPr>
        <w:pStyle w:val="Compact"/>
      </w:pPr>
      <w:r>
        <w:t xml:space="preserve">apoyar análisis de fallas e investigaciones de acciones correctivas;</w:t>
      </w:r>
    </w:p>
    <w:p>
      <w:pPr>
        <w:numPr>
          <w:ilvl w:val="0"/>
          <w:numId w:val="1002"/>
        </w:numPr>
        <w:pStyle w:val="Compact"/>
      </w:pPr>
      <w:r>
        <w:t xml:space="preserve">preparar informes de prueba, fotografías, gráficos y notas técnicas;</w:t>
      </w:r>
    </w:p>
    <w:p>
      <w:pPr>
        <w:numPr>
          <w:ilvl w:val="0"/>
          <w:numId w:val="1002"/>
        </w:numPr>
        <w:pStyle w:val="Compact"/>
      </w:pPr>
      <w:r>
        <w:t xml:space="preserve">estimar materiales, mano de obra o equipos dentro de la responsabilidad asignada;</w:t>
      </w:r>
    </w:p>
    <w:p>
      <w:pPr>
        <w:numPr>
          <w:ilvl w:val="0"/>
          <w:numId w:val="1002"/>
        </w:numPr>
        <w:pStyle w:val="Compact"/>
      </w:pPr>
      <w:r>
        <w:t xml:space="preserve">preparar órdenes de trabajo o solicitudes de compra;</w:t>
      </w:r>
    </w:p>
    <w:p>
      <w:pPr>
        <w:numPr>
          <w:ilvl w:val="0"/>
          <w:numId w:val="1002"/>
        </w:numPr>
        <w:pStyle w:val="Compact"/>
      </w:pPr>
      <w:r>
        <w:t xml:space="preserve">apoyar procesos de fabricación, maquinado, ensamblaje o manufactura;</w:t>
      </w:r>
    </w:p>
    <w:p>
      <w:pPr>
        <w:numPr>
          <w:ilvl w:val="0"/>
          <w:numId w:val="1002"/>
        </w:numPr>
        <w:pStyle w:val="Compact"/>
      </w:pPr>
      <w:r>
        <w:t xml:space="preserve">ayudar a diagnosticar maquinaria o prototipos;</w:t>
      </w:r>
    </w:p>
    <w:p>
      <w:pPr>
        <w:numPr>
          <w:ilvl w:val="0"/>
          <w:numId w:val="1002"/>
        </w:numPr>
        <w:pStyle w:val="Compact"/>
      </w:pPr>
      <w:r>
        <w:t xml:space="preserve">apoyar programas de mantenimiento preventivo o predictivo;</w:t>
      </w:r>
    </w:p>
    <w:p>
      <w:pPr>
        <w:numPr>
          <w:ilvl w:val="0"/>
          <w:numId w:val="1002"/>
        </w:numPr>
        <w:pStyle w:val="Compact"/>
      </w:pPr>
      <w:r>
        <w:t xml:space="preserve">mantener registros de inspección, calibración, confiabilidad o mantenimiento;</w:t>
      </w:r>
    </w:p>
    <w:p>
      <w:pPr>
        <w:numPr>
          <w:ilvl w:val="0"/>
          <w:numId w:val="1002"/>
        </w:numPr>
        <w:pStyle w:val="Compact"/>
      </w:pPr>
      <w:r>
        <w:t xml:space="preserve">ayudar a coordinar cambios de ingeniería controlados;</w:t>
      </w:r>
    </w:p>
    <w:p>
      <w:pPr>
        <w:numPr>
          <w:ilvl w:val="0"/>
          <w:numId w:val="1002"/>
        </w:numPr>
        <w:pStyle w:val="Compact"/>
      </w:pPr>
      <w:r>
        <w:t xml:space="preserve">verificar que se use la revisión aprobada vigente de un plano o procedimiento;</w:t>
      </w:r>
    </w:p>
    <w:p>
      <w:pPr>
        <w:numPr>
          <w:ilvl w:val="0"/>
          <w:numId w:val="1002"/>
        </w:numPr>
        <w:pStyle w:val="Compact"/>
      </w:pPr>
      <w:r>
        <w:t xml:space="preserve">apoyar inspecciones de calidad y documentación de no conformidades;</w:t>
      </w:r>
    </w:p>
    <w:p>
      <w:pPr>
        <w:numPr>
          <w:ilvl w:val="0"/>
          <w:numId w:val="1002"/>
        </w:numPr>
        <w:pStyle w:val="Compact"/>
      </w:pPr>
      <w:r>
        <w:t xml:space="preserve">asistir a ingenieros en investigación, desarrollo, pruebas de producto o mejora de procesos;</w:t>
      </w:r>
    </w:p>
    <w:p>
      <w:pPr>
        <w:numPr>
          <w:ilvl w:val="0"/>
          <w:numId w:val="1002"/>
        </w:numPr>
        <w:pStyle w:val="Compact"/>
      </w:pPr>
      <w:r>
        <w:t xml:space="preserve">comunicar hallazgos a ingenieros, supervisores, operadores, personal de calidad, proveedores o equipos de mantenimiento.</w:t>
      </w:r>
    </w:p>
    <w:bookmarkEnd w:id="22"/>
    <w:bookmarkStart w:id="27" w:name="X118bd5e54d6c65f7e79522ff8e3ac534db4211f"/>
    <w:p>
      <w:pPr>
        <w:pStyle w:val="Heading2"/>
      </w:pPr>
      <w:r>
        <w:t xml:space="preserve">Técnico, tecnólogo, ingeniero y mecánico no son el mismo rol</w:t>
      </w:r>
    </w:p>
    <w:p>
      <w:pPr>
        <w:pStyle w:val="FirstParagraph"/>
      </w:pPr>
      <w:r>
        <w:t xml:space="preserve">Los títulos varían según empleador y país, pero la diferencia importa.</w:t>
      </w:r>
    </w:p>
    <w:bookmarkStart w:id="23" w:name="técnico-mecánico"/>
    <w:p>
      <w:pPr>
        <w:pStyle w:val="Heading3"/>
      </w:pPr>
      <w:r>
        <w:t xml:space="preserve">Técnico mecánico</w:t>
      </w:r>
    </w:p>
    <w:p>
      <w:pPr>
        <w:pStyle w:val="FirstParagraph"/>
      </w:pPr>
      <w:r>
        <w:t xml:space="preserve">Puede centrarse en pruebas prácticas, ensamblaje, diagnóstico, medición, apoyo al mantenimiento, prototipos, documentación y manufactura.</w:t>
      </w:r>
    </w:p>
    <w:bookmarkEnd w:id="23"/>
    <w:bookmarkStart w:id="24" w:name="tecnólogo-en-ingeniería-mecánica"/>
    <w:p>
      <w:pPr>
        <w:pStyle w:val="Heading3"/>
      </w:pPr>
      <w:r>
        <w:t xml:space="preserve">Tecnólogo en ingeniería mecánica</w:t>
      </w:r>
    </w:p>
    <w:p>
      <w:pPr>
        <w:pStyle w:val="FirstParagraph"/>
      </w:pPr>
      <w:r>
        <w:t xml:space="preserve">Puede tener responsabilidad más amplia sobre CAD, apoyo de diseño, planificación de pruebas, mejora de procesos, coordinación de proyectos, cálculos técnicos o supervisión de trabajo técnico, según su educación y la estructura del empleador.</w:t>
      </w:r>
    </w:p>
    <w:bookmarkEnd w:id="24"/>
    <w:bookmarkStart w:id="25" w:name="ingeniero-mecánico"/>
    <w:p>
      <w:pPr>
        <w:pStyle w:val="Heading3"/>
      </w:pPr>
      <w:r>
        <w:t xml:space="preserve">Ingeniero mecánico</w:t>
      </w:r>
    </w:p>
    <w:p>
      <w:pPr>
        <w:pStyle w:val="FirstParagraph"/>
      </w:pPr>
      <w:r>
        <w:t xml:space="preserve">Normalmente tiene responsabilidad más amplia sobre análisis y diseño de ingeniería y puede contar con licencia o registro profesional donde se exija. Puede ser responsable de decisiones de diseño, cálculos, especificaciones, evaluación de riesgos y aprobaciones fuera de la autoridad de un técnico.</w:t>
      </w:r>
    </w:p>
    <w:bookmarkEnd w:id="25"/>
    <w:bookmarkStart w:id="26" w:name="mecánico-industrial-o-de-mantenimiento"/>
    <w:p>
      <w:pPr>
        <w:pStyle w:val="Heading3"/>
      </w:pPr>
      <w:r>
        <w:t xml:space="preserve">Mecánico industrial o de mantenimiento</w:t>
      </w:r>
    </w:p>
    <w:p>
      <w:pPr>
        <w:pStyle w:val="FirstParagraph"/>
      </w:pPr>
      <w:r>
        <w:t xml:space="preserve">Puede enfocarse más directamente en instalación, mantenimiento, desensamble, reparación, alineación, rodamientos, transmisiones, bombas, compresores, transportadores y maquinaria de producción. Puede haber una superposición importante con el trabajo técnico, pero las clasificaciones, la formación y el alcance legal pueden ser diferentes.</w:t>
      </w:r>
    </w:p>
    <w:p>
      <w:pPr>
        <w:pStyle w:val="BodyText"/>
      </w:pPr>
      <w:r>
        <w:t xml:space="preserve">Siempre siga la descripción real del puesto y las reglas locales, en vez de asumir autoridad por el título.</w:t>
      </w:r>
    </w:p>
    <w:bookmarkEnd w:id="26"/>
    <w:bookmarkEnd w:id="27"/>
    <w:bookmarkStart w:id="32" w:name="habilidades-técnicas-fundamentales"/>
    <w:p>
      <w:pPr>
        <w:pStyle w:val="Heading2"/>
      </w:pPr>
      <w:r>
        <w:t xml:space="preserve">Habilidades técnicas fundamentales</w:t>
      </w:r>
    </w:p>
    <w:bookmarkStart w:id="28" w:name="planos-y-especificaciones-de-ingeniería"/>
    <w:p>
      <w:pPr>
        <w:pStyle w:val="Heading3"/>
      </w:pPr>
      <w:r>
        <w:t xml:space="preserve">Planos y especificaciones de ingeniería</w:t>
      </w:r>
    </w:p>
    <w:p>
      <w:pPr>
        <w:pStyle w:val="FirstParagraph"/>
      </w:pPr>
      <w:r>
        <w:t xml:space="preserve">Aprenda a interpretar:</w:t>
      </w:r>
    </w:p>
    <w:p>
      <w:pPr>
        <w:numPr>
          <w:ilvl w:val="0"/>
          <w:numId w:val="1003"/>
        </w:numPr>
        <w:pStyle w:val="Compact"/>
      </w:pPr>
      <w:r>
        <w:t xml:space="preserve">vistas ortográficas;</w:t>
      </w:r>
    </w:p>
    <w:p>
      <w:pPr>
        <w:numPr>
          <w:ilvl w:val="0"/>
          <w:numId w:val="1003"/>
        </w:numPr>
        <w:pStyle w:val="Compact"/>
      </w:pPr>
      <w:r>
        <w:t xml:space="preserve">secciones y detalles;</w:t>
      </w:r>
    </w:p>
    <w:p>
      <w:pPr>
        <w:numPr>
          <w:ilvl w:val="0"/>
          <w:numId w:val="1003"/>
        </w:numPr>
        <w:pStyle w:val="Compact"/>
      </w:pPr>
      <w:r>
        <w:t xml:space="preserve">dimensiones y tolerancias;</w:t>
      </w:r>
    </w:p>
    <w:p>
      <w:pPr>
        <w:numPr>
          <w:ilvl w:val="0"/>
          <w:numId w:val="1003"/>
        </w:numPr>
        <w:pStyle w:val="Compact"/>
      </w:pPr>
      <w:r>
        <w:t xml:space="preserve">ajustes y holguras;</w:t>
      </w:r>
    </w:p>
    <w:p>
      <w:pPr>
        <w:numPr>
          <w:ilvl w:val="0"/>
          <w:numId w:val="1003"/>
        </w:numPr>
        <w:pStyle w:val="Compact"/>
      </w:pPr>
      <w:r>
        <w:t xml:space="preserve">indicaciones de acabado superficial;</w:t>
      </w:r>
    </w:p>
    <w:p>
      <w:pPr>
        <w:numPr>
          <w:ilvl w:val="0"/>
          <w:numId w:val="1003"/>
        </w:numPr>
        <w:pStyle w:val="Compact"/>
      </w:pPr>
      <w:r>
        <w:t xml:space="preserve">materiales;</w:t>
      </w:r>
    </w:p>
    <w:p>
      <w:pPr>
        <w:numPr>
          <w:ilvl w:val="0"/>
          <w:numId w:val="1003"/>
        </w:numPr>
        <w:pStyle w:val="Compact"/>
      </w:pPr>
      <w:r>
        <w:t xml:space="preserve">elementos de fijación;</w:t>
      </w:r>
    </w:p>
    <w:p>
      <w:pPr>
        <w:numPr>
          <w:ilvl w:val="0"/>
          <w:numId w:val="1003"/>
        </w:numPr>
        <w:pStyle w:val="Compact"/>
      </w:pPr>
      <w:r>
        <w:t xml:space="preserve">símbolos de soldadura cuando corresponda;</w:t>
      </w:r>
    </w:p>
    <w:p>
      <w:pPr>
        <w:numPr>
          <w:ilvl w:val="0"/>
          <w:numId w:val="1003"/>
        </w:numPr>
        <w:pStyle w:val="Compact"/>
      </w:pPr>
      <w:r>
        <w:t xml:space="preserve">notas y bloques de revisión;</w:t>
      </w:r>
    </w:p>
    <w:p>
      <w:pPr>
        <w:numPr>
          <w:ilvl w:val="0"/>
          <w:numId w:val="1003"/>
        </w:numPr>
        <w:pStyle w:val="Compact"/>
      </w:pPr>
      <w:r>
        <w:t xml:space="preserve">listas de materiales;</w:t>
      </w:r>
    </w:p>
    <w:p>
      <w:pPr>
        <w:numPr>
          <w:ilvl w:val="0"/>
          <w:numId w:val="1003"/>
        </w:numPr>
        <w:pStyle w:val="Compact"/>
      </w:pPr>
      <w:r>
        <w:t xml:space="preserve">planos de ensamblaje;</w:t>
      </w:r>
    </w:p>
    <w:p>
      <w:pPr>
        <w:numPr>
          <w:ilvl w:val="0"/>
          <w:numId w:val="1003"/>
        </w:numPr>
        <w:pStyle w:val="Compact"/>
      </w:pPr>
      <w:r>
        <w:t xml:space="preserve">conceptos básicos de dimensionamiento y tolerancias geométricas cuando sean necesarios.</w:t>
      </w:r>
    </w:p>
    <w:p>
      <w:pPr>
        <w:pStyle w:val="FirstParagraph"/>
      </w:pPr>
      <w:r>
        <w:t xml:space="preserve">No cambie un plano controlado solo porque una condición de campo parezca obvia. Documente la discrepancia y use el proceso de cambio de ingeniería del empleador.</w:t>
      </w:r>
    </w:p>
    <w:bookmarkEnd w:id="28"/>
    <w:bookmarkStart w:id="29" w:name="medición-y-metrología"/>
    <w:p>
      <w:pPr>
        <w:pStyle w:val="Heading3"/>
      </w:pPr>
      <w:r>
        <w:t xml:space="preserve">Medición y metrología</w:t>
      </w:r>
    </w:p>
    <w:p>
      <w:pPr>
        <w:pStyle w:val="FirstParagraph"/>
      </w:pPr>
      <w:r>
        <w:t xml:space="preserve">Herramientas comunes pueden incluir reglas y cintas, calibradores, micrómetros, indicadores de carátula, medidores de altura, herramientas de torque, manómetros, sensores de temperatura, tacómetros, instrumentos de vibración, celdas de carga, medidores de flujo, sistemas de adquisición de datos y, en algunos lugares, equipos de medición por coordenadas.</w:t>
      </w:r>
    </w:p>
    <w:p>
      <w:pPr>
        <w:pStyle w:val="BodyText"/>
      </w:pPr>
      <w:r>
        <w:t xml:space="preserve">Una medición solo es útil cuando el instrumento es adecuado, se usa correctamente, cumple los requisitos de calibración y se registra con unidades y contexto correctos.</w:t>
      </w:r>
    </w:p>
    <w:bookmarkEnd w:id="29"/>
    <w:bookmarkStart w:id="30" w:name="X455344fa9595c81aa00792874d84d917d403335"/>
    <w:p>
      <w:pPr>
        <w:pStyle w:val="Heading3"/>
      </w:pPr>
      <w:r>
        <w:t xml:space="preserve">CAD y herramientas digitales de ingeniería</w:t>
      </w:r>
    </w:p>
    <w:p>
      <w:pPr>
        <w:pStyle w:val="FirstParagraph"/>
      </w:pPr>
      <w:r>
        <w:t xml:space="preserve">Los empleadores pueden usar AutoCAD, SolidWorks, Autodesk Inventor, CATIA, Creo, Siemens NX, Fusion, otros sistemas CAD 2D/3D, sistemas PLM/PDM, control documental, hojas de cálculo, sistemas de gestión de mantenimiento y software de análisis de datos o pruebas.</w:t>
      </w:r>
    </w:p>
    <w:p>
      <w:pPr>
        <w:pStyle w:val="BodyText"/>
      </w:pPr>
      <w:r>
        <w:t xml:space="preserve">Un producto específico es una preferencia del empleador, no una credencial legal universal. Aprenda conceptos transferibles: restricciones de bocetos, ensamblajes, revisiones, capas, dimensiones, normas de dibujo, control de archivos, gestión de configuración, exportaciones y documentación.</w:t>
      </w:r>
    </w:p>
    <w:bookmarkEnd w:id="30"/>
    <w:bookmarkStart w:id="31" w:name="pruebas-y-datos"/>
    <w:p>
      <w:pPr>
        <w:pStyle w:val="Heading3"/>
      </w:pPr>
      <w:r>
        <w:t xml:space="preserve">Pruebas y datos</w:t>
      </w:r>
    </w:p>
    <w:p>
      <w:pPr>
        <w:pStyle w:val="FirstParagraph"/>
      </w:pPr>
      <w:r>
        <w:t xml:space="preserve">Un técnico debería poder:</w:t>
      </w:r>
    </w:p>
    <w:p>
      <w:pPr>
        <w:numPr>
          <w:ilvl w:val="0"/>
          <w:numId w:val="1004"/>
        </w:numPr>
        <w:pStyle w:val="Compact"/>
      </w:pPr>
      <w:r>
        <w:t xml:space="preserve">identificar el objetivo de prueba aprobado;</w:t>
      </w:r>
    </w:p>
    <w:p>
      <w:pPr>
        <w:numPr>
          <w:ilvl w:val="0"/>
          <w:numId w:val="1004"/>
        </w:numPr>
        <w:pStyle w:val="Compact"/>
      </w:pPr>
      <w:r>
        <w:t xml:space="preserve">leer el procedimiento y los criterios de aceptación;</w:t>
      </w:r>
    </w:p>
    <w:p>
      <w:pPr>
        <w:numPr>
          <w:ilvl w:val="0"/>
          <w:numId w:val="1004"/>
        </w:numPr>
        <w:pStyle w:val="Compact"/>
      </w:pPr>
      <w:r>
        <w:t xml:space="preserve">verificar la pieza o conjunto correcto, la versión de software/firmware y la revisión del plano;</w:t>
      </w:r>
    </w:p>
    <w:p>
      <w:pPr>
        <w:numPr>
          <w:ilvl w:val="0"/>
          <w:numId w:val="1004"/>
        </w:numPr>
        <w:pStyle w:val="Compact"/>
      </w:pPr>
      <w:r>
        <w:t xml:space="preserve">confirmar instrumentos y estado de calibración;</w:t>
      </w:r>
    </w:p>
    <w:p>
      <w:pPr>
        <w:numPr>
          <w:ilvl w:val="0"/>
          <w:numId w:val="1004"/>
        </w:numPr>
        <w:pStyle w:val="Compact"/>
      </w:pPr>
      <w:r>
        <w:t xml:space="preserve">identificar controles de seguridad y condiciones para detener el trabajo;</w:t>
      </w:r>
    </w:p>
    <w:p>
      <w:pPr>
        <w:numPr>
          <w:ilvl w:val="0"/>
          <w:numId w:val="1004"/>
        </w:numPr>
        <w:pStyle w:val="Compact"/>
      </w:pPr>
      <w:r>
        <w:t xml:space="preserve">registrar condiciones ambientales o de montaje cuando se requiera;</w:t>
      </w:r>
    </w:p>
    <w:p>
      <w:pPr>
        <w:numPr>
          <w:ilvl w:val="0"/>
          <w:numId w:val="1004"/>
        </w:numPr>
        <w:pStyle w:val="Compact"/>
      </w:pPr>
      <w:r>
        <w:t xml:space="preserve">ejecutar la prueba sin cambiar el procedimiento salvo autorización;</w:t>
      </w:r>
    </w:p>
    <w:p>
      <w:pPr>
        <w:numPr>
          <w:ilvl w:val="0"/>
          <w:numId w:val="1004"/>
        </w:numPr>
        <w:pStyle w:val="Compact"/>
      </w:pPr>
      <w:r>
        <w:t xml:space="preserve">capturar datos con precisión;</w:t>
      </w:r>
    </w:p>
    <w:p>
      <w:pPr>
        <w:numPr>
          <w:ilvl w:val="0"/>
          <w:numId w:val="1004"/>
        </w:numPr>
        <w:pStyle w:val="Compact"/>
      </w:pPr>
      <w:r>
        <w:t xml:space="preserve">documentar anomalías en vez de ocultarlas;</w:t>
      </w:r>
    </w:p>
    <w:p>
      <w:pPr>
        <w:numPr>
          <w:ilvl w:val="0"/>
          <w:numId w:val="1004"/>
        </w:numPr>
        <w:pStyle w:val="Compact"/>
      </w:pPr>
      <w:r>
        <w:t xml:space="preserve">comparar resultados con criterios aprobados;</w:t>
      </w:r>
    </w:p>
    <w:p>
      <w:pPr>
        <w:numPr>
          <w:ilvl w:val="0"/>
          <w:numId w:val="1004"/>
        </w:numPr>
        <w:pStyle w:val="Compact"/>
      </w:pPr>
      <w:r>
        <w:t xml:space="preserve">escalar condiciones inesperadas o inseguras;</w:t>
      </w:r>
    </w:p>
    <w:p>
      <w:pPr>
        <w:numPr>
          <w:ilvl w:val="0"/>
          <w:numId w:val="1004"/>
        </w:numPr>
        <w:pStyle w:val="Compact"/>
      </w:pPr>
      <w:r>
        <w:t xml:space="preserve">preservar registros trazables.</w:t>
      </w:r>
    </w:p>
    <w:bookmarkEnd w:id="31"/>
    <w:bookmarkEnd w:id="32"/>
    <w:bookmarkStart w:id="33" w:name="materiales-y-manufactura"/>
    <w:p>
      <w:pPr>
        <w:pStyle w:val="Heading2"/>
      </w:pPr>
      <w:r>
        <w:t xml:space="preserve">Materiales y manufactura</w:t>
      </w:r>
    </w:p>
    <w:p>
      <w:pPr>
        <w:pStyle w:val="FirstParagraph"/>
      </w:pPr>
      <w:r>
        <w:t xml:space="preserve">Es útil comprender el comportamiento práctico de aceros al carbono e inoxidables, aleaciones de aluminio y cobre, plásticos de ingeniería, elastómeros, compuestos cuando correspondan, fundición, forjado, maquinado, conformado de lámina, soldadura y unión, tratamiento térmico, recubrimientos, manufactura aditiva, moldeo por inyección y procesos de ensamblaje.</w:t>
      </w:r>
    </w:p>
    <w:p>
      <w:pPr>
        <w:pStyle w:val="BodyText"/>
      </w:pPr>
      <w:r>
        <w:t xml:space="preserve">No necesita convertirse en ingeniero de materiales para comenzar, pero sí debe respetar las especificaciones aprobadas y no sustituir materiales, sujetadores, lubricantes, sellos, adhesivos o condiciones de tratamiento térmico sin revisión de ingeniería autorizada.</w:t>
      </w:r>
    </w:p>
    <w:bookmarkEnd w:id="33"/>
    <w:bookmarkStart w:id="34" w:name="mantenimiento-y-confiabilidad"/>
    <w:p>
      <w:pPr>
        <w:pStyle w:val="Heading2"/>
      </w:pPr>
      <w:r>
        <w:t xml:space="preserve">Mantenimiento y confiabilidad</w:t>
      </w:r>
    </w:p>
    <w:p>
      <w:pPr>
        <w:pStyle w:val="FirstParagraph"/>
      </w:pPr>
      <w:r>
        <w:t xml:space="preserve">Algunos puestos se superponen con mantenimiento y confiabilidad. Conceptos útiles incluyen mantenimiento preventivo y basado en condición, lubricación, rodamientos, ejes y acoplamientos, alineación, correas y cadenas, engranajes, bombas y compresores, sellos y empaques, sistemas hidráulicos y neumáticos, vibración, desgaste, corrosión, análisis de causa raíz, tiempo medio entre fallas, control de repuestos y registros de mantenimiento.</w:t>
      </w:r>
    </w:p>
    <w:p>
      <w:pPr>
        <w:pStyle w:val="BodyText"/>
      </w:pPr>
      <w:r>
        <w:t xml:space="preserve">No use conceptos de confiabilidad para justificar la operación continua de equipos que hayan excedido un límite de seguridad o requieran una parada autorizada.</w:t>
      </w:r>
    </w:p>
    <w:bookmarkEnd w:id="34"/>
    <w:bookmarkStart w:id="35" w:name="límites-profesionales-y-de-ingeniería"/>
    <w:p>
      <w:pPr>
        <w:pStyle w:val="Heading2"/>
      </w:pPr>
      <w:r>
        <w:t xml:space="preserve">Límites profesionales y de ingeniería</w:t>
      </w:r>
    </w:p>
    <w:p>
      <w:pPr>
        <w:pStyle w:val="FirstParagraph"/>
      </w:pPr>
      <w:r>
        <w:t xml:space="preserve">Un técnico no debe asumir autoridad para:</w:t>
      </w:r>
    </w:p>
    <w:p>
      <w:pPr>
        <w:numPr>
          <w:ilvl w:val="0"/>
          <w:numId w:val="1005"/>
        </w:numPr>
        <w:pStyle w:val="Compact"/>
      </w:pPr>
      <w:r>
        <w:t xml:space="preserve">firmar o sellar documentos de ingeniería cuando se requiera un profesional licenciado o registrado;</w:t>
      </w:r>
    </w:p>
    <w:p>
      <w:pPr>
        <w:numPr>
          <w:ilvl w:val="0"/>
          <w:numId w:val="1005"/>
        </w:numPr>
        <w:pStyle w:val="Compact"/>
      </w:pPr>
      <w:r>
        <w:t xml:space="preserve">aprobar cambios de diseño críticos para la seguridad fuera de la autoridad delegada;</w:t>
      </w:r>
    </w:p>
    <w:p>
      <w:pPr>
        <w:numPr>
          <w:ilvl w:val="0"/>
          <w:numId w:val="1005"/>
        </w:numPr>
        <w:pStyle w:val="Compact"/>
      </w:pPr>
      <w:r>
        <w:t xml:space="preserve">seleccionar materiales sustitutos para partes reguladas o críticas sin aprobación;</w:t>
      </w:r>
    </w:p>
    <w:p>
      <w:pPr>
        <w:numPr>
          <w:ilvl w:val="0"/>
          <w:numId w:val="1005"/>
        </w:numPr>
        <w:pStyle w:val="Compact"/>
      </w:pPr>
      <w:r>
        <w:t xml:space="preserve">cambiar clasificaciones de presión, carga, velocidad, temperatura, torque, guardas, enclavamientos o lógica de parada de emergencia sin autorización;</w:t>
      </w:r>
    </w:p>
    <w:p>
      <w:pPr>
        <w:numPr>
          <w:ilvl w:val="0"/>
          <w:numId w:val="1005"/>
        </w:numPr>
        <w:pStyle w:val="Compact"/>
      </w:pPr>
      <w:r>
        <w:t xml:space="preserve">certificar cumplimiento de leyes o normas sin autorización y calificación formal;</w:t>
      </w:r>
    </w:p>
    <w:p>
      <w:pPr>
        <w:numPr>
          <w:ilvl w:val="0"/>
          <w:numId w:val="1005"/>
        </w:numPr>
        <w:pStyle w:val="Compact"/>
      </w:pPr>
      <w:r>
        <w:t xml:space="preserve">omitir puntos de control de calidad;</w:t>
      </w:r>
    </w:p>
    <w:p>
      <w:pPr>
        <w:numPr>
          <w:ilvl w:val="0"/>
          <w:numId w:val="1005"/>
        </w:numPr>
        <w:pStyle w:val="Compact"/>
      </w:pPr>
      <w:r>
        <w:t xml:space="preserve">aprobar para uso un producto no conforme cuando la autoridad de disposición corresponde a otra persona;</w:t>
      </w:r>
    </w:p>
    <w:p>
      <w:pPr>
        <w:numPr>
          <w:ilvl w:val="0"/>
          <w:numId w:val="1005"/>
        </w:numPr>
        <w:pStyle w:val="Compact"/>
      </w:pPr>
      <w:r>
        <w:t xml:space="preserve">modificar lógica PLC/controlador, firmware, sistemas de seguridad o configuración de red sin autorización explícita y control de cambios;</w:t>
      </w:r>
    </w:p>
    <w:p>
      <w:pPr>
        <w:numPr>
          <w:ilvl w:val="0"/>
          <w:numId w:val="1005"/>
        </w:numPr>
        <w:pStyle w:val="Compact"/>
      </w:pPr>
      <w:r>
        <w:t xml:space="preserve">realizar trabajo eléctrico, de soldadura, presión, izaje, espacios confinados u otras tareas especializadas sin formación y autorización requeridas;</w:t>
      </w:r>
    </w:p>
    <w:p>
      <w:pPr>
        <w:numPr>
          <w:ilvl w:val="0"/>
          <w:numId w:val="1005"/>
        </w:numPr>
        <w:pStyle w:val="Compact"/>
      </w:pPr>
      <w:r>
        <w:t xml:space="preserve">indicar a otros que entren en una zona peligrosa o anulen una guarda porque una prueba sea urgente;</w:t>
      </w:r>
    </w:p>
    <w:p>
      <w:pPr>
        <w:numPr>
          <w:ilvl w:val="0"/>
          <w:numId w:val="1005"/>
        </w:numPr>
        <w:pStyle w:val="Compact"/>
      </w:pPr>
      <w:r>
        <w:t xml:space="preserve">usar un sistema de IA como autoridad final para cálculos, tolerancias, límites de seguridad o cumplimiento.</w:t>
      </w:r>
    </w:p>
    <w:p>
      <w:pPr>
        <w:pStyle w:val="FirstParagraph"/>
      </w:pPr>
      <w:r>
        <w:t xml:space="preserve">Cuando el alcance no esté claro, detenga el trabajo y consulte al ingeniero, supervisor, responsable de seguridad, representante de calidad u otro profesional autorizado.</w:t>
      </w:r>
    </w:p>
    <w:bookmarkEnd w:id="35"/>
    <w:bookmarkStart w:id="36" w:name="X93d9bd63d9081c933d2c3ef74d12e933f9ec467"/>
    <w:p>
      <w:pPr>
        <w:pStyle w:val="Heading2"/>
      </w:pPr>
      <w:r>
        <w:t xml:space="preserve">Seguridad: energía peligrosa y bloqueo/etiquetado</w:t>
      </w:r>
    </w:p>
    <w:p>
      <w:pPr>
        <w:pStyle w:val="FirstParagraph"/>
      </w:pPr>
      <w:r>
        <w:t xml:space="preserve">Los sistemas mecánicos pueden contener energía peligrosa incluso después de apagar los controles normales. Puede incluir energía eléctrica, mecánica rotativa, aire comprimido, presión hidráulica, vapor o presión de proceso, resortes, gravedad de partes elevadas, energía térmica, química, volantes o energía rotacional almacenada y capacitores u otra energía eléctrica almacenada.</w:t>
      </w:r>
    </w:p>
    <w:p>
      <w:pPr>
        <w:pStyle w:val="BodyText"/>
      </w:pPr>
      <w:r>
        <w:t xml:space="preserve">OSHA describe el bloqueo/etiquetado (LOTO) como un sistema para controlar energía peligrosa durante mantenimiento o servicio. La lección central es práctica:</w:t>
      </w:r>
      <w:r>
        <w:t xml:space="preserve"> </w:t>
      </w:r>
      <w:r>
        <w:rPr>
          <w:bCs/>
          <w:b/>
        </w:rPr>
        <w:t xml:space="preserve">un botón de parada o un comando de software no demuestra energía cero</w:t>
      </w:r>
      <w:r>
        <w:t xml:space="preserve">.</w:t>
      </w:r>
    </w:p>
    <w:p>
      <w:pPr>
        <w:pStyle w:val="BodyText"/>
      </w:pPr>
      <w:r>
        <w:t xml:space="preserve">Siga el programa escrito de control de energía del empleador. No improvise LOTO. Solo personas capacitadas y autorizadas deben realizar tareas reservadas a empleados autorizados bajo el programa aplicable.</w:t>
      </w:r>
    </w:p>
    <w:p>
      <w:pPr>
        <w:pStyle w:val="BodyText"/>
      </w:pPr>
      <w:r>
        <w:t xml:space="preserve">Antes del trabajo manual alrededor de maquinaria peligrosa, el equipo responsable puede necesitar identificar todas las fuentes de energía, apagar el equipo con el procedimiento aprobado, aislar fuentes, aplicar bloqueos/etiquetas, controlar energía almacenada o que pueda reacumularse, verificar aislamiento con el método aprobado, mantener el control durante el trabajo y restaurar el equipo mediante el procedimiento de liberación aprobado.</w:t>
      </w:r>
    </w:p>
    <w:p>
      <w:pPr>
        <w:pStyle w:val="BodyText"/>
      </w:pPr>
      <w:r>
        <w:t xml:space="preserve">Los requisitos legales exactos dependen de la jurisdicción y del lugar de trabajo.</w:t>
      </w:r>
    </w:p>
    <w:bookmarkEnd w:id="36"/>
    <w:bookmarkStart w:id="37" w:name="X305b2aafd1474bafdf1d1c1a3fe992e08b308ac"/>
    <w:p>
      <w:pPr>
        <w:pStyle w:val="Heading2"/>
      </w:pPr>
      <w:r>
        <w:t xml:space="preserve">Guardas de maquinaria y equipos rotativos</w:t>
      </w:r>
    </w:p>
    <w:p>
      <w:pPr>
        <w:pStyle w:val="FirstParagraph"/>
      </w:pPr>
      <w:r>
        <w:t xml:space="preserve">Los técnicos pueden trabajar cerca de ejes, acoplamientos, correas, poleas, engranajes, cadenas, ventiladores, herramientas de corte, prensas, transportadores, rodillos, celdas robóticas, puntos de atrapamiento y superficies calientes.</w:t>
      </w:r>
    </w:p>
    <w:p>
      <w:pPr>
        <w:pStyle w:val="BodyText"/>
      </w:pPr>
      <w:r>
        <w:t xml:space="preserve">Nunca retire, puentee, mantenga abierta, inmovilice o anule casualmente una guarda o enclavamiento. Si una prueba requiere una configuración inusual, necesita un plan de prueba aprobado y controles establecidos por personal calificado.</w:t>
      </w:r>
    </w:p>
    <w:p>
      <w:pPr>
        <w:pStyle w:val="BodyText"/>
      </w:pPr>
      <w:r>
        <w:t xml:space="preserve">La ropa suelta, joyas, cabello, guantes, trapos y herramientas manuales pueden convertirse en riesgos de atrapamiento alrededor de equipos rotativos. Siga las reglas del empleador sobre EPP, guardas, orden y distancias seguras.</w:t>
      </w:r>
    </w:p>
    <w:bookmarkEnd w:id="37"/>
    <w:bookmarkStart w:id="38" w:name="Xdece266d0735aa67c88a2e89219e9a408039f5e"/>
    <w:p>
      <w:pPr>
        <w:pStyle w:val="Heading2"/>
      </w:pPr>
      <w:r>
        <w:t xml:space="preserve">Sistemas a presión y fuerza mecánica almacenada</w:t>
      </w:r>
    </w:p>
    <w:p>
      <w:pPr>
        <w:pStyle w:val="FirstParagraph"/>
      </w:pPr>
      <w:r>
        <w:t xml:space="preserve">La presión y la fuerza almacenada pueden liberarse súbitamente. Ejemplos: aire comprimido, acumuladores hidráulicos, resortes comprimidos, recipientes presurizados, tuberías, cilindros de gas, actuadores, correas o cadenas tensionadas, componentes elevados y contrapesos.</w:t>
      </w:r>
    </w:p>
    <w:p>
      <w:pPr>
        <w:pStyle w:val="BodyText"/>
      </w:pPr>
      <w:r>
        <w:t xml:space="preserve">Nunca afloje una conexión, retire una cubierta, abra un recipiente, libere un resorte ni trabaje debajo de una carga elevada basándose solo en la suposición de que el sistema está despresurizado o asegurado. Siga el procedimiento aprobado de aislamiento y verificación.</w:t>
      </w:r>
    </w:p>
    <w:bookmarkEnd w:id="38"/>
    <w:bookmarkStart w:id="39" w:name="X0c8b782d2ac781794ae22cb622b91bdee323f30"/>
    <w:p>
      <w:pPr>
        <w:pStyle w:val="Heading2"/>
      </w:pPr>
      <w:r>
        <w:t xml:space="preserve">Izaje, aparejos, soldadura y trabajo en caliente</w:t>
      </w:r>
    </w:p>
    <w:p>
      <w:pPr>
        <w:pStyle w:val="FirstParagraph"/>
      </w:pPr>
      <w:r>
        <w:t xml:space="preserve">Algunos roles involucran grúas, polipastos, eslingas, montacargas, gatos, soldadura, brasado, corte, esmerilado u otras tareas de alta energía. Pueden requerir formación especializada, inspecciones, permisos, prevención de incendios, operadores calificados, aparejadores designados, límites de carga, ventilación, EPP y otras salvaguardas.</w:t>
      </w:r>
    </w:p>
    <w:p>
      <w:pPr>
        <w:pStyle w:val="BodyText"/>
      </w:pPr>
      <w:r>
        <w:t xml:space="preserve">Un técnico no debe aceptar una tarea de alto riesgo solo porque entienda el diseño mecánico.</w:t>
      </w:r>
    </w:p>
    <w:bookmarkEnd w:id="39"/>
    <w:bookmarkStart w:id="40" w:name="X7a91fe84d7b5cd85d042208bfec50fc0a7b05a8"/>
    <w:p>
      <w:pPr>
        <w:pStyle w:val="Heading2"/>
      </w:pPr>
      <w:r>
        <w:t xml:space="preserve">Ciberseguridad en trabajo mecánico e industrial</w:t>
      </w:r>
    </w:p>
    <w:p>
      <w:pPr>
        <w:pStyle w:val="FirstParagraph"/>
      </w:pPr>
      <w:r>
        <w:t xml:space="preserve">Los sistemas mecánicos modernos están cada vez más conectados a sistemas digitales. Un técnico puede encontrar plataformas CAD/PDM/PLM, sistemas computarizados de mantenimiento, registradores de datos, PCs industriales, controladores programables, equipos de prueba en red, sensores y gateways, herramientas de soporte remoto, paneles en la nube, medios USB/removibles y laptops de proveedores.</w:t>
      </w:r>
    </w:p>
    <w:p>
      <w:pPr>
        <w:pStyle w:val="BodyText"/>
      </w:pPr>
      <w:r>
        <w:t xml:space="preserve">Buenas prácticas incluyen:</w:t>
      </w:r>
    </w:p>
    <w:p>
      <w:pPr>
        <w:numPr>
          <w:ilvl w:val="0"/>
          <w:numId w:val="1006"/>
        </w:numPr>
        <w:pStyle w:val="Compact"/>
      </w:pPr>
      <w:r>
        <w:t xml:space="preserve">usar cuentas y dispositivos aprobados por el empleador;</w:t>
      </w:r>
    </w:p>
    <w:p>
      <w:pPr>
        <w:numPr>
          <w:ilvl w:val="0"/>
          <w:numId w:val="1006"/>
        </w:numPr>
        <w:pStyle w:val="Compact"/>
      </w:pPr>
      <w:r>
        <w:t xml:space="preserve">habilitar MFA cuando exista;</w:t>
      </w:r>
    </w:p>
    <w:p>
      <w:pPr>
        <w:numPr>
          <w:ilvl w:val="0"/>
          <w:numId w:val="1006"/>
        </w:numPr>
        <w:pStyle w:val="Compact"/>
      </w:pPr>
      <w:r>
        <w:t xml:space="preserve">usar credenciales únicas y herramientas aprobadas de gestión de contraseñas;</w:t>
      </w:r>
    </w:p>
    <w:p>
      <w:pPr>
        <w:numPr>
          <w:ilvl w:val="0"/>
          <w:numId w:val="1006"/>
        </w:numPr>
        <w:pStyle w:val="Compact"/>
      </w:pPr>
      <w:r>
        <w:t xml:space="preserve">no compartir contraseñas ni tokens;</w:t>
      </w:r>
    </w:p>
    <w:p>
      <w:pPr>
        <w:numPr>
          <w:ilvl w:val="0"/>
          <w:numId w:val="1006"/>
        </w:numPr>
        <w:pStyle w:val="Compact"/>
      </w:pPr>
      <w:r>
        <w:t xml:space="preserve">no conectar medios removibles desconocidos a sistemas industriales o de prueba;</w:t>
      </w:r>
    </w:p>
    <w:p>
      <w:pPr>
        <w:numPr>
          <w:ilvl w:val="0"/>
          <w:numId w:val="1006"/>
        </w:numPr>
        <w:pStyle w:val="Compact"/>
      </w:pPr>
      <w:r>
        <w:t xml:space="preserve">verificar solicitudes inusuales de instalación de software o cambio de firmware;</w:t>
      </w:r>
    </w:p>
    <w:p>
      <w:pPr>
        <w:numPr>
          <w:ilvl w:val="0"/>
          <w:numId w:val="1006"/>
        </w:numPr>
        <w:pStyle w:val="Compact"/>
      </w:pPr>
      <w:r>
        <w:t xml:space="preserve">seguir copias de seguridad y control de cambios aprobados;</w:t>
      </w:r>
    </w:p>
    <w:p>
      <w:pPr>
        <w:numPr>
          <w:ilvl w:val="0"/>
          <w:numId w:val="1006"/>
        </w:numPr>
        <w:pStyle w:val="Compact"/>
      </w:pPr>
      <w:r>
        <w:t xml:space="preserve">reportar phishing, malware, compromisos de cuenta o comportamiento inexplicable del equipo;</w:t>
      </w:r>
    </w:p>
    <w:p>
      <w:pPr>
        <w:numPr>
          <w:ilvl w:val="0"/>
          <w:numId w:val="1006"/>
        </w:numPr>
        <w:pStyle w:val="Compact"/>
      </w:pPr>
      <w:r>
        <w:t xml:space="preserve">evitar conectar dispositivos no autorizados a redes de producción o control;</w:t>
      </w:r>
    </w:p>
    <w:p>
      <w:pPr>
        <w:numPr>
          <w:ilvl w:val="0"/>
          <w:numId w:val="1006"/>
        </w:numPr>
        <w:pStyle w:val="Compact"/>
      </w:pPr>
      <w:r>
        <w:t xml:space="preserve">proteger planos, datos de prueba, información del cliente y diseños propietarios.</w:t>
      </w:r>
    </w:p>
    <w:p>
      <w:pPr>
        <w:pStyle w:val="FirstParagraph"/>
      </w:pPr>
      <w:r>
        <w:t xml:space="preserve">La ciberseguridad forma parte de la confiabilidad y la seguridad cuando sistemas digitales influyen sobre equipos físicos.</w:t>
      </w:r>
    </w:p>
    <w:bookmarkEnd w:id="40"/>
    <w:bookmarkStart w:id="41" w:name="Xea1baf7daf0bb14db0b9651002721904d432aa6"/>
    <w:p>
      <w:pPr>
        <w:pStyle w:val="Heading2"/>
      </w:pPr>
      <w:r>
        <w:t xml:space="preserve">Uso responsable de IA en tecnología de ingeniería mecánica</w:t>
      </w:r>
    </w:p>
    <w:p>
      <w:pPr>
        <w:pStyle w:val="FirstParagraph"/>
      </w:pPr>
      <w:r>
        <w:t xml:space="preserve">La IA puede ayudar con aprendizaje y redacción de bajo riesgo cuando el empleador lo permita. Ejemplos razonables: explicar conceptos técnicos públicos en lenguaje más simple, crear preguntas ficticias de práctica, proponer categorías de listas de verificación, redactar un esquema no sensible de informe de prueba, mejorar gramática de documentación no confidencial, sugerir preguntas para análisis de fallas que luego revise una persona y organizar investigación de fuentes públicas.</w:t>
      </w:r>
    </w:p>
    <w:p>
      <w:pPr>
        <w:pStyle w:val="BodyText"/>
      </w:pPr>
      <w:r>
        <w:t xml:space="preserve">Se requiere verificación humana para trabajo técnico de consecuencias importantes.</w:t>
      </w:r>
    </w:p>
    <w:p>
      <w:pPr>
        <w:pStyle w:val="BodyText"/>
      </w:pPr>
      <w:r>
        <w:t xml:space="preserve">No dependa solo de IA para dimensiones, tolerancias, cargas, esfuerzos, selección de materiales, límites de presión o temperatura, valores de torque, factores de seguridad, límites de izaje, intervalos de mantenimiento, criterios de aceptación, decisiones sobre guardas, procedimientos LOTO, cambios de ingeniería, requisitos regulatorios, conclusiones finales de fallas o liberación de producción.</w:t>
      </w:r>
    </w:p>
    <w:p>
      <w:pPr>
        <w:pStyle w:val="BodyText"/>
      </w:pPr>
      <w:r>
        <w:t xml:space="preserve">No cargue planos propietarios, especificaciones confidenciales, información de clientes, contraseñas, tokens, datos sujetos a controles de exportación, registros privados de fallas o información de sistemas de producción en un servicio de IA no aprobado.</w:t>
      </w:r>
    </w:p>
    <w:p>
      <w:pPr>
        <w:pStyle w:val="BodyText"/>
      </w:pPr>
      <w:r>
        <w:t xml:space="preserve">Regla útil:</w:t>
      </w:r>
      <w:r>
        <w:t xml:space="preserve"> </w:t>
      </w:r>
      <w:r>
        <w:rPr>
          <w:bCs/>
          <w:b/>
        </w:rPr>
        <w:t xml:space="preserve">la IA puede ayudar a redactar o explicar; las fuentes de ingeniería aprobadas y los seres humanos autorizados controlan las decisiones de consecuencias importantes.</w:t>
      </w:r>
    </w:p>
    <w:bookmarkEnd w:id="41"/>
    <w:bookmarkStart w:id="42" w:name="X02f420333abc667de07b3675c8df1c1dae5d18b"/>
    <w:p>
      <w:pPr>
        <w:pStyle w:val="Heading2"/>
      </w:pPr>
      <w:r>
        <w:t xml:space="preserve">Educación y vías de ingreso — Estados Unidos</w:t>
      </w:r>
    </w:p>
    <w:p>
      <w:pPr>
        <w:pStyle w:val="FirstParagraph"/>
      </w:pPr>
      <w:r>
        <w:t xml:space="preserve">BLS informa que los tecnólogos y técnicos en ingeniería mecánica normalmente necesitan</w:t>
      </w:r>
      <w:r>
        <w:t xml:space="preserve"> </w:t>
      </w:r>
      <w:r>
        <w:rPr>
          <w:bCs/>
          <w:b/>
        </w:rPr>
        <w:t xml:space="preserve">un grado asociado u otra formación postsecundaria</w:t>
      </w:r>
      <w:r>
        <w:t xml:space="preserve">.</w:t>
      </w:r>
    </w:p>
    <w:p>
      <w:pPr>
        <w:pStyle w:val="BodyText"/>
      </w:pPr>
      <w:r>
        <w:t xml:space="preserve">Rutas posibles incluyen grado asociado en tecnología de ingeniería mecánica, certificados de tecnología de ingeniería, manufactura, mecatrónica, CAD/diseño, maquinado o CNC, mantenimiento industrial, calidad, automatización y formación técnica patrocinada por empleadores.</w:t>
      </w:r>
    </w:p>
    <w:p>
      <w:pPr>
        <w:pStyle w:val="BodyText"/>
      </w:pPr>
      <w:r>
        <w:t xml:space="preserve">Antes de pagar un programa, compare matrícula y tarifas totales, costos de herramientas/software, acreditación cuando sea relevante para sus objetivos, laboratorios, CAD, metrología y pruebas, prácticas o educación cooperativa, alianzas con empleadores, evidencia de colocación laboral y opciones de transferencia a licenciatura si se desea.</w:t>
      </w:r>
    </w:p>
    <w:p>
      <w:pPr>
        <w:pStyle w:val="BodyText"/>
      </w:pPr>
      <w:r>
        <w:t xml:space="preserve">La acreditación puede importar para algunas rutas educativas o de certificación, pero esta guía no certifica ni acredita programas.</w:t>
      </w:r>
    </w:p>
    <w:bookmarkEnd w:id="42"/>
    <w:bookmarkStart w:id="46" w:name="Xbea36957dda82d1896a4cf91b98738c8a36c0f7"/>
    <w:p>
      <w:pPr>
        <w:pStyle w:val="Heading2"/>
      </w:pPr>
      <w:r>
        <w:t xml:space="preserve">Financiamiento y formación de menor costo — Estados Unidos</w:t>
      </w:r>
    </w:p>
    <w:bookmarkStart w:id="44" w:name="wioa-y-american-job-centers"/>
    <w:p>
      <w:pPr>
        <w:pStyle w:val="Heading3"/>
      </w:pPr>
      <w:r>
        <w:t xml:space="preserve">WIOA y American Job Centers</w:t>
      </w:r>
    </w:p>
    <w:p>
      <w:pPr>
        <w:pStyle w:val="FirstParagraph"/>
      </w:pPr>
      <w:r>
        <w:t xml:space="preserve">CareerOneStop ofrece un buscador de programas elegibles para WIOA:</w:t>
      </w:r>
    </w:p>
    <w:p>
      <w:pPr>
        <w:pStyle w:val="BodyText"/>
      </w:pPr>
      <w:hyperlink r:id="rId43">
        <w:r>
          <w:rPr>
            <w:rStyle w:val="Hyperlink"/>
          </w:rPr>
          <w:t xml:space="preserve">https://www.careeronestop.org/LocalHelp/EmploymentAndTraining/find-WIOA-training-programs.aspx</w:t>
        </w:r>
      </w:hyperlink>
    </w:p>
    <w:p>
      <w:pPr>
        <w:pStyle w:val="BodyText"/>
      </w:pPr>
      <w:r>
        <w:t xml:space="preserve">Si la persona cumple los requisitos, puede acceder a apoyo de formación aprobado. La elegibilidad, aprobación del programa, servicios de apoyo y fondos disponibles varían por ubicación y situación individual.</w:t>
      </w:r>
    </w:p>
    <w:p>
      <w:pPr>
        <w:pStyle w:val="BodyText"/>
      </w:pPr>
      <w:r>
        <w:t xml:space="preserve">Busque categorías relacionadas además del título exacto: tecnología de ingeniería mecánica, manufactura, mecatrónica, mantenimiento industrial, CAD, maquinado CNC, tecnología de calidad, automatización y técnico de ingeniería.</w:t>
      </w:r>
    </w:p>
    <w:p>
      <w:pPr>
        <w:pStyle w:val="BodyText"/>
      </w:pPr>
      <w:r>
        <w:t xml:space="preserve">Un American Job Center puede explicar las opciones locales vigentes.</w:t>
      </w:r>
    </w:p>
    <w:bookmarkEnd w:id="44"/>
    <w:bookmarkStart w:id="45" w:name="aprendizaje-basado-en-el-trabajo"/>
    <w:p>
      <w:pPr>
        <w:pStyle w:val="Heading3"/>
      </w:pPr>
      <w:r>
        <w:t xml:space="preserve">Aprendizaje basado en el trabajo</w:t>
      </w:r>
    </w:p>
    <w:p>
      <w:pPr>
        <w:pStyle w:val="FirstParagraph"/>
      </w:pPr>
      <w:r>
        <w:t xml:space="preserve">La disponibilidad de Registered Apprenticeship varía. No asuma que existe un aprendizaje formal de técnico en ingeniería mecánica en toda localidad.</w:t>
      </w:r>
    </w:p>
    <w:p>
      <w:pPr>
        <w:pStyle w:val="BodyText"/>
      </w:pPr>
      <w:r>
        <w:t xml:space="preserve">Otras rutas prácticas pueden incluir puestos pagados de técnico en formación, aprendizajes de manufactura o mantenimiento industrial, programas de community college patrocinados por empleadores, pasantías, educación cooperativa, trabajo pagado de laboratorio o pruebas, reembolso de matrícula, formación estructurada de proveedores y asignaciones supervisadas de prototipo o producción.</w:t>
      </w:r>
    </w:p>
    <w:bookmarkEnd w:id="45"/>
    <w:bookmarkEnd w:id="46"/>
    <w:bookmarkStart w:id="50" w:name="ruta-en-canadá"/>
    <w:p>
      <w:pPr>
        <w:pStyle w:val="Heading2"/>
      </w:pPr>
      <w:r>
        <w:t xml:space="preserve">Ruta en Canadá</w:t>
      </w:r>
    </w:p>
    <w:p>
      <w:pPr>
        <w:pStyle w:val="FirstParagraph"/>
      </w:pPr>
      <w:r>
        <w:t xml:space="preserve">Canada Job Bank clasifica la ocupación bajo</w:t>
      </w:r>
      <w:r>
        <w:t xml:space="preserve"> </w:t>
      </w:r>
      <w:r>
        <w:rPr>
          <w:bCs/>
          <w:b/>
        </w:rPr>
        <w:t xml:space="preserve">NOC 22301 — Mechanical engineering technologists and technicians</w:t>
      </w:r>
      <w:r>
        <w:t xml:space="preserve">.</w:t>
      </w:r>
    </w:p>
    <w:p>
      <w:pPr>
        <w:pStyle w:val="BodyText"/>
      </w:pPr>
      <w:r>
        <w:t xml:space="preserve">Los requisitos típicos incluyen programas universitarios de dos o tres años en tecnología de ingeniería mecánica para tecnólogos; programas de uno o dos años para técnicos; experiencia supervisada antes de algunas certificaciones; certificación provincial que puede solicitarse en algunos empleos; y, en Quebec, uso regulado del título Professional Technologist.</w:t>
      </w:r>
    </w:p>
    <w:p>
      <w:pPr>
        <w:pStyle w:val="BodyText"/>
      </w:pPr>
      <w:r>
        <w:t xml:space="preserve">Siempre verifique los requisitos provinciales vigentes para el título y puesto exactos.</w:t>
      </w:r>
    </w:p>
    <w:bookmarkStart w:id="47" w:name="salarios-y-perspectivas-en-canadá"/>
    <w:p>
      <w:pPr>
        <w:pStyle w:val="Heading3"/>
      </w:pPr>
      <w:r>
        <w:t xml:space="preserve">Salarios y perspectivas en Canadá</w:t>
      </w:r>
    </w:p>
    <w:p>
      <w:pPr>
        <w:pStyle w:val="FirstParagraph"/>
      </w:pPr>
      <w:r>
        <w:t xml:space="preserve">Los datos nacionales de Job Bank, actualizados el 19 de noviembre de 2025, informan:</w:t>
      </w:r>
    </w:p>
    <w:p>
      <w:pPr>
        <w:numPr>
          <w:ilvl w:val="0"/>
          <w:numId w:val="1007"/>
        </w:numPr>
        <w:pStyle w:val="Compact"/>
      </w:pPr>
      <w:r>
        <w:t xml:space="preserve">bajo:</w:t>
      </w:r>
      <w:r>
        <w:t xml:space="preserve"> </w:t>
      </w:r>
      <w:r>
        <w:rPr>
          <w:bCs/>
          <w:b/>
        </w:rPr>
        <w:t xml:space="preserve">C$23.08/hora</w:t>
      </w:r>
      <w:r>
        <w:t xml:space="preserve">;</w:t>
      </w:r>
    </w:p>
    <w:p>
      <w:pPr>
        <w:numPr>
          <w:ilvl w:val="0"/>
          <w:numId w:val="1007"/>
        </w:numPr>
        <w:pStyle w:val="Compact"/>
      </w:pPr>
      <w:r>
        <w:t xml:space="preserve">mediano:</w:t>
      </w:r>
      <w:r>
        <w:t xml:space="preserve"> </w:t>
      </w:r>
      <w:r>
        <w:rPr>
          <w:bCs/>
          <w:b/>
        </w:rPr>
        <w:t xml:space="preserve">C$35.00/hora</w:t>
      </w:r>
      <w:r>
        <w:t xml:space="preserve">;</w:t>
      </w:r>
    </w:p>
    <w:p>
      <w:pPr>
        <w:numPr>
          <w:ilvl w:val="0"/>
          <w:numId w:val="1007"/>
        </w:numPr>
        <w:pStyle w:val="Compact"/>
      </w:pPr>
      <w:r>
        <w:t xml:space="preserve">alto:</w:t>
      </w:r>
      <w:r>
        <w:t xml:space="preserve"> </w:t>
      </w:r>
      <w:r>
        <w:rPr>
          <w:bCs/>
          <w:b/>
        </w:rPr>
        <w:t xml:space="preserve">C$51.28/hora</w:t>
      </w:r>
      <w:r>
        <w:t xml:space="preserve">.</w:t>
      </w:r>
    </w:p>
    <w:p>
      <w:pPr>
        <w:pStyle w:val="FirstParagraph"/>
      </w:pPr>
      <w:r>
        <w:t xml:space="preserve">Son cifras nacionales y varían por provincia, industria, experiencia, certificación y especialidad.</w:t>
      </w:r>
    </w:p>
    <w:p>
      <w:pPr>
        <w:pStyle w:val="BodyText"/>
      </w:pPr>
      <w:r>
        <w:t xml:space="preserve">Job Bank informa un</w:t>
      </w:r>
      <w:r>
        <w:t xml:space="preserve"> </w:t>
      </w:r>
      <w:r>
        <w:rPr>
          <w:bCs/>
          <w:b/>
        </w:rPr>
        <w:t xml:space="preserve">riesgo moderado de escasez de mano de obra a nivel nacional para 2024–2033</w:t>
      </w:r>
      <w:r>
        <w:t xml:space="preserve">, mientras que las perspectivas de corto plazo difieren entre provincias y territorios.</w:t>
      </w:r>
    </w:p>
    <w:bookmarkEnd w:id="47"/>
    <w:bookmarkStart w:id="49" w:name="formación-y-apoyos-en-canadá"/>
    <w:p>
      <w:pPr>
        <w:pStyle w:val="Heading3"/>
      </w:pPr>
      <w:r>
        <w:t xml:space="preserve">Formación y apoyos en Canadá</w:t>
      </w:r>
    </w:p>
    <w:p>
      <w:pPr>
        <w:pStyle w:val="FirstParagraph"/>
      </w:pPr>
      <w:r>
        <w:t xml:space="preserve">Comience con:</w:t>
      </w:r>
    </w:p>
    <w:p>
      <w:pPr>
        <w:pStyle w:val="BodyText"/>
      </w:pPr>
      <w:hyperlink r:id="rId48">
        <w:r>
          <w:rPr>
            <w:rStyle w:val="Hyperlink"/>
          </w:rPr>
          <w:t xml:space="preserve">https://www.canada.ca/en/services/jobs/training.html</w:t>
        </w:r>
      </w:hyperlink>
    </w:p>
    <w:p>
      <w:pPr>
        <w:pStyle w:val="BodyText"/>
      </w:pPr>
      <w:r>
        <w:t xml:space="preserve">Los Labour Market Development Agreements y Workforce Development Agreements apoyan formación, actualización de habilidades, servicios de empleo, experiencia laboral y, en algunos programas, subsidios salariales o formación apoyada por empleadores. La elegibilidad varía.</w:t>
      </w:r>
    </w:p>
    <w:bookmarkEnd w:id="49"/>
    <w:bookmarkEnd w:id="50"/>
    <w:bookmarkStart w:id="52" w:name="ruta-en-colombia"/>
    <w:p>
      <w:pPr>
        <w:pStyle w:val="Heading2"/>
      </w:pPr>
      <w:r>
        <w:t xml:space="preserve">Ruta en Colombia</w:t>
      </w:r>
    </w:p>
    <w:p>
      <w:pPr>
        <w:pStyle w:val="FirstParagraph"/>
      </w:pPr>
      <w:r>
        <w:t xml:space="preserve">OCUPACOL clasifica</w:t>
      </w:r>
      <w:r>
        <w:t xml:space="preserve"> </w:t>
      </w:r>
      <w:r>
        <w:rPr>
          <w:bCs/>
          <w:b/>
        </w:rPr>
        <w:t xml:space="preserve">CUOC 31150 — Técnicos en ingeniería mecánica</w:t>
      </w:r>
      <w:r>
        <w:t xml:space="preserve"> </w:t>
      </w:r>
      <w:r>
        <w:t xml:space="preserve">en nivel de competencia 3.</w:t>
      </w:r>
    </w:p>
    <w:p>
      <w:pPr>
        <w:pStyle w:val="BodyText"/>
      </w:pPr>
      <w:r>
        <w:t xml:space="preserve">Una ruta sólida puede incluir formación técnica/tecnológica de SENA, experiencia en manufactura o mantenimiento, CAD, metrología, seguridad industrial y formación específica del equipo por parte del empleador.</w:t>
      </w:r>
    </w:p>
    <w:bookmarkStart w:id="51" w:name="ejemplos-de-sena"/>
    <w:p>
      <w:pPr>
        <w:pStyle w:val="Heading3"/>
      </w:pPr>
      <w:r>
        <w:t xml:space="preserve">Ejemplos de SENA</w:t>
      </w:r>
    </w:p>
    <w:p>
      <w:pPr>
        <w:pStyle w:val="FirstParagraph"/>
      </w:pPr>
      <w:r>
        <w:t xml:space="preserve">SENA Betowa lista</w:t>
      </w:r>
      <w:r>
        <w:t xml:space="preserve"> </w:t>
      </w:r>
      <w:r>
        <w:rPr>
          <w:bCs/>
          <w:b/>
        </w:rPr>
        <w:t xml:space="preserve">Mantenimiento Mecánico Industrial</w:t>
      </w:r>
      <w:r>
        <w:t xml:space="preserve"> </w:t>
      </w:r>
      <w:r>
        <w:t xml:space="preserve">como programa Tecnólogo de</w:t>
      </w:r>
      <w:r>
        <w:t xml:space="preserve"> </w:t>
      </w:r>
      <w:r>
        <w:rPr>
          <w:bCs/>
          <w:b/>
        </w:rPr>
        <w:t xml:space="preserve">3.984 horas</w:t>
      </w:r>
      <w:r>
        <w:t xml:space="preserve">. Sus competencias incluyen instalación de equipos industriales, mantenimiento preventivo, reparación, procedimientos/manuales técnicos, seguridad y ambiente, razonamiento cuantitativo, inglés y herramientas digitales.</w:t>
      </w:r>
    </w:p>
    <w:p>
      <w:pPr>
        <w:pStyle w:val="BodyText"/>
      </w:pPr>
      <w:r>
        <w:t xml:space="preserve">SENA también lista</w:t>
      </w:r>
      <w:r>
        <w:t xml:space="preserve"> </w:t>
      </w:r>
      <w:r>
        <w:rPr>
          <w:bCs/>
          <w:b/>
        </w:rPr>
        <w:t xml:space="preserve">Mantenimiento Electromecánico Industrial</w:t>
      </w:r>
      <w:r>
        <w:t xml:space="preserve"> </w:t>
      </w:r>
      <w:r>
        <w:t xml:space="preserve">como ruta Tecnólogo de</w:t>
      </w:r>
      <w:r>
        <w:t xml:space="preserve"> </w:t>
      </w:r>
      <w:r>
        <w:rPr>
          <w:bCs/>
          <w:b/>
        </w:rPr>
        <w:t xml:space="preserve">3.984 horas</w:t>
      </w:r>
      <w:r>
        <w:t xml:space="preserve">, combinando mantenimiento mecánico con máquinas eléctricas y sistemas de control.</w:t>
      </w:r>
    </w:p>
    <w:p>
      <w:pPr>
        <w:pStyle w:val="BodyText"/>
      </w:pPr>
      <w:r>
        <w:t xml:space="preserve">La disponibilidad cambia por ciudad, cohorte, fecha, modalidad y alianza empresarial. La admisión depende de cupos y del proceso de selección de SENA. Verifique Betowa en vivo antes de planificar.</w:t>
      </w:r>
    </w:p>
    <w:bookmarkEnd w:id="51"/>
    <w:bookmarkEnd w:id="52"/>
    <w:bookmarkStart w:id="55" w:name="ruta-para-américa-latina-y-el-caribe"/>
    <w:p>
      <w:pPr>
        <w:pStyle w:val="Heading2"/>
      </w:pPr>
      <w:r>
        <w:t xml:space="preserve">Ruta para América Latina y el Caribe</w:t>
      </w:r>
    </w:p>
    <w:p>
      <w:pPr>
        <w:pStyle w:val="FirstParagraph"/>
      </w:pPr>
      <w:r>
        <w:t xml:space="preserve">OIT/Cinterfor puede ayudar a identificar instituciones nacionales de formación profesional:</w:t>
      </w:r>
    </w:p>
    <w:p>
      <w:pPr>
        <w:pStyle w:val="BodyText"/>
      </w:pPr>
      <w:hyperlink r:id="rId53">
        <w:r>
          <w:rPr>
            <w:rStyle w:val="Hyperlink"/>
          </w:rPr>
          <w:t xml:space="preserve">https://www.oitcinterfor.org/</w:t>
        </w:r>
      </w:hyperlink>
    </w:p>
    <w:p>
      <w:pPr>
        <w:pStyle w:val="BodyText"/>
      </w:pPr>
      <w:hyperlink r:id="rId54">
        <w:r>
          <w:rPr>
            <w:rStyle w:val="Hyperlink"/>
          </w:rPr>
          <w:t xml:space="preserve">https://www.oitcinterfor.org/statsfp/paises</w:t>
        </w:r>
      </w:hyperlink>
    </w:p>
    <w:p>
      <w:pPr>
        <w:pStyle w:val="BodyText"/>
      </w:pPr>
      <w:r>
        <w:t xml:space="preserve">Úselo como localizador. Busque en instituciones nacionales programas de tecnología mecánica, mantenimiento industrial, manufactura, mecatrónica, CAD, maquinado, calidad, automatización, soldadura/fabricación y confiabilidad. Verifique directamente costo, admisión, modalidad, credencial, financiamiento y reconocimiento empresarial.</w:t>
      </w:r>
    </w:p>
    <w:bookmarkEnd w:id="55"/>
    <w:bookmarkStart w:id="59" w:name="X5fa9de57dc2753286b90d0c9611df365950d31c"/>
    <w:p>
      <w:pPr>
        <w:pStyle w:val="Heading2"/>
      </w:pPr>
      <w:r>
        <w:t xml:space="preserve">Investigación de ingresos — primero las fuentes oficiales</w:t>
      </w:r>
    </w:p>
    <w:bookmarkStart w:id="56" w:name="estados-unidos--referencia-oficial"/>
    <w:p>
      <w:pPr>
        <w:pStyle w:val="Heading3"/>
      </w:pPr>
      <w:r>
        <w:t xml:space="preserve">Estados Unidos — referencia oficial</w:t>
      </w:r>
    </w:p>
    <w:p>
      <w:pPr>
        <w:pStyle w:val="FirstParagraph"/>
      </w:pPr>
      <w:r>
        <w:t xml:space="preserve">O*NET reporta</w:t>
      </w:r>
      <w:r>
        <w:t xml:space="preserve"> </w:t>
      </w:r>
      <w:r>
        <w:rPr>
          <w:bCs/>
          <w:b/>
        </w:rPr>
        <w:t xml:space="preserve">salarios medianos de 2025 de US$35.82/hora y US$74,510/año</w:t>
      </w:r>
      <w:r>
        <w:t xml:space="preserve"> </w:t>
      </w:r>
      <w:r>
        <w:t xml:space="preserve">para SOC 17-3027.00, usando datos BLS 2025.</w:t>
      </w:r>
    </w:p>
    <w:p>
      <w:pPr>
        <w:pStyle w:val="BodyText"/>
      </w:pPr>
      <w:r>
        <w:t xml:space="preserve">El Occupational Outlook Handbook de BLS reporta una mediana anterior de</w:t>
      </w:r>
      <w:r>
        <w:t xml:space="preserve"> </w:t>
      </w:r>
      <w:r>
        <w:rPr>
          <w:bCs/>
          <w:b/>
        </w:rPr>
        <w:t xml:space="preserve">US$68,730/año en mayo de 2024</w:t>
      </w:r>
      <w:r>
        <w:t xml:space="preserve">. Use la mediana más nueva O*NET/BLS 2025 como principal referencia actual, manteniendo claramente fechada la cifra OOH.</w:t>
      </w:r>
    </w:p>
    <w:bookmarkEnd w:id="56"/>
    <w:bookmarkStart w:id="57" w:name="canadá--referencia-oficial"/>
    <w:p>
      <w:pPr>
        <w:pStyle w:val="Heading3"/>
      </w:pPr>
      <w:r>
        <w:t xml:space="preserve">Canadá — referencia oficial</w:t>
      </w:r>
    </w:p>
    <w:p>
      <w:pPr>
        <w:pStyle w:val="FirstParagraph"/>
      </w:pPr>
      <w:r>
        <w:t xml:space="preserve">Job Bank reporta</w:t>
      </w:r>
      <w:r>
        <w:t xml:space="preserve"> </w:t>
      </w:r>
      <w:r>
        <w:rPr>
          <w:bCs/>
          <w:b/>
        </w:rPr>
        <w:t xml:space="preserve">C$23.08 bajo / C$35.00 mediano / C$51.28 alto por hora</w:t>
      </w:r>
      <w:r>
        <w:t xml:space="preserve">, actualizado el 19 de noviembre de 2025, para NOC 22301.</w:t>
      </w:r>
    </w:p>
    <w:bookmarkEnd w:id="57"/>
    <w:bookmarkStart w:id="58" w:name="X25f8504d567f0bf71399dc0e79c660e50b8feed"/>
    <w:p>
      <w:pPr>
        <w:pStyle w:val="Heading3"/>
      </w:pPr>
      <w:r>
        <w:t xml:space="preserve">Colombia — cautela con la clasificación oficial</w:t>
      </w:r>
    </w:p>
    <w:p>
      <w:pPr>
        <w:pStyle w:val="FirstParagraph"/>
      </w:pPr>
      <w:r>
        <w:t xml:space="preserve">OCUPACOL ofrece clasificación e indicadores laborales, pero su información salarial mostrada no debe tratarse como principal referencia salarial actual sin confirmar periodo y metodología. Úselo principalmente para clasificación y contexto ocupacional colombiano.</w:t>
      </w:r>
    </w:p>
    <w:bookmarkEnd w:id="58"/>
    <w:bookmarkEnd w:id="59"/>
    <w:bookmarkStart w:id="66" w:name="estimaciones-actuales-no-gubernamentales"/>
    <w:p>
      <w:pPr>
        <w:pStyle w:val="Heading2"/>
      </w:pPr>
      <w:r>
        <w:t xml:space="preserve">Estimaciones actuales no gubernamentales</w:t>
      </w:r>
    </w:p>
    <w:p>
      <w:pPr>
        <w:pStyle w:val="FirstParagraph"/>
      </w:pPr>
      <w:r>
        <w:t xml:space="preserve">Los sitios salariales privados sirven solo como contexto secundario porque sus métodos y títulos varían.</w:t>
      </w:r>
    </w:p>
    <w:bookmarkStart w:id="61" w:name="estados-unidos--ziprecruiter"/>
    <w:p>
      <w:pPr>
        <w:pStyle w:val="Heading3"/>
      </w:pPr>
      <w:r>
        <w:t xml:space="preserve">Estados Unidos — ZipRecruiter</w:t>
      </w:r>
    </w:p>
    <w:p>
      <w:pPr>
        <w:pStyle w:val="FirstParagraph"/>
      </w:pPr>
      <w:r>
        <w:t xml:space="preserve">Al 7 de agosto de 2026, ZipRecruiter reportaba aproximadamente</w:t>
      </w:r>
      <w:r>
        <w:t xml:space="preserve"> </w:t>
      </w:r>
      <w:r>
        <w:rPr>
          <w:bCs/>
          <w:b/>
        </w:rPr>
        <w:t xml:space="preserve">US$75,124/año (US$36.12/hora)</w:t>
      </w:r>
      <w:r>
        <w:t xml:space="preserve"> </w:t>
      </w:r>
      <w:r>
        <w:t xml:space="preserve">para el título Mechanical Engineering Technician.</w:t>
      </w:r>
    </w:p>
    <w:p>
      <w:pPr>
        <w:pStyle w:val="BodyText"/>
      </w:pPr>
      <w:r>
        <w:t xml:space="preserve">Fuente:</w:t>
      </w:r>
      <w:r>
        <w:t xml:space="preserve"> </w:t>
      </w:r>
      <w:hyperlink r:id="rId60">
        <w:r>
          <w:rPr>
            <w:rStyle w:val="Hyperlink"/>
          </w:rPr>
          <w:t xml:space="preserve">https://www.ziprecruiter.com/Salaries/Mechanical-Engineering-Technician-Salary</w:t>
        </w:r>
      </w:hyperlink>
    </w:p>
    <w:bookmarkEnd w:id="61"/>
    <w:bookmarkStart w:id="63" w:name="estados-unidos--salarycom"/>
    <w:p>
      <w:pPr>
        <w:pStyle w:val="Heading3"/>
      </w:pPr>
      <w:r>
        <w:t xml:space="preserve">Estados Unidos — Salary.com</w:t>
      </w:r>
    </w:p>
    <w:p>
      <w:pPr>
        <w:pStyle w:val="FirstParagraph"/>
      </w:pPr>
      <w:r>
        <w:t xml:space="preserve">Al 1 de agosto de 2026, Salary.com reportaba alrededor de</w:t>
      </w:r>
      <w:r>
        <w:t xml:space="preserve"> </w:t>
      </w:r>
      <w:r>
        <w:rPr>
          <w:bCs/>
          <w:b/>
        </w:rPr>
        <w:t xml:space="preserve">US$58,275/año (US$28/hora)</w:t>
      </w:r>
      <w:r>
        <w:t xml:space="preserve">, con rango percentil 25–75 de aproximadamente</w:t>
      </w:r>
      <w:r>
        <w:t xml:space="preserve"> </w:t>
      </w:r>
      <w:r>
        <w:rPr>
          <w:bCs/>
          <w:b/>
        </w:rPr>
        <w:t xml:space="preserve">US$51,667–US$65,216</w:t>
      </w:r>
      <w:r>
        <w:t xml:space="preserve">.</w:t>
      </w:r>
    </w:p>
    <w:p>
      <w:pPr>
        <w:pStyle w:val="BodyText"/>
      </w:pPr>
      <w:r>
        <w:t xml:space="preserve">Fuente:</w:t>
      </w:r>
      <w:r>
        <w:t xml:space="preserve"> </w:t>
      </w:r>
      <w:hyperlink r:id="rId62">
        <w:r>
          <w:rPr>
            <w:rStyle w:val="Hyperlink"/>
          </w:rPr>
          <w:t xml:space="preserve">https://www.salary.com/research/salary/listing/mechanical-engineering-technician-salary</w:t>
        </w:r>
      </w:hyperlink>
    </w:p>
    <w:p>
      <w:pPr>
        <w:pStyle w:val="BodyText"/>
      </w:pPr>
      <w:r>
        <w:t xml:space="preserve">La diferencia entre estimaciones privadas recuerda que no son estadísticas oficiales.</w:t>
      </w:r>
    </w:p>
    <w:bookmarkEnd w:id="63"/>
    <w:bookmarkStart w:id="65" w:name="X845cd1fc400c1ad49eba07970eb4a11a865448f"/>
    <w:p>
      <w:pPr>
        <w:pStyle w:val="Heading3"/>
      </w:pPr>
      <w:r>
        <w:t xml:space="preserve">Colombia — referencia de título técnico más amplio</w:t>
      </w:r>
    </w:p>
    <w:p>
      <w:pPr>
        <w:pStyle w:val="FirstParagraph"/>
      </w:pPr>
      <w:r>
        <w:t xml:space="preserve">La página de Computrabajo para Técnico mecánico, actualizada el 27 de junio de 2026, mostraba promedios empresariales comúnmente alrededor de</w:t>
      </w:r>
      <w:r>
        <w:t xml:space="preserve"> </w:t>
      </w:r>
      <w:r>
        <w:rPr>
          <w:bCs/>
          <w:b/>
        </w:rPr>
        <w:t xml:space="preserve">COP 1,4M–1,8M/mes</w:t>
      </w:r>
      <w:r>
        <w:t xml:space="preserve"> </w:t>
      </w:r>
      <w:r>
        <w:t xml:space="preserve">entre varios empleadores visibles. Es un título mecánico/técnico más amplio y</w:t>
      </w:r>
      <w:r>
        <w:t xml:space="preserve"> </w:t>
      </w:r>
      <w:r>
        <w:rPr>
          <w:bCs/>
          <w:b/>
        </w:rPr>
        <w:t xml:space="preserve">no</w:t>
      </w:r>
      <w:r>
        <w:t xml:space="preserve"> </w:t>
      </w:r>
      <w:r>
        <w:t xml:space="preserve">equivalente directo a CUOC 31150.</w:t>
      </w:r>
    </w:p>
    <w:p>
      <w:pPr>
        <w:pStyle w:val="BodyText"/>
      </w:pPr>
      <w:r>
        <w:t xml:space="preserve">Fuente:</w:t>
      </w:r>
      <w:r>
        <w:t xml:space="preserve"> </w:t>
      </w:r>
      <w:hyperlink r:id="rId64">
        <w:r>
          <w:rPr>
            <w:rStyle w:val="Hyperlink"/>
          </w:rPr>
          <w:t xml:space="preserve">https://co.computrabajo.com/salarios/tecnico-mecanico</w:t>
        </w:r>
      </w:hyperlink>
    </w:p>
    <w:p>
      <w:pPr>
        <w:pStyle w:val="BodyText"/>
      </w:pPr>
      <w:r>
        <w:t xml:space="preserve">Use vacantes actuales y ofertas reales del empleador para evaluar la compensación de un puesto específico.</w:t>
      </w:r>
    </w:p>
    <w:bookmarkEnd w:id="65"/>
    <w:bookmarkEnd w:id="66"/>
    <w:bookmarkStart w:id="67" w:name="accesibilidad-y-ajuste-al-trabajo"/>
    <w:p>
      <w:pPr>
        <w:pStyle w:val="Heading2"/>
      </w:pPr>
      <w:r>
        <w:t xml:space="preserve">Accesibilidad y ajuste al trabajo</w:t>
      </w:r>
    </w:p>
    <w:p>
      <w:pPr>
        <w:pStyle w:val="FirstParagraph"/>
      </w:pPr>
      <w:r>
        <w:t xml:space="preserve">El trabajo no es físicamente igual en todos los empleadores. Algunos puestos son principalmente CAD, laboratorio, documentación de calidad, planificación, redacción técnica o análisis de datos. Otros implican estar de pie o caminar, subir, levantar dentro de límites asignados, ruido de fábrica, EPP, trabajo de campo, viajes, calor o frío, turnos y exposición a maquinaria.</w:t>
      </w:r>
    </w:p>
    <w:p>
      <w:pPr>
        <w:pStyle w:val="BodyText"/>
      </w:pPr>
      <w:r>
        <w:t xml:space="preserve">Lea las funciones esenciales del puesto real. Si necesita una adaptación, use el proceso aplicable del empleador o centro educativo. Esta guía no determina el derecho legal a una adaptación específica.</w:t>
      </w:r>
    </w:p>
    <w:p>
      <w:pPr>
        <w:pStyle w:val="BodyText"/>
      </w:pPr>
      <w:r>
        <w:t xml:space="preserve">Para accesibilidad del aprendizaje, use sesiones cortas, listas paso a paso, diagramas junto con explicaciones escritas, unidades consistentes, ejemplos etiquetados, repetición espaciada, voz-a-texto o texto-a-voz cuando ayuden, notas digitales accesibles y práctica con piezas reales o simuladas solo bajo supervisión segura.</w:t>
      </w:r>
    </w:p>
    <w:bookmarkEnd w:id="67"/>
    <w:bookmarkStart w:id="68" w:name="X7d2b46c43401e1b9fe12e669d191d5968044183"/>
    <w:p>
      <w:pPr>
        <w:pStyle w:val="Heading2"/>
      </w:pPr>
      <w:r>
        <w:t xml:space="preserve">Construir un portafolio inicial sin afirmaciones inseguras</w:t>
      </w:r>
    </w:p>
    <w:p>
      <w:pPr>
        <w:pStyle w:val="FirstParagraph"/>
      </w:pPr>
      <w:r>
        <w:t xml:space="preserve">Un portafolio puede mostrar razonamiento técnico sin presentarse como ingeniero licenciado. Ejemplos:</w:t>
      </w:r>
    </w:p>
    <w:p>
      <w:pPr>
        <w:numPr>
          <w:ilvl w:val="0"/>
          <w:numId w:val="1008"/>
        </w:numPr>
        <w:pStyle w:val="Compact"/>
      </w:pPr>
      <w:r>
        <w:t xml:space="preserve">modelo CAD dimensionado de un soporte simple no crítico;</w:t>
      </w:r>
    </w:p>
    <w:p>
      <w:pPr>
        <w:numPr>
          <w:ilvl w:val="0"/>
          <w:numId w:val="1008"/>
        </w:numPr>
        <w:pStyle w:val="Compact"/>
      </w:pPr>
      <w:r>
        <w:t xml:space="preserve">plano de ensamblaje con lista de materiales;</w:t>
      </w:r>
    </w:p>
    <w:p>
      <w:pPr>
        <w:numPr>
          <w:ilvl w:val="0"/>
          <w:numId w:val="1008"/>
        </w:numPr>
        <w:pStyle w:val="Compact"/>
      </w:pPr>
      <w:r>
        <w:t xml:space="preserve">plan e informe de prueba ficticios;</w:t>
      </w:r>
    </w:p>
    <w:p>
      <w:pPr>
        <w:numPr>
          <w:ilvl w:val="0"/>
          <w:numId w:val="1008"/>
        </w:numPr>
        <w:pStyle w:val="Compact"/>
      </w:pPr>
      <w:r>
        <w:t xml:space="preserve">estudio de medición comparando calibrador y micrómetro;</w:t>
      </w:r>
    </w:p>
    <w:p>
      <w:pPr>
        <w:numPr>
          <w:ilvl w:val="0"/>
          <w:numId w:val="1008"/>
        </w:numPr>
        <w:pStyle w:val="Compact"/>
      </w:pPr>
      <w:r>
        <w:t xml:space="preserve">lista de mantenimiento para un dispositivo ficticio de entrenamiento;</w:t>
      </w:r>
    </w:p>
    <w:p>
      <w:pPr>
        <w:numPr>
          <w:ilvl w:val="0"/>
          <w:numId w:val="1008"/>
        </w:numPr>
        <w:pStyle w:val="Compact"/>
      </w:pPr>
      <w:r>
        <w:t xml:space="preserve">ejercicio simple de acumulación de tolerancias claramente educativo;</w:t>
      </w:r>
    </w:p>
    <w:p>
      <w:pPr>
        <w:numPr>
          <w:ilvl w:val="0"/>
          <w:numId w:val="1008"/>
        </w:numPr>
        <w:pStyle w:val="Compact"/>
      </w:pPr>
      <w:r>
        <w:t xml:space="preserve">ejercicio de causa raíz con una pieza fallada ficticia;</w:t>
      </w:r>
    </w:p>
    <w:p>
      <w:pPr>
        <w:numPr>
          <w:ilvl w:val="0"/>
          <w:numId w:val="1008"/>
        </w:numPr>
        <w:pStyle w:val="Compact"/>
      </w:pPr>
      <w:r>
        <w:t xml:space="preserve">hoja de cálculo con datos ficticios de temperatura o vibración;</w:t>
      </w:r>
    </w:p>
    <w:p>
      <w:pPr>
        <w:numPr>
          <w:ilvl w:val="0"/>
          <w:numId w:val="1008"/>
        </w:numPr>
        <w:pStyle w:val="Compact"/>
      </w:pPr>
      <w:r>
        <w:t xml:space="preserve">ejemplo de control de revisiones de un cambio de plano;</w:t>
      </w:r>
    </w:p>
    <w:p>
      <w:pPr>
        <w:numPr>
          <w:ilvl w:val="0"/>
          <w:numId w:val="1008"/>
        </w:numPr>
        <w:pStyle w:val="Compact"/>
      </w:pPr>
      <w:r>
        <w:t xml:space="preserve">prototipo seguro impreso en 3D.</w:t>
      </w:r>
    </w:p>
    <w:p>
      <w:pPr>
        <w:pStyle w:val="FirstParagraph"/>
      </w:pPr>
      <w:r>
        <w:t xml:space="preserve">Etiquete claramente el trabajo educativo. No presente trabajo de aula o simulado como aprobación profesional de ingeniería.</w:t>
      </w:r>
    </w:p>
    <w:bookmarkEnd w:id="68"/>
    <w:bookmarkStart w:id="75" w:name="plan-de-acción-de-seis-pasos"/>
    <w:p>
      <w:pPr>
        <w:pStyle w:val="Heading2"/>
      </w:pPr>
      <w:r>
        <w:t xml:space="preserve">Plan de acción de seis pasos</w:t>
      </w:r>
    </w:p>
    <w:p>
      <w:pPr>
        <w:pStyle w:val="FirstParagraph"/>
      </w:pPr>
      <w:r>
        <w:t xml:space="preserve">Esta edición controlada corrige el defecto del plan de acción legado. Cada paso tiene un hito verificable.</w:t>
      </w:r>
    </w:p>
    <w:bookmarkStart w:id="69" w:name="paso-1--confirmar-ajuste-y-rol-objetivo"/>
    <w:p>
      <w:pPr>
        <w:pStyle w:val="Heading3"/>
      </w:pPr>
      <w:r>
        <w:t xml:space="preserve">Paso 1 — Confirmar ajuste y rol objetivo</w:t>
      </w:r>
    </w:p>
    <w:p>
      <w:pPr>
        <w:pStyle w:val="FirstParagraph"/>
      </w:pPr>
      <w:r>
        <w:t xml:space="preserve">Acciones: revisar al menos 10 vacantes actuales; registrar funciones, herramientas, educación, turnos, exigencias físicas y seguridad; elegir un objetivo inicial como técnico de pruebas, técnico de ingeniería de manufactura, técnico mecánico, técnico CAD o técnico de mantenimiento/confiabilidad.</w:t>
      </w:r>
    </w:p>
    <w:p>
      <w:pPr>
        <w:pStyle w:val="BodyText"/>
      </w:pPr>
      <w:r>
        <w:rPr>
          <w:bCs/>
          <w:b/>
        </w:rPr>
        <w:t xml:space="preserve">Hito:</w:t>
      </w:r>
      <w:r>
        <w:t xml:space="preserve"> </w:t>
      </w:r>
      <w:r>
        <w:t xml:space="preserve">completar una comparación de una página con rol elegido y tres razones de ajuste.</w:t>
      </w:r>
    </w:p>
    <w:bookmarkEnd w:id="69"/>
    <w:bookmarkStart w:id="70" w:name="paso-2--construir-la-base-técnica"/>
    <w:p>
      <w:pPr>
        <w:pStyle w:val="Heading3"/>
      </w:pPr>
      <w:r>
        <w:t xml:space="preserve">Paso 2 — Construir la base técnica</w:t>
      </w:r>
    </w:p>
    <w:p>
      <w:pPr>
        <w:pStyle w:val="FirstParagraph"/>
      </w:pPr>
      <w:r>
        <w:t xml:space="preserve">Acciones: repasar álgebra, geometría, unidades y física básica; aprender interpretación de planos, tolerancias, materiales, medición y sistemas mecánicos; practicar conversiones de unidades y verificaciones dimensionales.</w:t>
      </w:r>
    </w:p>
    <w:p>
      <w:pPr>
        <w:pStyle w:val="BodyText"/>
      </w:pPr>
      <w:r>
        <w:rPr>
          <w:bCs/>
          <w:b/>
        </w:rPr>
        <w:t xml:space="preserve">Hito:</w:t>
      </w:r>
      <w:r>
        <w:t xml:space="preserve"> </w:t>
      </w:r>
      <w:r>
        <w:t xml:space="preserve">completar una autoevaluación de 20 preguntas con 80% o más y corregir cada respuesta fallida.</w:t>
      </w:r>
    </w:p>
    <w:bookmarkEnd w:id="70"/>
    <w:bookmarkStart w:id="71" w:name="X6dbb20d543f61077fff78aa2cad5b0d616f77e9"/>
    <w:p>
      <w:pPr>
        <w:pStyle w:val="Heading3"/>
      </w:pPr>
      <w:r>
        <w:t xml:space="preserve">Paso 3 — Aprender una cadena práctica de herramientas</w:t>
      </w:r>
    </w:p>
    <w:p>
      <w:pPr>
        <w:pStyle w:val="FirstParagraph"/>
      </w:pPr>
      <w:r>
        <w:t xml:space="preserve">Acciones: aprender una plataforma CAD disponible; usar hojas de cálculo para cálculos y datos; practicar al menos dos herramientas de medición en entorno seguro y supervisado cuando sea posible.</w:t>
      </w:r>
    </w:p>
    <w:p>
      <w:pPr>
        <w:pStyle w:val="BodyText"/>
      </w:pPr>
      <w:r>
        <w:rPr>
          <w:bCs/>
          <w:b/>
        </w:rPr>
        <w:t xml:space="preserve">Hito:</w:t>
      </w:r>
      <w:r>
        <w:t xml:space="preserve"> </w:t>
      </w:r>
      <w:r>
        <w:t xml:space="preserve">producir un plano dimensionado, un ensamblaje simple y una hoja de medición/datos.</w:t>
      </w:r>
    </w:p>
    <w:bookmarkEnd w:id="71"/>
    <w:bookmarkStart w:id="72" w:name="Xfc5afbb59dd3539a5c12b7e9d206ce7373b568d"/>
    <w:p>
      <w:pPr>
        <w:pStyle w:val="Heading3"/>
      </w:pPr>
      <w:r>
        <w:t xml:space="preserve">Paso 4 — Desarrollar hábitos de seguridad y trabajo controlado</w:t>
      </w:r>
    </w:p>
    <w:p>
      <w:pPr>
        <w:pStyle w:val="FirstParagraph"/>
      </w:pPr>
      <w:r>
        <w:t xml:space="preserve">Acciones: estudiar reglas del programa de formación para maquinaria y control de energía; comprender por qué guardas, enclavamientos, LOTO, energía almacenada, presión, izaje y trabajo en caliente requieren controles formales; practicar decisiones de detener y escalar ante escenarios inseguros.</w:t>
      </w:r>
    </w:p>
    <w:p>
      <w:pPr>
        <w:pStyle w:val="BodyText"/>
      </w:pPr>
      <w:r>
        <w:rPr>
          <w:bCs/>
          <w:b/>
        </w:rPr>
        <w:t xml:space="preserve">Hito:</w:t>
      </w:r>
      <w:r>
        <w:t xml:space="preserve"> </w:t>
      </w:r>
      <w:r>
        <w:t xml:space="preserve">completar una lista de seguridad con al menos 10 peligros y el responsable correcto de escalamiento para cada uno.</w:t>
      </w:r>
    </w:p>
    <w:bookmarkEnd w:id="72"/>
    <w:bookmarkStart w:id="73" w:name="X1a4266267a519f2eb0fa5e107072fbb9c0cf48e"/>
    <w:p>
      <w:pPr>
        <w:pStyle w:val="Heading3"/>
      </w:pPr>
      <w:r>
        <w:t xml:space="preserve">Paso 5 — Obtener experiencia supervisada y evidencia</w:t>
      </w:r>
    </w:p>
    <w:p>
      <w:pPr>
        <w:pStyle w:val="FirstParagraph"/>
      </w:pPr>
      <w:r>
        <w:t xml:space="preserve">Acciones: buscar pasantía, co-op, puesto trainee, proyecto de laboratorio, trabajo de manufactura, mantenimiento supervisado o aprendizaje apoyado por empleador; mantener notas no confidenciales sobre tareas, herramientas, mediciones, problemas y resultados; solicitar retroalimentación sobre precisión, seguridad, documentación y trabajo en equipo.</w:t>
      </w:r>
    </w:p>
    <w:p>
      <w:pPr>
        <w:pStyle w:val="BodyText"/>
      </w:pPr>
      <w:r>
        <w:rPr>
          <w:bCs/>
          <w:b/>
        </w:rPr>
        <w:t xml:space="preserve">Hito:</w:t>
      </w:r>
      <w:r>
        <w:t xml:space="preserve"> </w:t>
      </w:r>
      <w:r>
        <w:t xml:space="preserve">documentar tres logros defendibles usando situación, acción y resultado sin revelar información confidencial.</w:t>
      </w:r>
    </w:p>
    <w:bookmarkEnd w:id="73"/>
    <w:bookmarkStart w:id="74" w:name="paso-6--postular-entrevistar-y-mejorar"/>
    <w:p>
      <w:pPr>
        <w:pStyle w:val="Heading3"/>
      </w:pPr>
      <w:r>
        <w:t xml:space="preserve">Paso 6 — Postular, entrevistar y mejorar</w:t>
      </w:r>
    </w:p>
    <w:p>
      <w:pPr>
        <w:pStyle w:val="FirstParagraph"/>
      </w:pPr>
      <w:r>
        <w:t xml:space="preserve">Acciones: adaptar el currículum al puesto usando solo evidencia verdadera; preparar ejemplos de planos, medición, pruebas, diagnóstico, seguridad y trabajo en equipo; postular de forma constante a roles realistas; registrar resultados y ajustar el enfoque.</w:t>
      </w:r>
    </w:p>
    <w:p>
      <w:pPr>
        <w:pStyle w:val="BodyText"/>
      </w:pPr>
      <w:r>
        <w:rPr>
          <w:bCs/>
          <w:b/>
        </w:rPr>
        <w:t xml:space="preserve">Hito:</w:t>
      </w:r>
      <w:r>
        <w:t xml:space="preserve"> </w:t>
      </w:r>
      <w:r>
        <w:t xml:space="preserve">enviar 10 postulaciones bien alineadas, completar dos entrevistas simuladas y revisar el seguimiento para definir la siguiente mejora.</w:t>
      </w:r>
    </w:p>
    <w:bookmarkEnd w:id="74"/>
    <w:bookmarkEnd w:id="75"/>
    <w:bookmarkStart w:id="76" w:name="preparación-para-entrevistas"/>
    <w:p>
      <w:pPr>
        <w:pStyle w:val="Heading2"/>
      </w:pPr>
      <w:r>
        <w:t xml:space="preserve">Preparación para entrevistas</w:t>
      </w:r>
    </w:p>
    <w:p>
      <w:pPr>
        <w:pStyle w:val="FirstParagraph"/>
      </w:pPr>
      <w:r>
        <w:t xml:space="preserve">Esté preparado para explicar cómo verifica la revisión vigente de un plano, cómo maneja una medición fuera de tolerancia, por qué importa la calibración, cómo documenta una anomalía de prueba, qué hace ante energización inesperada, por qué no anula una guarda, cómo escala una discrepancia de diseño, cómo mantiene unidades y cálculos consistentes, cómo protege datos de ingeniería y cómo usa IA sin confiar en ella para hechos críticos de seguridad.</w:t>
      </w:r>
    </w:p>
    <w:p>
      <w:pPr>
        <w:pStyle w:val="BodyText"/>
      </w:pPr>
      <w:r>
        <w:t xml:space="preserve">Una respuesta sólida suele ser específica, cuidadosa y honesta sobre los límites de autoridad.</w:t>
      </w:r>
    </w:p>
    <w:bookmarkEnd w:id="76"/>
    <w:bookmarkStart w:id="77" w:name="lista-final"/>
    <w:p>
      <w:pPr>
        <w:pStyle w:val="Heading2"/>
      </w:pPr>
      <w:r>
        <w:t xml:space="preserve">Lista final</w:t>
      </w:r>
    </w:p>
    <w:p>
      <w:pPr>
        <w:pStyle w:val="FirstParagraph"/>
      </w:pPr>
      <w:r>
        <w:t xml:space="preserve">Antes de postular, confirme honestamente:</w:t>
      </w:r>
    </w:p>
    <w:p>
      <w:pPr>
        <w:numPr>
          <w:ilvl w:val="0"/>
          <w:numId w:val="1009"/>
        </w:numPr>
        <w:pStyle w:val="Compact"/>
      </w:pPr>
      <w:r>
        <w:t xml:space="preserve">☐ Puedo explicar qué hace un técnico en ingeniería mecánica.</w:t>
      </w:r>
    </w:p>
    <w:p>
      <w:pPr>
        <w:numPr>
          <w:ilvl w:val="0"/>
          <w:numId w:val="1009"/>
        </w:numPr>
        <w:pStyle w:val="Compact"/>
      </w:pPr>
      <w:r>
        <w:t xml:space="preserve">☐ Comprendo la diferencia entre apoyo técnico y autoridad profesional de ingeniería.</w:t>
      </w:r>
    </w:p>
    <w:p>
      <w:pPr>
        <w:numPr>
          <w:ilvl w:val="0"/>
          <w:numId w:val="1009"/>
        </w:numPr>
        <w:pStyle w:val="Compact"/>
      </w:pPr>
      <w:r>
        <w:t xml:space="preserve">☐ Puedo leer planos mecánicos básicos e identificar información de revisión.</w:t>
      </w:r>
    </w:p>
    <w:p>
      <w:pPr>
        <w:numPr>
          <w:ilvl w:val="0"/>
          <w:numId w:val="1009"/>
        </w:numPr>
        <w:pStyle w:val="Compact"/>
      </w:pPr>
      <w:r>
        <w:t xml:space="preserve">☐ Puedo usar al menos una herramienta de medición correctamente o explicar cómo me estoy formando.</w:t>
      </w:r>
    </w:p>
    <w:p>
      <w:pPr>
        <w:numPr>
          <w:ilvl w:val="0"/>
          <w:numId w:val="1009"/>
        </w:numPr>
        <w:pStyle w:val="Compact"/>
      </w:pPr>
      <w:r>
        <w:t xml:space="preserve">☐ Comprendo por qué importan calibración y trazabilidad.</w:t>
      </w:r>
    </w:p>
    <w:p>
      <w:pPr>
        <w:numPr>
          <w:ilvl w:val="0"/>
          <w:numId w:val="1009"/>
        </w:numPr>
        <w:pStyle w:val="Compact"/>
      </w:pPr>
      <w:r>
        <w:t xml:space="preserve">☐ Puedo describir un proceso de prueba controlado.</w:t>
      </w:r>
    </w:p>
    <w:p>
      <w:pPr>
        <w:numPr>
          <w:ilvl w:val="0"/>
          <w:numId w:val="1009"/>
        </w:numPr>
        <w:pStyle w:val="Compact"/>
      </w:pPr>
      <w:r>
        <w:t xml:space="preserve">☐ Comprendo el propósito de guardas y bloqueo/etiquetado.</w:t>
      </w:r>
    </w:p>
    <w:p>
      <w:pPr>
        <w:numPr>
          <w:ilvl w:val="0"/>
          <w:numId w:val="1009"/>
        </w:numPr>
        <w:pStyle w:val="Compact"/>
      </w:pPr>
      <w:r>
        <w:t xml:space="preserve">☐ Sé que puede quedar energía almacenada después de una parada normal.</w:t>
      </w:r>
    </w:p>
    <w:p>
      <w:pPr>
        <w:numPr>
          <w:ilvl w:val="0"/>
          <w:numId w:val="1009"/>
        </w:numPr>
        <w:pStyle w:val="Compact"/>
      </w:pPr>
      <w:r>
        <w:t xml:space="preserve">☐ Puedo explicar cuándo detener el trabajo y escalar.</w:t>
      </w:r>
    </w:p>
    <w:p>
      <w:pPr>
        <w:numPr>
          <w:ilvl w:val="0"/>
          <w:numId w:val="1009"/>
        </w:numPr>
        <w:pStyle w:val="Compact"/>
      </w:pPr>
      <w:r>
        <w:t xml:space="preserve">☐ Puedo proteger datos de ingeniería y seguir controles de ciberseguridad del empleador.</w:t>
      </w:r>
    </w:p>
    <w:p>
      <w:pPr>
        <w:numPr>
          <w:ilvl w:val="0"/>
          <w:numId w:val="1009"/>
        </w:numPr>
        <w:pStyle w:val="Compact"/>
      </w:pPr>
      <w:r>
        <w:t xml:space="preserve">☐ Puedo explicar un uso seguro y limitado de IA en trabajo técnico.</w:t>
      </w:r>
    </w:p>
    <w:p>
      <w:pPr>
        <w:numPr>
          <w:ilvl w:val="0"/>
          <w:numId w:val="1009"/>
        </w:numPr>
        <w:pStyle w:val="Compact"/>
      </w:pPr>
      <w:r>
        <w:t xml:space="preserve">☐ He revisado opciones actuales de educación y financiamiento en mi ubicación.</w:t>
      </w:r>
    </w:p>
    <w:p>
      <w:pPr>
        <w:numPr>
          <w:ilvl w:val="0"/>
          <w:numId w:val="1009"/>
        </w:numPr>
        <w:pStyle w:val="Compact"/>
      </w:pPr>
      <w:r>
        <w:t xml:space="preserve">☐ Tengo al menos un ejemplo verdadero de portafolio o experiencia relevante.</w:t>
      </w:r>
    </w:p>
    <w:p>
      <w:pPr>
        <w:numPr>
          <w:ilvl w:val="0"/>
          <w:numId w:val="1009"/>
        </w:numPr>
        <w:pStyle w:val="Compact"/>
      </w:pPr>
      <w:r>
        <w:t xml:space="preserve">☐ He completado los seis hitos del plan o tengo fechas asignadas para terminarlos.</w:t>
      </w:r>
    </w:p>
    <w:bookmarkEnd w:id="77"/>
    <w:bookmarkStart w:id="100" w:name="fuentes-y-enlaces-de-verificación"/>
    <w:p>
      <w:pPr>
        <w:pStyle w:val="Heading2"/>
      </w:pPr>
      <w:r>
        <w:t xml:space="preserve">Fuentes y enlaces de verificación</w:t>
      </w:r>
    </w:p>
    <w:bookmarkStart w:id="86" w:name="estados-unidos"/>
    <w:p>
      <w:pPr>
        <w:pStyle w:val="Heading3"/>
      </w:pPr>
      <w:r>
        <w:t xml:space="preserve">Estados Unidos</w:t>
      </w:r>
    </w:p>
    <w:p>
      <w:pPr>
        <w:numPr>
          <w:ilvl w:val="0"/>
          <w:numId w:val="1010"/>
        </w:numPr>
        <w:pStyle w:val="Compact"/>
      </w:pPr>
      <w:r>
        <w:t xml:space="preserve">O*NET OnLine — Mechanical Engineering Technologists and Technicians:</w:t>
      </w:r>
      <w:r>
        <w:t xml:space="preserve"> </w:t>
      </w:r>
      <w:hyperlink r:id="rId78">
        <w:r>
          <w:rPr>
            <w:rStyle w:val="Hyperlink"/>
          </w:rPr>
          <w:t xml:space="preserve">https://www.onetonline.org/link/details/17-3027.00</w:t>
        </w:r>
      </w:hyperlink>
    </w:p>
    <w:p>
      <w:pPr>
        <w:numPr>
          <w:ilvl w:val="0"/>
          <w:numId w:val="1010"/>
        </w:numPr>
        <w:pStyle w:val="Compact"/>
      </w:pPr>
      <w:r>
        <w:t xml:space="preserve">U.S. Bureau of Labor Statistics — Occupational Outlook Handbook:</w:t>
      </w:r>
      <w:r>
        <w:t xml:space="preserve"> </w:t>
      </w:r>
      <w:hyperlink r:id="rId79">
        <w:r>
          <w:rPr>
            <w:rStyle w:val="Hyperlink"/>
          </w:rPr>
          <w:t xml:space="preserve">https://www.bls.gov/ooh/architecture-and-engineering/mechanical-engineering-technicians.htm</w:t>
        </w:r>
      </w:hyperlink>
    </w:p>
    <w:p>
      <w:pPr>
        <w:numPr>
          <w:ilvl w:val="0"/>
          <w:numId w:val="1010"/>
        </w:numPr>
        <w:pStyle w:val="Compact"/>
      </w:pPr>
      <w:r>
        <w:t xml:space="preserve">BLS 2025 OEWS national table:</w:t>
      </w:r>
      <w:r>
        <w:t xml:space="preserve"> </w:t>
      </w:r>
      <w:hyperlink r:id="rId80">
        <w:r>
          <w:rPr>
            <w:rStyle w:val="Hyperlink"/>
          </w:rPr>
          <w:t xml:space="preserve">https://www.bls.gov/news.release/ocwage.t01.htm</w:t>
        </w:r>
      </w:hyperlink>
    </w:p>
    <w:p>
      <w:pPr>
        <w:numPr>
          <w:ilvl w:val="0"/>
          <w:numId w:val="1010"/>
        </w:numPr>
        <w:pStyle w:val="Compact"/>
      </w:pPr>
      <w:r>
        <w:t xml:space="preserve">CareerOneStop WIOA-Eligible Training Program Finder:</w:t>
      </w:r>
      <w:r>
        <w:t xml:space="preserve"> </w:t>
      </w:r>
      <w:hyperlink r:id="rId43">
        <w:r>
          <w:rPr>
            <w:rStyle w:val="Hyperlink"/>
          </w:rPr>
          <w:t xml:space="preserve">https://www.careeronestop.org/LocalHelp/EmploymentAndTraining/find-WIOA-training-programs.aspx</w:t>
        </w:r>
      </w:hyperlink>
    </w:p>
    <w:p>
      <w:pPr>
        <w:numPr>
          <w:ilvl w:val="0"/>
          <w:numId w:val="1010"/>
        </w:numPr>
        <w:pStyle w:val="Compact"/>
      </w:pPr>
      <w:r>
        <w:t xml:space="preserve">OSHA — Control of Hazardous Energy:</w:t>
      </w:r>
      <w:r>
        <w:t xml:space="preserve"> </w:t>
      </w:r>
      <w:hyperlink r:id="rId81">
        <w:r>
          <w:rPr>
            <w:rStyle w:val="Hyperlink"/>
          </w:rPr>
          <w:t xml:space="preserve">https://www.osha.gov/control-hazardous-energy</w:t>
        </w:r>
      </w:hyperlink>
    </w:p>
    <w:p>
      <w:pPr>
        <w:numPr>
          <w:ilvl w:val="0"/>
          <w:numId w:val="1010"/>
        </w:numPr>
        <w:pStyle w:val="Compact"/>
      </w:pPr>
      <w:r>
        <w:t xml:space="preserve">OSHA Lockout/Tagout guide:</w:t>
      </w:r>
      <w:r>
        <w:t xml:space="preserve"> </w:t>
      </w:r>
      <w:hyperlink r:id="rId82">
        <w:r>
          <w:rPr>
            <w:rStyle w:val="Hyperlink"/>
          </w:rPr>
          <w:t xml:space="preserve">https://www.osha.gov/sites/default/files/publications/OSHA3120.pdf</w:t>
        </w:r>
      </w:hyperlink>
    </w:p>
    <w:p>
      <w:pPr>
        <w:numPr>
          <w:ilvl w:val="0"/>
          <w:numId w:val="1010"/>
        </w:numPr>
        <w:pStyle w:val="Compact"/>
      </w:pPr>
      <w:r>
        <w:t xml:space="preserve">CISA Secure Our World:</w:t>
      </w:r>
      <w:r>
        <w:t xml:space="preserve"> </w:t>
      </w:r>
      <w:hyperlink r:id="rId83">
        <w:r>
          <w:rPr>
            <w:rStyle w:val="Hyperlink"/>
          </w:rPr>
          <w:t xml:space="preserve">https://www.cisa.gov/secure-our-world</w:t>
        </w:r>
      </w:hyperlink>
    </w:p>
    <w:p>
      <w:pPr>
        <w:numPr>
          <w:ilvl w:val="0"/>
          <w:numId w:val="1010"/>
        </w:numPr>
        <w:pStyle w:val="Compact"/>
      </w:pPr>
      <w:r>
        <w:t xml:space="preserve">NIST AI Risk Management Framework:</w:t>
      </w:r>
      <w:r>
        <w:t xml:space="preserve"> </w:t>
      </w:r>
      <w:hyperlink r:id="rId84">
        <w:r>
          <w:rPr>
            <w:rStyle w:val="Hyperlink"/>
          </w:rPr>
          <w:t xml:space="preserve">https://www.nist.gov/itl/ai-risk-management-framework</w:t>
        </w:r>
      </w:hyperlink>
    </w:p>
    <w:p>
      <w:pPr>
        <w:numPr>
          <w:ilvl w:val="0"/>
          <w:numId w:val="1010"/>
        </w:numPr>
        <w:pStyle w:val="Compact"/>
      </w:pPr>
      <w:r>
        <w:t xml:space="preserve">NIST Generative AI Profile:</w:t>
      </w:r>
      <w:r>
        <w:t xml:space="preserve"> </w:t>
      </w:r>
      <w:hyperlink r:id="rId85">
        <w:r>
          <w:rPr>
            <w:rStyle w:val="Hyperlink"/>
          </w:rPr>
          <w:t xml:space="preserve">https://www.nist.gov/publications/artificial-intelligence-risk-management-framework-generative-artificial-intelligence</w:t>
        </w:r>
      </w:hyperlink>
    </w:p>
    <w:bookmarkEnd w:id="86"/>
    <w:bookmarkStart w:id="94" w:name="canadá"/>
    <w:p>
      <w:pPr>
        <w:pStyle w:val="Heading3"/>
      </w:pPr>
      <w:r>
        <w:t xml:space="preserve">Canadá</w:t>
      </w:r>
    </w:p>
    <w:p>
      <w:pPr>
        <w:numPr>
          <w:ilvl w:val="0"/>
          <w:numId w:val="1011"/>
        </w:numPr>
        <w:pStyle w:val="Compact"/>
      </w:pPr>
      <w:r>
        <w:t xml:space="preserve">Job Bank summary:</w:t>
      </w:r>
      <w:r>
        <w:t xml:space="preserve"> </w:t>
      </w:r>
      <w:hyperlink r:id="rId87">
        <w:r>
          <w:rPr>
            <w:rStyle w:val="Hyperlink"/>
          </w:rPr>
          <w:t xml:space="preserve">https://www.jobbank.gc.ca/marketreport/summary-occupation/3236/ca</w:t>
        </w:r>
      </w:hyperlink>
    </w:p>
    <w:p>
      <w:pPr>
        <w:numPr>
          <w:ilvl w:val="0"/>
          <w:numId w:val="1011"/>
        </w:numPr>
        <w:pStyle w:val="Compact"/>
      </w:pPr>
      <w:r>
        <w:t xml:space="preserve">Job Bank description:</w:t>
      </w:r>
      <w:r>
        <w:t xml:space="preserve"> </w:t>
      </w:r>
      <w:hyperlink r:id="rId88">
        <w:r>
          <w:rPr>
            <w:rStyle w:val="Hyperlink"/>
          </w:rPr>
          <w:t xml:space="preserve">https://www.jobbank.gc.ca/marketreport/occupation/3236/ca</w:t>
        </w:r>
      </w:hyperlink>
    </w:p>
    <w:p>
      <w:pPr>
        <w:numPr>
          <w:ilvl w:val="0"/>
          <w:numId w:val="1011"/>
        </w:numPr>
        <w:pStyle w:val="Compact"/>
      </w:pPr>
      <w:r>
        <w:t xml:space="preserve">Job Bank wages:</w:t>
      </w:r>
      <w:r>
        <w:t xml:space="preserve"> </w:t>
      </w:r>
      <w:hyperlink r:id="rId89">
        <w:r>
          <w:rPr>
            <w:rStyle w:val="Hyperlink"/>
          </w:rPr>
          <w:t xml:space="preserve">https://www.jobbank.gc.ca/marketreport/wages-occupation/3236/ca</w:t>
        </w:r>
      </w:hyperlink>
    </w:p>
    <w:p>
      <w:pPr>
        <w:numPr>
          <w:ilvl w:val="0"/>
          <w:numId w:val="1011"/>
        </w:numPr>
        <w:pStyle w:val="Compact"/>
      </w:pPr>
      <w:r>
        <w:t xml:space="preserve">Job Bank prospects:</w:t>
      </w:r>
      <w:r>
        <w:t xml:space="preserve"> </w:t>
      </w:r>
      <w:hyperlink r:id="rId90">
        <w:r>
          <w:rPr>
            <w:rStyle w:val="Hyperlink"/>
          </w:rPr>
          <w:t xml:space="preserve">https://www.jobbank.gc.ca/marketreport/outlook-occupation/3236/ca</w:t>
        </w:r>
      </w:hyperlink>
    </w:p>
    <w:p>
      <w:pPr>
        <w:numPr>
          <w:ilvl w:val="0"/>
          <w:numId w:val="1011"/>
        </w:numPr>
        <w:pStyle w:val="Compact"/>
      </w:pPr>
      <w:r>
        <w:t xml:space="preserve">Job Bank requirements:</w:t>
      </w:r>
      <w:r>
        <w:t xml:space="preserve"> </w:t>
      </w:r>
      <w:hyperlink r:id="rId91">
        <w:r>
          <w:rPr>
            <w:rStyle w:val="Hyperlink"/>
          </w:rPr>
          <w:t xml:space="preserve">https://www.jobbank.gc.ca/marketreport/requirements/3235/ca</w:t>
        </w:r>
      </w:hyperlink>
    </w:p>
    <w:p>
      <w:pPr>
        <w:numPr>
          <w:ilvl w:val="0"/>
          <w:numId w:val="1011"/>
        </w:numPr>
        <w:pStyle w:val="Compact"/>
      </w:pPr>
      <w:r>
        <w:t xml:space="preserve">Government of Canada training:</w:t>
      </w:r>
      <w:r>
        <w:t xml:space="preserve"> </w:t>
      </w:r>
      <w:hyperlink r:id="rId48">
        <w:r>
          <w:rPr>
            <w:rStyle w:val="Hyperlink"/>
          </w:rPr>
          <w:t xml:space="preserve">https://www.canada.ca/en/services/jobs/training.html</w:t>
        </w:r>
      </w:hyperlink>
    </w:p>
    <w:p>
      <w:pPr>
        <w:numPr>
          <w:ilvl w:val="0"/>
          <w:numId w:val="1011"/>
        </w:numPr>
        <w:pStyle w:val="Compact"/>
      </w:pPr>
      <w:r>
        <w:t xml:space="preserve">Labour Market Agreements:</w:t>
      </w:r>
      <w:r>
        <w:t xml:space="preserve"> </w:t>
      </w:r>
      <w:hyperlink r:id="rId92">
        <w:r>
          <w:rPr>
            <w:rStyle w:val="Hyperlink"/>
          </w:rPr>
          <w:t xml:space="preserve">https://www.canada.ca/en/employment-social-development/programs/training-agreements.html</w:t>
        </w:r>
      </w:hyperlink>
    </w:p>
    <w:p>
      <w:pPr>
        <w:numPr>
          <w:ilvl w:val="0"/>
          <w:numId w:val="1011"/>
        </w:numPr>
        <w:pStyle w:val="Compact"/>
      </w:pPr>
      <w:r>
        <w:t xml:space="preserve">Labour Market Development Agreements:</w:t>
      </w:r>
      <w:r>
        <w:t xml:space="preserve"> </w:t>
      </w:r>
      <w:hyperlink r:id="rId93">
        <w:r>
          <w:rPr>
            <w:rStyle w:val="Hyperlink"/>
          </w:rPr>
          <w:t xml:space="preserve">https://www.canada.ca/en/employment-social-development/programs/training-agreements/lmda.html</w:t>
        </w:r>
      </w:hyperlink>
    </w:p>
    <w:bookmarkEnd w:id="94"/>
    <w:bookmarkStart w:id="99" w:name="colombia-y-américa-latina"/>
    <w:p>
      <w:pPr>
        <w:pStyle w:val="Heading3"/>
      </w:pPr>
      <w:r>
        <w:t xml:space="preserve">Colombia y América Latina</w:t>
      </w:r>
    </w:p>
    <w:p>
      <w:pPr>
        <w:numPr>
          <w:ilvl w:val="0"/>
          <w:numId w:val="1012"/>
        </w:numPr>
        <w:pStyle w:val="Compact"/>
      </w:pPr>
      <w:r>
        <w:t xml:space="preserve">OCUPACOL CUOC 31150:</w:t>
      </w:r>
      <w:r>
        <w:t xml:space="preserve"> </w:t>
      </w:r>
      <w:hyperlink r:id="rId95">
        <w:r>
          <w:rPr>
            <w:rStyle w:val="Hyperlink"/>
          </w:rPr>
          <w:t xml:space="preserve">https://ocupacol.mintrabajo.gov.co/Profile/OccupationalProfile/31150</w:t>
        </w:r>
      </w:hyperlink>
    </w:p>
    <w:p>
      <w:pPr>
        <w:numPr>
          <w:ilvl w:val="0"/>
          <w:numId w:val="1012"/>
        </w:numPr>
        <w:pStyle w:val="Compact"/>
      </w:pPr>
      <w:r>
        <w:t xml:space="preserve">OCUPACOL hierarchy:</w:t>
      </w:r>
      <w:r>
        <w:t xml:space="preserve"> </w:t>
      </w:r>
      <w:hyperlink r:id="rId96">
        <w:r>
          <w:rPr>
            <w:rStyle w:val="Hyperlink"/>
          </w:rPr>
          <w:t xml:space="preserve">https://ocupacol.mintrabajo.gov.co/Jerarquias/Jerarquias</w:t>
        </w:r>
      </w:hyperlink>
    </w:p>
    <w:p>
      <w:pPr>
        <w:numPr>
          <w:ilvl w:val="0"/>
          <w:numId w:val="1012"/>
        </w:numPr>
        <w:pStyle w:val="Compact"/>
      </w:pPr>
      <w:r>
        <w:t xml:space="preserve">SENA — Mantenimiento Mecánico Industrial:</w:t>
      </w:r>
      <w:r>
        <w:t xml:space="preserve"> </w:t>
      </w:r>
      <w:hyperlink r:id="rId97">
        <w:r>
          <w:rPr>
            <w:rStyle w:val="Hyperlink"/>
          </w:rPr>
          <w:t xml:space="preserve">https://betowa.sena.edu.co/oferta/mantenimiento-mecanico-industrial?level=6&amp;modality=P&amp;programId=130255</w:t>
        </w:r>
      </w:hyperlink>
    </w:p>
    <w:p>
      <w:pPr>
        <w:numPr>
          <w:ilvl w:val="0"/>
          <w:numId w:val="1012"/>
        </w:numPr>
        <w:pStyle w:val="Compact"/>
      </w:pPr>
      <w:r>
        <w:t xml:space="preserve">SENA — Mantenimiento Electromecánico Industrial:</w:t>
      </w:r>
      <w:r>
        <w:t xml:space="preserve"> </w:t>
      </w:r>
      <w:hyperlink r:id="rId98">
        <w:r>
          <w:rPr>
            <w:rStyle w:val="Hyperlink"/>
          </w:rPr>
          <w:t xml:space="preserve">https://betowa.sena.edu.co/oferta/mantenimiento-electromecanico-industrial?modality=P&amp;offertype=company&amp;programId=130695&amp;search=mecanico</w:t>
        </w:r>
      </w:hyperlink>
    </w:p>
    <w:p>
      <w:pPr>
        <w:numPr>
          <w:ilvl w:val="0"/>
          <w:numId w:val="1012"/>
        </w:numPr>
        <w:pStyle w:val="Compact"/>
      </w:pPr>
      <w:r>
        <w:t xml:space="preserve">OIT/Cinterfor:</w:t>
      </w:r>
      <w:r>
        <w:t xml:space="preserve"> </w:t>
      </w:r>
      <w:hyperlink r:id="rId53">
        <w:r>
          <w:rPr>
            <w:rStyle w:val="Hyperlink"/>
          </w:rPr>
          <w:t xml:space="preserve">https://www.oitcinterfor.org/</w:t>
        </w:r>
      </w:hyperlink>
    </w:p>
    <w:p>
      <w:pPr>
        <w:numPr>
          <w:ilvl w:val="0"/>
          <w:numId w:val="1012"/>
        </w:numPr>
        <w:pStyle w:val="Compact"/>
      </w:pPr>
      <w:r>
        <w:t xml:space="preserve">OIT/Cinterfor country network:</w:t>
      </w:r>
      <w:r>
        <w:t xml:space="preserve"> </w:t>
      </w:r>
      <w:hyperlink r:id="rId54">
        <w:r>
          <w:rPr>
            <w:rStyle w:val="Hyperlink"/>
          </w:rPr>
          <w:t xml:space="preserve">https://www.oitcinterfor.org/statsfp/paises</w:t>
        </w:r>
      </w:hyperlink>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https://betowa.sena.edu.co/oferta/mantenimiento-electromecanico-industrial?modality=P&amp;offertype=company&amp;programId=130695&amp;search=mecanico" TargetMode="External" /><Relationship Type="http://schemas.openxmlformats.org/officeDocument/2006/relationships/hyperlink" Id="rId97" Target="https://betowa.sena.edu.co/oferta/mantenimiento-mecanico-industrial?level=6&amp;modality=P&amp;programId=130255" TargetMode="External" /><Relationship Type="http://schemas.openxmlformats.org/officeDocument/2006/relationships/hyperlink" Id="rId64" Target="https://co.computrabajo.com/salarios/tecnico-mecanico" TargetMode="External" /><Relationship Type="http://schemas.openxmlformats.org/officeDocument/2006/relationships/hyperlink" Id="rId96" Target="https://ocupacol.mintrabajo.gov.co/Jerarquias/Jerarquias" TargetMode="External" /><Relationship Type="http://schemas.openxmlformats.org/officeDocument/2006/relationships/hyperlink" Id="rId95" Target="https://ocupacol.mintrabajo.gov.co/Profile/OccupationalProfile/31150"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architecture-and-engineering/mechanical-engineering-technicians.htm" TargetMode="External" /><Relationship Type="http://schemas.openxmlformats.org/officeDocument/2006/relationships/hyperlink" Id="rId92" Target="https://www.canada.ca/en/employment-social-development/programs/training-agreements.html" TargetMode="External" /><Relationship Type="http://schemas.openxmlformats.org/officeDocument/2006/relationships/hyperlink" Id="rId93" Target="https://www.canada.ca/en/employment-social-development/programs/training-agreements/lmda.html" TargetMode="External" /><Relationship Type="http://schemas.openxmlformats.org/officeDocument/2006/relationships/hyperlink" Id="rId48" Target="https://www.canada.ca/en/services/jobs/training.html" TargetMode="External" /><Relationship Type="http://schemas.openxmlformats.org/officeDocument/2006/relationships/hyperlink" Id="rId43"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8" Target="https://www.jobbank.gc.ca/marketreport/occupation/3236/ca" TargetMode="External" /><Relationship Type="http://schemas.openxmlformats.org/officeDocument/2006/relationships/hyperlink" Id="rId90" Target="https://www.jobbank.gc.ca/marketreport/outlook-occupation/3236/ca" TargetMode="External" /><Relationship Type="http://schemas.openxmlformats.org/officeDocument/2006/relationships/hyperlink" Id="rId91" Target="https://www.jobbank.gc.ca/marketreport/requirements/3235/ca" TargetMode="External" /><Relationship Type="http://schemas.openxmlformats.org/officeDocument/2006/relationships/hyperlink" Id="rId87" Target="https://www.jobbank.gc.ca/marketreport/summary-occupation/3236/ca" TargetMode="External" /><Relationship Type="http://schemas.openxmlformats.org/officeDocument/2006/relationships/hyperlink" Id="rId89" Target="https://www.jobbank.gc.ca/marketreport/wages-occupation/3236/ca" TargetMode="External" /><Relationship Type="http://schemas.openxmlformats.org/officeDocument/2006/relationships/hyperlink" Id="rId84" Target="https://www.nist.gov/itl/ai-risk-management-framework" TargetMode="External" /><Relationship Type="http://schemas.openxmlformats.org/officeDocument/2006/relationships/hyperlink" Id="rId85" Target="https://www.nist.gov/publications/artificial-intelligence-risk-management-framework-generative-artificial-intelligence" TargetMode="External" /><Relationship Type="http://schemas.openxmlformats.org/officeDocument/2006/relationships/hyperlink" Id="rId53" Target="https://www.oitcinterfor.org/" TargetMode="External" /><Relationship Type="http://schemas.openxmlformats.org/officeDocument/2006/relationships/hyperlink" Id="rId54" Target="https://www.oitcinterfor.org/statsfp/paises" TargetMode="External" /><Relationship Type="http://schemas.openxmlformats.org/officeDocument/2006/relationships/hyperlink" Id="rId78" Target="https://www.onetonline.org/link/details/17-3027.00" TargetMode="External" /><Relationship Type="http://schemas.openxmlformats.org/officeDocument/2006/relationships/hyperlink" Id="rId81" Target="https://www.osha.gov/control-hazardous-energy" TargetMode="External" /><Relationship Type="http://schemas.openxmlformats.org/officeDocument/2006/relationships/hyperlink" Id="rId82" Target="https://www.osha.gov/sites/default/files/publications/OSHA3120.pdf" TargetMode="External" /><Relationship Type="http://schemas.openxmlformats.org/officeDocument/2006/relationships/hyperlink" Id="rId62" Target="https://www.salary.com/research/salary/listing/mechanical-engineering-technician-salary" TargetMode="External" /><Relationship Type="http://schemas.openxmlformats.org/officeDocument/2006/relationships/hyperlink" Id="rId60" Target="https://www.ziprecruiter.com/Salaries/Mechanical-Engineering-Technician-Salary" TargetMode="External" /></Relationships>
</file>

<file path=word/_rels/footnotes.xml.rels><?xml version="1.0" encoding="UTF-8"?><Relationships xmlns="http://schemas.openxmlformats.org/package/2006/relationships"><Relationship Type="http://schemas.openxmlformats.org/officeDocument/2006/relationships/hyperlink" Id="rId98" Target="https://betowa.sena.edu.co/oferta/mantenimiento-electromecanico-industrial?modality=P&amp;offertype=company&amp;programId=130695&amp;search=mecanico" TargetMode="External" /><Relationship Type="http://schemas.openxmlformats.org/officeDocument/2006/relationships/hyperlink" Id="rId97" Target="https://betowa.sena.edu.co/oferta/mantenimiento-mecanico-industrial?level=6&amp;modality=P&amp;programId=130255" TargetMode="External" /><Relationship Type="http://schemas.openxmlformats.org/officeDocument/2006/relationships/hyperlink" Id="rId64" Target="https://co.computrabajo.com/salarios/tecnico-mecanico" TargetMode="External" /><Relationship Type="http://schemas.openxmlformats.org/officeDocument/2006/relationships/hyperlink" Id="rId96" Target="https://ocupacol.mintrabajo.gov.co/Jerarquias/Jerarquias" TargetMode="External" /><Relationship Type="http://schemas.openxmlformats.org/officeDocument/2006/relationships/hyperlink" Id="rId95" Target="https://ocupacol.mintrabajo.gov.co/Profile/OccupationalProfile/31150" TargetMode="External" /><Relationship Type="http://schemas.openxmlformats.org/officeDocument/2006/relationships/hyperlink" Id="rId80" Target="https://www.bls.gov/news.release/ocwage.t01.htm" TargetMode="External" /><Relationship Type="http://schemas.openxmlformats.org/officeDocument/2006/relationships/hyperlink" Id="rId79" Target="https://www.bls.gov/ooh/architecture-and-engineering/mechanical-engineering-technicians.htm" TargetMode="External" /><Relationship Type="http://schemas.openxmlformats.org/officeDocument/2006/relationships/hyperlink" Id="rId92" Target="https://www.canada.ca/en/employment-social-development/programs/training-agreements.html" TargetMode="External" /><Relationship Type="http://schemas.openxmlformats.org/officeDocument/2006/relationships/hyperlink" Id="rId93" Target="https://www.canada.ca/en/employment-social-development/programs/training-agreements/lmda.html" TargetMode="External" /><Relationship Type="http://schemas.openxmlformats.org/officeDocument/2006/relationships/hyperlink" Id="rId48" Target="https://www.canada.ca/en/services/jobs/training.html" TargetMode="External" /><Relationship Type="http://schemas.openxmlformats.org/officeDocument/2006/relationships/hyperlink" Id="rId43"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8" Target="https://www.jobbank.gc.ca/marketreport/occupation/3236/ca" TargetMode="External" /><Relationship Type="http://schemas.openxmlformats.org/officeDocument/2006/relationships/hyperlink" Id="rId90" Target="https://www.jobbank.gc.ca/marketreport/outlook-occupation/3236/ca" TargetMode="External" /><Relationship Type="http://schemas.openxmlformats.org/officeDocument/2006/relationships/hyperlink" Id="rId91" Target="https://www.jobbank.gc.ca/marketreport/requirements/3235/ca" TargetMode="External" /><Relationship Type="http://schemas.openxmlformats.org/officeDocument/2006/relationships/hyperlink" Id="rId87" Target="https://www.jobbank.gc.ca/marketreport/summary-occupation/3236/ca" TargetMode="External" /><Relationship Type="http://schemas.openxmlformats.org/officeDocument/2006/relationships/hyperlink" Id="rId89" Target="https://www.jobbank.gc.ca/marketreport/wages-occupation/3236/ca" TargetMode="External" /><Relationship Type="http://schemas.openxmlformats.org/officeDocument/2006/relationships/hyperlink" Id="rId84" Target="https://www.nist.gov/itl/ai-risk-management-framework" TargetMode="External" /><Relationship Type="http://schemas.openxmlformats.org/officeDocument/2006/relationships/hyperlink" Id="rId85" Target="https://www.nist.gov/publications/artificial-intelligence-risk-management-framework-generative-artificial-intelligence" TargetMode="External" /><Relationship Type="http://schemas.openxmlformats.org/officeDocument/2006/relationships/hyperlink" Id="rId53" Target="https://www.oitcinterfor.org/" TargetMode="External" /><Relationship Type="http://schemas.openxmlformats.org/officeDocument/2006/relationships/hyperlink" Id="rId54" Target="https://www.oitcinterfor.org/statsfp/paises" TargetMode="External" /><Relationship Type="http://schemas.openxmlformats.org/officeDocument/2006/relationships/hyperlink" Id="rId78" Target="https://www.onetonline.org/link/details/17-3027.00" TargetMode="External" /><Relationship Type="http://schemas.openxmlformats.org/officeDocument/2006/relationships/hyperlink" Id="rId81" Target="https://www.osha.gov/control-hazardous-energy" TargetMode="External" /><Relationship Type="http://schemas.openxmlformats.org/officeDocument/2006/relationships/hyperlink" Id="rId82" Target="https://www.osha.gov/sites/default/files/publications/OSHA3120.pdf" TargetMode="External" /><Relationship Type="http://schemas.openxmlformats.org/officeDocument/2006/relationships/hyperlink" Id="rId62" Target="https://www.salary.com/research/salary/listing/mechanical-engineering-technician-salary" TargetMode="External" /><Relationship Type="http://schemas.openxmlformats.org/officeDocument/2006/relationships/hyperlink" Id="rId60" Target="https://www.ziprecruiter.com/Salaries/Mechanical-Engineering-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2026-08-22T22:20:37Z</dcterms:created>
  <dcterms:modified xsi:type="dcterms:W3CDTF">2026-08-22T22:20:37Z</dcterms:modified>
</cp:coreProperties>
</file>

<file path=docProps/custom.xml><?xml version="1.0" encoding="utf-8"?>
<Properties xmlns="http://schemas.openxmlformats.org/officeDocument/2006/custom-properties" xmlns:vt="http://schemas.openxmlformats.org/officeDocument/2006/docPropsVTypes"/>
</file>