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X419f909de21e7a5b970185af2768af7d07ad668"/>
    <w:p>
      <w:pPr>
        <w:pStyle w:val="Heading1"/>
      </w:pPr>
      <w:r>
        <w:t xml:space="preserve">Guia de Oportunidades ao Longo da Vida 99 — Técnico/a em Ciência de Alimentos</w:t>
      </w:r>
    </w:p>
    <w:p>
      <w:pPr>
        <w:pStyle w:val="FirstParagraph"/>
      </w:pPr>
      <w:r>
        <w:rPr>
          <w:bCs/>
          <w:b/>
        </w:rPr>
        <w:t xml:space="preserve">Versão:</w:t>
      </w:r>
      <w:r>
        <w:t xml:space="preserve"> </w:t>
      </w:r>
      <w:r>
        <w:t xml:space="preserve">2.0, mestre controlado</w:t>
      </w:r>
      <w:r>
        <w:br/>
      </w:r>
      <w:r>
        <w:rPr>
          <w:bCs/>
          <w:b/>
        </w:rPr>
        <w:t xml:space="preserve">Idioma:</w:t>
      </w:r>
      <w:r>
        <w:t xml:space="preserve"> </w:t>
      </w:r>
      <w:r>
        <w:t xml:space="preserve">Português do Brasil (</w:t>
      </w:r>
      <w:r>
        <w:rPr>
          <w:rStyle w:val="VerbatimChar"/>
        </w:rPr>
        <w:t xml:space="preserve">pt-BR</w:t>
      </w:r>
      <w:r>
        <w:t xml:space="preserve">)</w:t>
      </w:r>
      <w:r>
        <w:br/>
      </w:r>
      <w:r>
        <w:rPr>
          <w:bCs/>
          <w:b/>
        </w:rPr>
        <w:t xml:space="preserve">Referência ocupacional dos EUA:</w:t>
      </w:r>
      <w:r>
        <w:t xml:space="preserve"> </w:t>
      </w:r>
      <w:r>
        <w:t xml:space="preserve">O*NET-SOC 19-4013.00 — Food Science Technicians</w:t>
      </w:r>
      <w:r>
        <w:br/>
      </w:r>
      <w:r>
        <w:rPr>
          <w:bCs/>
          <w:b/>
        </w:rPr>
        <w:t xml:space="preserve">Comparação do Canadá:</w:t>
      </w:r>
      <w:r>
        <w:t xml:space="preserve"> </w:t>
      </w:r>
      <w:r>
        <w:t xml:space="preserve">NOC 22100 — Chemical technologists and technicians (título de mercado: Food technologist)</w:t>
      </w:r>
      <w:r>
        <w:br/>
      </w:r>
      <w:r>
        <w:rPr>
          <w:bCs/>
          <w:b/>
        </w:rPr>
        <w:t xml:space="preserve">Comparações da Colômbia:</w:t>
      </w:r>
      <w:r>
        <w:t xml:space="preserve"> </w:t>
      </w:r>
      <w:r>
        <w:t xml:space="preserve">CUOC 31160 — Técnicos en química industrial; CUOC 32573 inclui Técnico de control calidad de procesamiento de alimentos</w:t>
      </w:r>
      <w:r>
        <w:br/>
      </w:r>
      <w:r>
        <w:rPr>
          <w:bCs/>
          <w:b/>
        </w:rPr>
        <w:t xml:space="preserve">Data de revisão:</w:t>
      </w:r>
      <w:r>
        <w:t xml:space="preserve"> </w:t>
      </w:r>
      <w:r>
        <w:t xml:space="preserve">2026-08-22</w:t>
      </w:r>
    </w:p>
    <w:bookmarkStart w:id="20" w:name="o-que-é-esta-carreira"/>
    <w:p>
      <w:pPr>
        <w:pStyle w:val="Heading2"/>
      </w:pPr>
      <w:r>
        <w:t xml:space="preserve">O que é esta carreira</w:t>
      </w:r>
    </w:p>
    <w:p>
      <w:pPr>
        <w:pStyle w:val="FirstParagraph"/>
      </w:pPr>
      <w:r>
        <w:t xml:space="preserve">Técnicos em ciência de alimentos apoiam testes, controle de qualidade, desenvolvimento, produção e segurança dos alimentos para ajudar empresas a produzir itens consistentes e identificar problemas antes que se tornem riscos maiores.</w:t>
      </w:r>
    </w:p>
    <w:p>
      <w:pPr>
        <w:pStyle w:val="BodyText"/>
      </w:pPr>
      <w:r>
        <w:t xml:space="preserve">Dependendo do empregador, o trabalho pode ocorrer em laboratórios de alimentos, áreas de controle de qualidade, plantas-piloto, instalações de processamento, linhas de produção, equipes de pesquisa e desenvolvimento, empresas de ingredientes, fábricas de bebidas, laticínios, panificação, carnes, pescados e frutos do mar, hortifrúti, universidades, laboratórios governamentais ou laboratórios contratados.</w:t>
      </w:r>
    </w:p>
    <w:p>
      <w:pPr>
        <w:pStyle w:val="BodyText"/>
      </w:pPr>
      <w:r>
        <w:t xml:space="preserve">Os títulos variam: técnico em ciência de alimentos, técnico de laboratório de alimentos, técnico de qualidade, técnico de controle de qualidade, auxiliar de laboratório, técnico de garantia da qualidade, técnico de P&amp;D, técnico sensorial, técnico de microbiologia, técnico de amostras, técnico de qualidade de processo ou tecnólogo de alimentos. Os títulos não são padronizados; leia sempre a descrição real da vaga.</w:t>
      </w:r>
    </w:p>
    <w:p>
      <w:pPr>
        <w:pStyle w:val="BodyText"/>
      </w:pPr>
      <w:r>
        <w:t xml:space="preserve">Este guia usa</w:t>
      </w:r>
      <w:r>
        <w:t xml:space="preserve"> </w:t>
      </w:r>
      <w:r>
        <w:rPr>
          <w:bCs/>
          <w:b/>
        </w:rPr>
        <w:t xml:space="preserve">O*NET-SOC 19-4013.00 — Food Science Technicians</w:t>
      </w:r>
      <w:r>
        <w:t xml:space="preserve"> </w:t>
      </w:r>
      <w:r>
        <w:t xml:space="preserve">como principal referência dos EUA. As ocupações comparáveis do Canadá e da Colômbia são mais amplas e não devem ser tratadas como equivalências exatas.</w:t>
      </w:r>
    </w:p>
    <w:bookmarkEnd w:id="20"/>
    <w:bookmarkStart w:id="21" w:name="por-que-pode-ser-uma-oportunidade"/>
    <w:p>
      <w:pPr>
        <w:pStyle w:val="Heading2"/>
      </w:pPr>
      <w:r>
        <w:t xml:space="preserve">Por que pode ser uma oportunidade</w:t>
      </w:r>
    </w:p>
    <w:p>
      <w:pPr>
        <w:pStyle w:val="FirstParagraph"/>
      </w:pPr>
      <w:r>
        <w:t xml:space="preserve">A área combina ciência aplicada com rotina disciplinada. Pode ser adequada para pessoas que gostam de seguir métodos passo a passo, medir e registrar com precisão, notar resultados incomuns, trabalhar com amostras e instrumentos, apoiar melhorias de qualidade e entender como ingredientes e processos afetam o produto.</w:t>
      </w:r>
    </w:p>
    <w:p>
      <w:pPr>
        <w:pStyle w:val="BodyText"/>
      </w:pPr>
      <w:r>
        <w:t xml:space="preserve">O trabalho também pode ser exigente: pode envolver roupas de proteção, testes repetitivos, odores de limpeza, ambientes frios ou quentes, turnos, regras rígidas de higienização, riscos químicos ou biológicos, equipamentos em movimento e pressão de produção. Uma experiência supervisionada, curso curto ou função inicial em qualidade pode ajudar a avaliar o encaixe antes de investir em formação cara.</w:t>
      </w:r>
    </w:p>
    <w:bookmarkEnd w:id="21"/>
    <w:bookmarkStart w:id="22" w:name="X89166c0905a7aa3141ad87c41f991eaac9b22c9"/>
    <w:p>
      <w:pPr>
        <w:pStyle w:val="Heading2"/>
      </w:pPr>
      <w:r>
        <w:t xml:space="preserve">Diferenças entre técnico, tecnólogo, cientista e responsável de qualidade</w:t>
      </w:r>
    </w:p>
    <w:p>
      <w:pPr>
        <w:pStyle w:val="FirstParagraph"/>
      </w:pPr>
      <w:r>
        <w:t xml:space="preserve">Um técnico pode receber e identificar amostras, preparar materiais, medir pH, umidade, temperatura, peso, viscosidade, cor, concentração ou textura, preparar reagentes conforme procedimento, operar instrumentos aprovados após treinamento, registrar resultados, comparar dados com especificações, manter registros de equipamentos, apoiar rastreabilidade, preparar amostras retidas e comunicar desvios.</w:t>
      </w:r>
    </w:p>
    <w:p>
      <w:pPr>
        <w:pStyle w:val="BodyText"/>
      </w:pPr>
      <w:r>
        <w:t xml:space="preserve">Um tecnólogo ou especialista experiente pode coordenar testes mais complexos, resolver problemas dentro de sua autoridade, treinar pessoal em procedimentos aprovados, revisar tendências e apoiar validações, auditorias internas e melhoria de processos.</w:t>
      </w:r>
    </w:p>
    <w:p>
      <w:pPr>
        <w:pStyle w:val="BodyText"/>
      </w:pPr>
      <w:r>
        <w:t xml:space="preserve">Um cientista de alimentos, responsável autorizado de qualidade, profissional qualificado para controles preventivos, signatário de laboratório, engenheiro ou especialista regulatório pode ter autoridade para aprovar métodos, interpretar requisitos regulatórios complexos, aprovar planos de segurança de alimentos, liberar ou rejeitar produto, decidir disposição final, assinar relatórios regulados ou comunicar conclusões oficiais.</w:t>
      </w:r>
    </w:p>
    <w:p>
      <w:pPr>
        <w:pStyle w:val="BodyText"/>
      </w:pPr>
      <w:r>
        <w:t xml:space="preserve">O técnico deve compreender o processo sem reivindicar autoridade pertencente a outro papel.</w:t>
      </w:r>
    </w:p>
    <w:bookmarkEnd w:id="22"/>
    <w:bookmarkStart w:id="23" w:name="responsabilidades-típicas"/>
    <w:p>
      <w:pPr>
        <w:pStyle w:val="Heading2"/>
      </w:pPr>
      <w:r>
        <w:t xml:space="preserve">Responsabilidades típicas</w:t>
      </w:r>
    </w:p>
    <w:p>
      <w:pPr>
        <w:pStyle w:val="FirstParagraph"/>
      </w:pPr>
      <w:r>
        <w:t xml:space="preserve">Podem incluir:</w:t>
      </w:r>
    </w:p>
    <w:p>
      <w:pPr>
        <w:numPr>
          <w:ilvl w:val="0"/>
          <w:numId w:val="1001"/>
        </w:numPr>
        <w:pStyle w:val="Compact"/>
      </w:pPr>
      <w:r>
        <w:t xml:space="preserve">coletar amostras segundo plano aprovado;</w:t>
      </w:r>
    </w:p>
    <w:p>
      <w:pPr>
        <w:numPr>
          <w:ilvl w:val="0"/>
          <w:numId w:val="1001"/>
        </w:numPr>
        <w:pStyle w:val="Compact"/>
      </w:pPr>
      <w:r>
        <w:t xml:space="preserve">confirmar identidade, lote, data, hora, local e cadeia de custódia;</w:t>
      </w:r>
    </w:p>
    <w:p>
      <w:pPr>
        <w:numPr>
          <w:ilvl w:val="0"/>
          <w:numId w:val="1001"/>
        </w:numPr>
        <w:pStyle w:val="Compact"/>
      </w:pPr>
      <w:r>
        <w:t xml:space="preserve">preparar amostras para análises físicas, químicas, microbiológicas ou sensoriais;</w:t>
      </w:r>
    </w:p>
    <w:p>
      <w:pPr>
        <w:numPr>
          <w:ilvl w:val="0"/>
          <w:numId w:val="1001"/>
        </w:numPr>
        <w:pStyle w:val="Compact"/>
      </w:pPr>
      <w:r>
        <w:t xml:space="preserve">seguir procedimentos operacionais padrão (SOP);</w:t>
      </w:r>
    </w:p>
    <w:p>
      <w:pPr>
        <w:numPr>
          <w:ilvl w:val="0"/>
          <w:numId w:val="1001"/>
        </w:numPr>
        <w:pStyle w:val="Compact"/>
      </w:pPr>
      <w:r>
        <w:t xml:space="preserve">medir ingredientes e materiais com precisão;</w:t>
      </w:r>
    </w:p>
    <w:p>
      <w:pPr>
        <w:numPr>
          <w:ilvl w:val="0"/>
          <w:numId w:val="1001"/>
        </w:numPr>
        <w:pStyle w:val="Compact"/>
      </w:pPr>
      <w:r>
        <w:t xml:space="preserve">calibrar ou verificar instrumentos quando autorizado e treinado;</w:t>
      </w:r>
    </w:p>
    <w:p>
      <w:pPr>
        <w:numPr>
          <w:ilvl w:val="0"/>
          <w:numId w:val="1001"/>
        </w:numPr>
        <w:pStyle w:val="Compact"/>
      </w:pPr>
      <w:r>
        <w:t xml:space="preserve">realizar testes rotineiros de laboratório ou de processo;</w:t>
      </w:r>
    </w:p>
    <w:p>
      <w:pPr>
        <w:numPr>
          <w:ilvl w:val="0"/>
          <w:numId w:val="1001"/>
        </w:numPr>
        <w:pStyle w:val="Compact"/>
      </w:pPr>
      <w:r>
        <w:t xml:space="preserve">conferir embalagens, rótulos, selos, pesos, temperaturas e atributos de qualidade;</w:t>
      </w:r>
    </w:p>
    <w:p>
      <w:pPr>
        <w:numPr>
          <w:ilvl w:val="0"/>
          <w:numId w:val="1001"/>
        </w:numPr>
        <w:pStyle w:val="Compact"/>
      </w:pPr>
      <w:r>
        <w:t xml:space="preserve">apoiar controles de alergênicos, saneamento e rastreabilidade;</w:t>
      </w:r>
    </w:p>
    <w:p>
      <w:pPr>
        <w:numPr>
          <w:ilvl w:val="0"/>
          <w:numId w:val="1001"/>
        </w:numPr>
        <w:pStyle w:val="Compact"/>
      </w:pPr>
      <w:r>
        <w:t xml:space="preserve">documentar observações imediatamente;</w:t>
      </w:r>
    </w:p>
    <w:p>
      <w:pPr>
        <w:numPr>
          <w:ilvl w:val="0"/>
          <w:numId w:val="1001"/>
        </w:numPr>
        <w:pStyle w:val="Compact"/>
      </w:pPr>
      <w:r>
        <w:t xml:space="preserve">reportar resultados fora de especificação;</w:t>
      </w:r>
    </w:p>
    <w:p>
      <w:pPr>
        <w:numPr>
          <w:ilvl w:val="0"/>
          <w:numId w:val="1001"/>
        </w:numPr>
        <w:pStyle w:val="Compact"/>
      </w:pPr>
      <w:r>
        <w:t xml:space="preserve">manter cadernos, planilhas e registros eletrônicos;</w:t>
      </w:r>
    </w:p>
    <w:p>
      <w:pPr>
        <w:numPr>
          <w:ilvl w:val="0"/>
          <w:numId w:val="1001"/>
        </w:numPr>
        <w:pStyle w:val="Compact"/>
      </w:pPr>
      <w:r>
        <w:t xml:space="preserve">apoiar lotes-piloto, estudos de vida útil, painéis sensoriais e simulações de recall;</w:t>
      </w:r>
    </w:p>
    <w:p>
      <w:pPr>
        <w:numPr>
          <w:ilvl w:val="0"/>
          <w:numId w:val="1001"/>
        </w:numPr>
        <w:pStyle w:val="Compact"/>
      </w:pPr>
      <w:r>
        <w:t xml:space="preserve">manter estoque de suprimentos;</w:t>
      </w:r>
    </w:p>
    <w:p>
      <w:pPr>
        <w:numPr>
          <w:ilvl w:val="0"/>
          <w:numId w:val="1001"/>
        </w:numPr>
        <w:pStyle w:val="Compact"/>
      </w:pPr>
      <w:r>
        <w:t xml:space="preserve">seguir requisitos de EPI, químicos, resíduos, higiene e segurança;</w:t>
      </w:r>
    </w:p>
    <w:p>
      <w:pPr>
        <w:numPr>
          <w:ilvl w:val="0"/>
          <w:numId w:val="1001"/>
        </w:numPr>
        <w:pStyle w:val="Compact"/>
      </w:pPr>
      <w:r>
        <w:t xml:space="preserve">fornecer fatos e registros para investigações e ações corretivas.</w:t>
      </w:r>
    </w:p>
    <w:bookmarkEnd w:id="23"/>
    <w:bookmarkStart w:id="24" w:name="o-que-não-deve-fazer-sem-autoridade"/>
    <w:p>
      <w:pPr>
        <w:pStyle w:val="Heading2"/>
      </w:pPr>
      <w:r>
        <w:t xml:space="preserve">O que não deve fazer sem autoridade</w:t>
      </w:r>
    </w:p>
    <w:p>
      <w:pPr>
        <w:pStyle w:val="FirstParagraph"/>
      </w:pPr>
      <w:r>
        <w:t xml:space="preserve">Não presuma que o título de técnico autoriza você a liberar produto, mudar especificações, alterar métodos, repetir testes até obter um resultado desejado, apagar ou fabricar dados, assinar por outra pessoa, certificar conformidade legal, diagnosticar doenças transmitidas por alimentos, aprovar fornecedores ou rótulos, decidir recalls, misturar produtos químicos por tentativa, remover proteções ou EPI, provar amostras desconhecidas, carregar informações confidenciais em ferramentas de IA não aprovadas, copiar resultados de outros lotes ou esconder desvios.</w:t>
      </w:r>
    </w:p>
    <w:p>
      <w:pPr>
        <w:pStyle w:val="BodyText"/>
      </w:pPr>
      <w:r>
        <w:t xml:space="preserve">Em caso de dúvida, interrompa a atividade quando for seguro, preserve a evidência e escale ao responsável autorizado.</w:t>
      </w:r>
    </w:p>
    <w:bookmarkEnd w:id="24"/>
    <w:bookmarkStart w:id="31" w:name="fluxo-básico-de-laboratório-e-qualidade"/>
    <w:p>
      <w:pPr>
        <w:pStyle w:val="Heading2"/>
      </w:pPr>
      <w:r>
        <w:t xml:space="preserve">Fluxo básico de laboratório e qualidade</w:t>
      </w:r>
    </w:p>
    <w:bookmarkStart w:id="25" w:name="Xcbae475af3db57a1ef0d8e234c413d25225c195"/>
    <w:p>
      <w:pPr>
        <w:pStyle w:val="Heading3"/>
      </w:pPr>
      <w:r>
        <w:t xml:space="preserve">1. Confirmar a tarefa</w:t>
      </w:r>
    </w:p>
    <w:p>
      <w:pPr>
        <w:pStyle w:val="FirstParagraph"/>
      </w:pPr>
      <w:r>
        <w:t xml:space="preserve">Verifique amostra, método/SOP, EPI, equipamento, critérios de aceitação, responsável pela decisão, forma de registrar resultados e procedimento para anormalidades.</w:t>
      </w:r>
    </w:p>
    <w:bookmarkEnd w:id="25"/>
    <w:bookmarkStart w:id="26" w:name="X1e7d29fe4100489a8e82fe2c442ae5c8c5d9041"/>
    <w:p>
      <w:pPr>
        <w:pStyle w:val="Heading3"/>
      </w:pPr>
      <w:r>
        <w:t xml:space="preserve">2. Proteger a identidade da amostra</w:t>
      </w:r>
    </w:p>
    <w:p>
      <w:pPr>
        <w:pStyle w:val="FirstParagraph"/>
      </w:pPr>
      <w:r>
        <w:t xml:space="preserve">Confira etiquetas, lotes, horário de coleta, condição, recipiente, armazenamento e cadeia de custódia. Um teste tecnicamente correto na amostra errada continua sendo inválido.</w:t>
      </w:r>
    </w:p>
    <w:bookmarkEnd w:id="26"/>
    <w:bookmarkStart w:id="27" w:name="X1aec77902e7aa31e2f78c877078746756ce90f5"/>
    <w:p>
      <w:pPr>
        <w:pStyle w:val="Heading3"/>
      </w:pPr>
      <w:r>
        <w:t xml:space="preserve">3. Verificar o estado do equipamento</w:t>
      </w:r>
    </w:p>
    <w:p>
      <w:pPr>
        <w:pStyle w:val="FirstParagraph"/>
      </w:pPr>
      <w:r>
        <w:t xml:space="preserve">Confirme que o instrumento está aprovado, limpo, dentro da calibração ou verificação exigida e adequado ao método.</w:t>
      </w:r>
    </w:p>
    <w:bookmarkEnd w:id="27"/>
    <w:bookmarkStart w:id="28" w:name="X7ae1a52a25883405a104b85a1baa866f31bb31c"/>
    <w:p>
      <w:pPr>
        <w:pStyle w:val="Heading3"/>
      </w:pPr>
      <w:r>
        <w:t xml:space="preserve">4. Executar exatamente o método</w:t>
      </w:r>
    </w:p>
    <w:p>
      <w:pPr>
        <w:pStyle w:val="FirstParagraph"/>
      </w:pPr>
      <w:r>
        <w:t xml:space="preserve">Siga a sequência aprovada e registre medições reais. Não altere arredondamentos, unidades ou valores salvo quando o método determinar.</w:t>
      </w:r>
    </w:p>
    <w:bookmarkEnd w:id="28"/>
    <w:bookmarkStart w:id="29" w:name="X32fbf4969cc190345944a6f2d5551eb7ffca108"/>
    <w:p>
      <w:pPr>
        <w:pStyle w:val="Heading3"/>
      </w:pPr>
      <w:r>
        <w:t xml:space="preserve">5. Revisar erros óbvios</w:t>
      </w:r>
    </w:p>
    <w:p>
      <w:pPr>
        <w:pStyle w:val="FirstParagraph"/>
      </w:pPr>
      <w:r>
        <w:t xml:space="preserve">Confira identidade, unidades, casas decimais, cálculos, transcrição, mensagens do instrumento, controles, padrões e campos obrigatórios.</w:t>
      </w:r>
    </w:p>
    <w:bookmarkEnd w:id="29"/>
    <w:bookmarkStart w:id="30" w:name="Xaebafe1ca40e3e6db17a95065e1aca203af312e"/>
    <w:p>
      <w:pPr>
        <w:pStyle w:val="Heading3"/>
      </w:pPr>
      <w:r>
        <w:t xml:space="preserve">6. Escalar desvios</w:t>
      </w:r>
    </w:p>
    <w:p>
      <w:pPr>
        <w:pStyle w:val="FirstParagraph"/>
      </w:pPr>
      <w:r>
        <w:t xml:space="preserve">Se houver resultado fora de especificação, controle falho, amostra danificada, excursão de temperatura, suspeita de contaminação ou dúvida sobre integridade de dados, preserve o registro e use o processo formal do empregador.</w:t>
      </w:r>
    </w:p>
    <w:bookmarkEnd w:id="30"/>
    <w:bookmarkEnd w:id="31"/>
    <w:bookmarkStart w:id="32" w:name="segurança-dos-alimentos-e-saneamento"/>
    <w:p>
      <w:pPr>
        <w:pStyle w:val="Heading2"/>
      </w:pPr>
      <w:r>
        <w:t xml:space="preserve">Segurança dos alimentos e saneamento</w:t>
      </w:r>
    </w:p>
    <w:p>
      <w:pPr>
        <w:pStyle w:val="FirstParagraph"/>
      </w:pPr>
      <w:r>
        <w:t xml:space="preserve">Nos EUA, o marco de</w:t>
      </w:r>
      <w:r>
        <w:t xml:space="preserve"> </w:t>
      </w:r>
      <w:r>
        <w:rPr>
          <w:bCs/>
          <w:b/>
        </w:rPr>
        <w:t xml:space="preserve">21 CFR Part 117</w:t>
      </w:r>
      <w:r>
        <w:t xml:space="preserve"> </w:t>
      </w:r>
      <w:r>
        <w:t xml:space="preserve">cobre boas práticas atuais de fabricação e, para instalações aplicáveis, análise de perigos e controles preventivos baseados em risco para alimentos humanos.</w:t>
      </w:r>
    </w:p>
    <w:p>
      <w:pPr>
        <w:pStyle w:val="BodyText"/>
      </w:pPr>
      <w:r>
        <w:t xml:space="preserve">Controles práticos incluem higiene das mãos, vestimenta protetora, separação de materiais, controle de alergênicos, saneamento, controle de temperatura, concentração correta de químicos, prevenção de materiais estranhos, manuseio controlado de amostras, monitoramento ambiental quando aplicável e documentação de ações corretivas.</w:t>
      </w:r>
    </w:p>
    <w:p>
      <w:pPr>
        <w:pStyle w:val="BodyText"/>
      </w:pPr>
      <w:r>
        <w:t xml:space="preserve">Segurança dos alimentos é um sistema de responsabilidades, controles documentados, verificação e escalonamento.</w:t>
      </w:r>
    </w:p>
    <w:bookmarkEnd w:id="32"/>
    <w:bookmarkStart w:id="33" w:name="Xf813ed27aa1db6880fb34838f3700c60ca11269"/>
    <w:p>
      <w:pPr>
        <w:pStyle w:val="Heading2"/>
      </w:pPr>
      <w:r>
        <w:t xml:space="preserve">Alergênicos, microbiologia e riscos biológicos</w:t>
      </w:r>
    </w:p>
    <w:p>
      <w:pPr>
        <w:pStyle w:val="FirstParagraph"/>
      </w:pPr>
      <w:r>
        <w:t xml:space="preserve">Siga os programas aprovados para verificação de alergênicos, trocas de linha, swabs e controles de ingredientes. Não presuma que uma superfície visualmente limpa está livre de alergênicos nem ignore resultado positivo ou duvidoso.</w:t>
      </w:r>
    </w:p>
    <w:p>
      <w:pPr>
        <w:pStyle w:val="BodyText"/>
      </w:pPr>
      <w:r>
        <w:t xml:space="preserve">Em laboratórios microbiológicos, realize apenas tarefas para as quais recebeu treinamento e autorização. Separe materiais limpos e contaminados, desinfete segundo procedimentos validados, comunique derramamentos ou exposições e não manipule culturas fora do método aprovado.</w:t>
      </w:r>
    </w:p>
    <w:bookmarkEnd w:id="33"/>
    <w:bookmarkStart w:id="34" w:name="produtos-químicos-e-reagentes"/>
    <w:p>
      <w:pPr>
        <w:pStyle w:val="Heading2"/>
      </w:pPr>
      <w:r>
        <w:t xml:space="preserve">Produtos químicos e reagentes</w:t>
      </w:r>
    </w:p>
    <w:p>
      <w:pPr>
        <w:pStyle w:val="FirstParagraph"/>
      </w:pPr>
      <w:r>
        <w:t xml:space="preserve">Antes de usar um produto químico, confirme identidade, concentração, rótulo, informações de segurança, EPI, ventilação, compatibilidade, armazenamento, identificação de soluções e descarte. Nunca misture substâncias por tentativa e erro.</w:t>
      </w:r>
    </w:p>
    <w:bookmarkEnd w:id="34"/>
    <w:bookmarkStart w:id="35" w:name="segurança-na-produção-e-em-equipamentos"/>
    <w:p>
      <w:pPr>
        <w:pStyle w:val="Heading2"/>
      </w:pPr>
      <w:r>
        <w:t xml:space="preserve">Segurança na produção e em equipamentos</w:t>
      </w:r>
    </w:p>
    <w:p>
      <w:pPr>
        <w:pStyle w:val="FirstParagraph"/>
      </w:pPr>
      <w:r>
        <w:t xml:space="preserve">O pessoal pode atuar perto de transportadores, misturadores, lâminas, fornos, fritadeiras, sistemas pressurizados, refrigeração, empilhadeiras, vapor e superfícies quentes. Respeite proteções de máquinas, bloqueio/etiquetagem, zonas autorizadas, rotas de tráfego, proteção auditiva, exposição a calor/frio, prevenção de quedas, restrições de espaços confinados e procedimentos seguros de amostragem. Um prazo de qualidade nunca justifica ignorar um controle de segurança.</w:t>
      </w:r>
    </w:p>
    <w:bookmarkEnd w:id="35"/>
    <w:bookmarkStart w:id="36" w:name="integridade-de-dados"/>
    <w:p>
      <w:pPr>
        <w:pStyle w:val="Heading2"/>
      </w:pPr>
      <w:r>
        <w:t xml:space="preserve">Integridade de dados</w:t>
      </w:r>
    </w:p>
    <w:p>
      <w:pPr>
        <w:pStyle w:val="FirstParagraph"/>
      </w:pPr>
      <w:r>
        <w:t xml:space="preserve">Registre resultados quando forem gerados, use o identificador correto, preserve observações originais, corrija por meio do processo aprovado, use suas próprias credenciais, documente repetições e motivos, preserve arquivos instrumentais e comunique possível manipulação. Um erro honesto e rastreável é mais seguro do que um erro escondido.</w:t>
      </w:r>
    </w:p>
    <w:bookmarkEnd w:id="36"/>
    <w:bookmarkStart w:id="37" w:name="cibersegurança-e-laboratórios-conectados"/>
    <w:p>
      <w:pPr>
        <w:pStyle w:val="Heading2"/>
      </w:pPr>
      <w:r>
        <w:t xml:space="preserve">Cibersegurança e laboratórios conectados</w:t>
      </w:r>
    </w:p>
    <w:p>
      <w:pPr>
        <w:pStyle w:val="FirstParagraph"/>
      </w:pPr>
      <w:r>
        <w:t xml:space="preserve">Laboratórios modernos podem usar balanças conectadas, cromatografia, sistemas de monitoramento, LIMS, aplicações em nuvem, códigos de barras e sistemas de qualidade. Use somente ferramentas aprovadas, MFA quando suportado, senhas únicas, software autorizado, armazenamento corporativo e canais oficiais. Não mova dados regulados ou proprietários para e-mail pessoal nem conecte USB não autorizado. Reporte phishing, arquivos suspeitos ou comportamento anormal e preserve registros quando um incidente afetar dados de testes.</w:t>
      </w:r>
    </w:p>
    <w:bookmarkEnd w:id="37"/>
    <w:bookmarkStart w:id="38" w:name="ia-responsável"/>
    <w:p>
      <w:pPr>
        <w:pStyle w:val="Heading2"/>
      </w:pPr>
      <w:r>
        <w:t xml:space="preserve">IA responsável</w:t>
      </w:r>
    </w:p>
    <w:p>
      <w:pPr>
        <w:pStyle w:val="FirstParagraph"/>
      </w:pPr>
      <w:r>
        <w:t xml:space="preserve">A IA pode apoiar aprendizado de baixo risco, rascunhos, roteiros de estudo, perguntas de entrevista, checklists de prática ou resumos de informação pública quando a organização permitir.</w:t>
      </w:r>
    </w:p>
    <w:p>
      <w:pPr>
        <w:pStyle w:val="BodyText"/>
      </w:pPr>
      <w:r>
        <w:t xml:space="preserve">Não use IA como autoridade final para cálculos que controlam liberação, interpretação de resultado fora de especificação, mudança de método validado, requisitos regulatórios, planos de segurança de alimentos, decisões sobre alergênicos, investigação de contaminação, recalls, disposição de produto, validação ou conclusões médicas e toxicológicas.</w:t>
      </w:r>
    </w:p>
    <w:p>
      <w:pPr>
        <w:pStyle w:val="BodyText"/>
      </w:pPr>
      <w:r>
        <w:t xml:space="preserve">Não insira fórmulas confidenciais, parâmetros de processo, dados de clientes ou fornecedores, resultados, credenciais, dados pessoais, registros regulados ou informação sensível da instalação em sistemas de IA não aprovados.</w:t>
      </w:r>
    </w:p>
    <w:p>
      <w:pPr>
        <w:pStyle w:val="BodyText"/>
      </w:pPr>
      <w:r>
        <w:rPr>
          <w:bCs/>
          <w:b/>
        </w:rPr>
        <w:t xml:space="preserve">Regra prática:</w:t>
      </w:r>
      <w:r>
        <w:t xml:space="preserve"> </w:t>
      </w:r>
      <w:r>
        <w:t xml:space="preserve">a IA pode ajudar a organizar ou explicar; pessoas autorizadas e sistemas aprovados devem verificar decisões com consequências relevantes.</w:t>
      </w:r>
    </w:p>
    <w:bookmarkEnd w:id="38"/>
    <w:bookmarkStart w:id="43" w:name="Xd32db6b6921327d2cfa032c813adb6660784f7f"/>
    <w:p>
      <w:pPr>
        <w:pStyle w:val="Heading2"/>
      </w:pPr>
      <w:r>
        <w:t xml:space="preserve">Competências valorizadas pelos empregadores</w:t>
      </w:r>
    </w:p>
    <w:bookmarkStart w:id="39" w:name="ciência-e-laboratório"/>
    <w:p>
      <w:pPr>
        <w:pStyle w:val="Heading3"/>
      </w:pPr>
      <w:r>
        <w:t xml:space="preserve">Ciência e laboratório</w:t>
      </w:r>
    </w:p>
    <w:p>
      <w:pPr>
        <w:pStyle w:val="FirstParagraph"/>
      </w:pPr>
      <w:r>
        <w:t xml:space="preserve">Medição e unidades, química básica, microbiologia básica, preparo de amostras e soluções, diluições, pH, temperatura, umidade, massa, estatística básica, cuidado de instrumentos e prevenção de contaminação.</w:t>
      </w:r>
    </w:p>
    <w:bookmarkEnd w:id="39"/>
    <w:bookmarkStart w:id="40" w:name="qualidade"/>
    <w:p>
      <w:pPr>
        <w:pStyle w:val="Heading3"/>
      </w:pPr>
      <w:r>
        <w:t xml:space="preserve">Qualidade</w:t>
      </w:r>
    </w:p>
    <w:p>
      <w:pPr>
        <w:pStyle w:val="FirstParagraph"/>
      </w:pPr>
      <w:r>
        <w:t xml:space="preserve">SOP, especificações, amostragem, rastreabilidade, controle de lotes, controle documental, reporte de desvios, gestão de mudanças, ações corretivas, calibração, registros auditáveis e atenção aos detalhes.</w:t>
      </w:r>
    </w:p>
    <w:bookmarkEnd w:id="40"/>
    <w:bookmarkStart w:id="41" w:name="competências-digitais"/>
    <w:p>
      <w:pPr>
        <w:pStyle w:val="Heading3"/>
      </w:pPr>
      <w:r>
        <w:t xml:space="preserve">Competências digitais</w:t>
      </w:r>
    </w:p>
    <w:p>
      <w:pPr>
        <w:pStyle w:val="FirstParagraph"/>
      </w:pPr>
      <w:r>
        <w:t xml:space="preserve">Planilhas, processador de texto, e-mail, calendários, LIMS, sistemas de gestão da qualidade, códigos de barras, ferramentas em nuvem aprovadas e entrada de dados com precisão de unidades e casas decimais.</w:t>
      </w:r>
    </w:p>
    <w:bookmarkEnd w:id="41"/>
    <w:bookmarkStart w:id="42" w:name="competências-humanas"/>
    <w:p>
      <w:pPr>
        <w:pStyle w:val="Heading3"/>
      </w:pPr>
      <w:r>
        <w:t xml:space="preserve">Competências humanas</w:t>
      </w:r>
    </w:p>
    <w:p>
      <w:pPr>
        <w:pStyle w:val="FirstParagraph"/>
      </w:pPr>
      <w:r>
        <w:t xml:space="preserve">Confiabilidade, comunicação clara, paciência, disposição para perguntar, capacidade de reportar problemas, trabalho em equipe, respeito por procedimentos, curiosidade profissional e capacidade de trabalhar sob pressão sem falsificar dados.</w:t>
      </w:r>
    </w:p>
    <w:bookmarkEnd w:id="42"/>
    <w:bookmarkEnd w:id="43"/>
    <w:bookmarkStart w:id="44" w:name="X6426006ac2c904d342c21177c1cb11dfb411616"/>
    <w:p>
      <w:pPr>
        <w:pStyle w:val="Heading2"/>
      </w:pPr>
      <w:r>
        <w:t xml:space="preserve">Panorama do mercado de trabalho — Estados Unidos</w:t>
      </w:r>
    </w:p>
    <w:p>
      <w:pPr>
        <w:pStyle w:val="FirstParagraph"/>
      </w:pPr>
      <w:r>
        <w:t xml:space="preserve">Referência principal:</w:t>
      </w:r>
      <w:r>
        <w:t xml:space="preserve"> </w:t>
      </w:r>
      <w:r>
        <w:rPr>
          <w:bCs/>
          <w:b/>
        </w:rPr>
        <w:t xml:space="preserve">O*NET-SOC 19-4013.00 — Food Science Technicians</w:t>
      </w:r>
      <w:r>
        <w:t xml:space="preserve">.</w:t>
      </w:r>
    </w:p>
    <w:p>
      <w:pPr>
        <w:pStyle w:val="BodyText"/>
      </w:pPr>
      <w:r>
        <w:t xml:space="preserve">Dados atuais vinculados a O*NET/BLS:</w:t>
      </w:r>
    </w:p>
    <w:p>
      <w:pPr>
        <w:numPr>
          <w:ilvl w:val="0"/>
          <w:numId w:val="1002"/>
        </w:numPr>
        <w:pStyle w:val="Compact"/>
      </w:pPr>
      <w:r>
        <w:rPr>
          <w:bCs/>
          <w:b/>
        </w:rPr>
        <w:t xml:space="preserve">mediana horária de 2025:</w:t>
      </w:r>
      <w:r>
        <w:t xml:space="preserve"> </w:t>
      </w:r>
      <w:r>
        <w:t xml:space="preserve">US$25.06;</w:t>
      </w:r>
    </w:p>
    <w:p>
      <w:pPr>
        <w:numPr>
          <w:ilvl w:val="0"/>
          <w:numId w:val="1002"/>
        </w:numPr>
        <w:pStyle w:val="Compact"/>
      </w:pPr>
      <w:r>
        <w:rPr>
          <w:bCs/>
          <w:b/>
        </w:rPr>
        <w:t xml:space="preserve">mediana anual de 2025:</w:t>
      </w:r>
      <w:r>
        <w:t xml:space="preserve"> </w:t>
      </w:r>
      <w:r>
        <w:t xml:space="preserve">US$52,130;</w:t>
      </w:r>
    </w:p>
    <w:p>
      <w:pPr>
        <w:numPr>
          <w:ilvl w:val="0"/>
          <w:numId w:val="1002"/>
        </w:numPr>
        <w:pStyle w:val="Compact"/>
      </w:pPr>
      <w:r>
        <w:rPr>
          <w:bCs/>
          <w:b/>
        </w:rPr>
        <w:t xml:space="preserve">percentil 10 em 2025:</w:t>
      </w:r>
      <w:r>
        <w:t xml:space="preserve"> </w:t>
      </w:r>
      <w:r>
        <w:t xml:space="preserve">US$39,820/ano;</w:t>
      </w:r>
    </w:p>
    <w:p>
      <w:pPr>
        <w:numPr>
          <w:ilvl w:val="0"/>
          <w:numId w:val="1002"/>
        </w:numPr>
        <w:pStyle w:val="Compact"/>
      </w:pPr>
      <w:r>
        <w:rPr>
          <w:bCs/>
          <w:b/>
        </w:rPr>
        <w:t xml:space="preserve">percentil 90 em 2025:</w:t>
      </w:r>
      <w:r>
        <w:t xml:space="preserve"> </w:t>
      </w:r>
      <w:r>
        <w:t xml:space="preserve">US$78,820/ano;</w:t>
      </w:r>
    </w:p>
    <w:p>
      <w:pPr>
        <w:numPr>
          <w:ilvl w:val="0"/>
          <w:numId w:val="1002"/>
        </w:numPr>
        <w:pStyle w:val="Compact"/>
      </w:pPr>
      <w:r>
        <w:rPr>
          <w:bCs/>
          <w:b/>
        </w:rPr>
        <w:t xml:space="preserve">emprego em 2024:</w:t>
      </w:r>
      <w:r>
        <w:t xml:space="preserve"> </w:t>
      </w:r>
      <w:r>
        <w:t xml:space="preserve">aproximadamente 20,400;</w:t>
      </w:r>
    </w:p>
    <w:p>
      <w:pPr>
        <w:numPr>
          <w:ilvl w:val="0"/>
          <w:numId w:val="1002"/>
        </w:numPr>
        <w:pStyle w:val="Compact"/>
      </w:pPr>
      <w:r>
        <w:rPr>
          <w:bCs/>
          <w:b/>
        </w:rPr>
        <w:t xml:space="preserve">crescimento projetado 2024–2034:</w:t>
      </w:r>
      <w:r>
        <w:t xml:space="preserve"> </w:t>
      </w:r>
      <w:r>
        <w:t xml:space="preserve">5% a 6%;</w:t>
      </w:r>
    </w:p>
    <w:p>
      <w:pPr>
        <w:numPr>
          <w:ilvl w:val="0"/>
          <w:numId w:val="1002"/>
        </w:numPr>
        <w:pStyle w:val="Compact"/>
      </w:pPr>
      <w:r>
        <w:rPr>
          <w:bCs/>
          <w:b/>
        </w:rPr>
        <w:t xml:space="preserve">aberturas projetadas informadas pelo O*NET:</w:t>
      </w:r>
      <w:r>
        <w:t xml:space="preserve"> </w:t>
      </w:r>
      <w:r>
        <w:t xml:space="preserve">aproximadamente 3,200 ao longo do período.</w:t>
      </w:r>
    </w:p>
    <w:p>
      <w:pPr>
        <w:pStyle w:val="FirstParagraph"/>
      </w:pPr>
      <w:r>
        <w:t xml:space="preserve">O Occupational Outlook Handbook do BLS informou separadamente mediana anual de</w:t>
      </w:r>
      <w:r>
        <w:t xml:space="preserve"> </w:t>
      </w:r>
      <w:r>
        <w:rPr>
          <w:bCs/>
          <w:b/>
        </w:rPr>
        <w:t xml:space="preserve">US$49,430 em maio de 2024</w:t>
      </w:r>
      <w:r>
        <w:t xml:space="preserve">. A diferença decorre do ano dos dados e da fonte e não deve ser tratada automaticamente como contradição.</w:t>
      </w:r>
    </w:p>
    <w:bookmarkEnd w:id="44"/>
    <w:bookmarkStart w:id="45" w:name="X952e3f13c9ebbad68bcbe0cf2cc1c56faf0a9b0"/>
    <w:p>
      <w:pPr>
        <w:pStyle w:val="Heading2"/>
      </w:pPr>
      <w:r>
        <w:t xml:space="preserve">Estimativas privadas atuais — Estados Unidos</w:t>
      </w:r>
    </w:p>
    <w:p>
      <w:pPr>
        <w:pStyle w:val="FirstParagraph"/>
      </w:pPr>
      <w:r>
        <w:t xml:space="preserve">Sites salariais privados não são estatísticas oficiais do governo.</w:t>
      </w:r>
    </w:p>
    <w:p>
      <w:pPr>
        <w:pStyle w:val="BodyText"/>
      </w:pPr>
      <w:r>
        <w:t xml:space="preserve">ZipRecruiter informou cerca de</w:t>
      </w:r>
      <w:r>
        <w:t xml:space="preserve"> </w:t>
      </w:r>
      <w:r>
        <w:rPr>
          <w:bCs/>
          <w:b/>
        </w:rPr>
        <w:t xml:space="preserve">US$46,976/ano (US$22.58/hora)</w:t>
      </w:r>
      <w:r>
        <w:t xml:space="preserve"> </w:t>
      </w:r>
      <w:r>
        <w:t xml:space="preserve">para “Food Science Technician” em 8 de julho de 2026, com faixa aproximada de percentis 25–75 de</w:t>
      </w:r>
      <w:r>
        <w:t xml:space="preserve"> </w:t>
      </w:r>
      <w:r>
        <w:rPr>
          <w:bCs/>
          <w:b/>
        </w:rPr>
        <w:t xml:space="preserve">US$34,000 a US$59,000/ano</w:t>
      </w:r>
      <w:r>
        <w:t xml:space="preserve">. Glassdoor mostrava valor diferente com amostra autorreportada relativamente pequena. Use BLS/O*NET como referência principal e portais privados apenas como contexto de mercado.</w:t>
      </w:r>
    </w:p>
    <w:bookmarkEnd w:id="45"/>
    <w:bookmarkStart w:id="49" w:name="formação-e-entrada--estados-unidos"/>
    <w:p>
      <w:pPr>
        <w:pStyle w:val="Heading2"/>
      </w:pPr>
      <w:r>
        <w:t xml:space="preserve">Formação e entrada — Estados Unidos</w:t>
      </w:r>
    </w:p>
    <w:p>
      <w:pPr>
        <w:pStyle w:val="FirstParagraph"/>
      </w:pPr>
      <w:r>
        <w:t xml:space="preserve">Não existe uma credencial universal para todos os postos. Empregadores podem exigir ensino médio, associate degree, bachelor’s degree ou outra combinação conforme a especialidade.</w:t>
      </w:r>
    </w:p>
    <w:p>
      <w:pPr>
        <w:pStyle w:val="BodyText"/>
      </w:pPr>
      <w:r>
        <w:t xml:space="preserve">Áreas relacionadas incluem ciência e tecnologia de alimentos, química, biologia, microbiologia, biotecnologia, tecnologia de laboratório, garantia da qualidade, processamento de alimentos e tecnologia de manufatura.</w:t>
      </w:r>
    </w:p>
    <w:bookmarkStart w:id="47" w:name="X8dfaf1c2a7419e5ef0815bc8ba0e58e6d4b261e"/>
    <w:p>
      <w:pPr>
        <w:pStyle w:val="Heading3"/>
      </w:pPr>
      <w:r>
        <w:t xml:space="preserve">WIOA, American Job Centers e opções de menor custo</w:t>
      </w:r>
    </w:p>
    <w:p>
      <w:pPr>
        <w:pStyle w:val="FirstParagraph"/>
      </w:pPr>
      <w:r>
        <w:t xml:space="preserve">CareerOneStop oferece o WIOA-Eligible Training Program Finder:</w:t>
      </w:r>
    </w:p>
    <w:p>
      <w:pPr>
        <w:pStyle w:val="BodyText"/>
      </w:pPr>
      <w:hyperlink r:id="rId46">
        <w:hyperlink r:id="rId46">
          <w:r>
            <w:rPr>
              <w:rStyle w:val="Hyperlink"/>
            </w:rPr>
            <w:t xml:space="preserve">Source link</w:t>
          </w:r>
        </w:hyperlink>
      </w:hyperlink>
    </w:p>
    <w:p>
      <w:pPr>
        <w:pStyle w:val="BodyText"/>
      </w:pPr>
      <w:r>
        <w:t xml:space="preserve">Elegibilidade, provedores, serviços de apoio e financiamento variam por estado e pessoa; financiamento não é automático. Pesquise também programas de laboratório, química, biotecnologia, qualidade, processamento e tecnologia industrial.</w:t>
      </w:r>
    </w:p>
    <w:p>
      <w:pPr>
        <w:pStyle w:val="BodyText"/>
      </w:pPr>
      <w:r>
        <w:t xml:space="preserve">Community colleges podem oferecer pré-requisitos de ciências, certificados e associate degrees a menor custo. Pergunte sobre Pell Grant, bolsas estaduais, apoio a adultos, tuition assistance do empregador, planos de pagamento, crédito por aprendizagem prévia e educação cooperativa.</w:t>
      </w:r>
    </w:p>
    <w:bookmarkEnd w:id="47"/>
    <w:bookmarkStart w:id="48" w:name="aprendizagem-baseada-no-trabalho"/>
    <w:p>
      <w:pPr>
        <w:pStyle w:val="Heading3"/>
      </w:pPr>
      <w:r>
        <w:t xml:space="preserve">Aprendizagem baseada no trabalho</w:t>
      </w:r>
    </w:p>
    <w:p>
      <w:pPr>
        <w:pStyle w:val="FirstParagraph"/>
      </w:pPr>
      <w:r>
        <w:t xml:space="preserve">Consulte Apprenticeship.gov, mas não presuma que exista Registered Apprenticeship desta ocupação em todas as localidades. Alternativas incluem QA technician trainee, auxiliar de laboratório, recebimento de amostras, inspetor de qualidade, estágios pagos, educação cooperativa, treinamento GMP/HACCP patrocinado pelo empregador e promoção interna a partir da produção.</w:t>
      </w:r>
    </w:p>
    <w:bookmarkEnd w:id="48"/>
    <w:bookmarkEnd w:id="49"/>
    <w:bookmarkStart w:id="51" w:name="caminho-do-canadá"/>
    <w:p>
      <w:pPr>
        <w:pStyle w:val="Heading2"/>
      </w:pPr>
      <w:r>
        <w:t xml:space="preserve">Caminho do Canadá</w:t>
      </w:r>
    </w:p>
    <w:p>
      <w:pPr>
        <w:pStyle w:val="FirstParagraph"/>
      </w:pPr>
      <w:r>
        <w:t xml:space="preserve">Job Bank usa o título de mercado</w:t>
      </w:r>
      <w:r>
        <w:t xml:space="preserve"> </w:t>
      </w:r>
      <w:r>
        <w:rPr>
          <w:bCs/>
          <w:b/>
        </w:rPr>
        <w:t xml:space="preserve">Food technologist</w:t>
      </w:r>
      <w:r>
        <w:t xml:space="preserve"> </w:t>
      </w:r>
      <w:r>
        <w:t xml:space="preserve">sob</w:t>
      </w:r>
      <w:r>
        <w:t xml:space="preserve"> </w:t>
      </w:r>
      <w:r>
        <w:rPr>
          <w:bCs/>
          <w:b/>
        </w:rPr>
        <w:t xml:space="preserve">NOC 22100 — Chemical technologists and technicians</w:t>
      </w:r>
      <w:r>
        <w:t xml:space="preserve">, grupo mais amplo que a referência dos EUA.</w:t>
      </w:r>
    </w:p>
    <w:p>
      <w:pPr>
        <w:pStyle w:val="BodyText"/>
      </w:pPr>
      <w:r>
        <w:t xml:space="preserve">Salários nacionais do Job Bank, atualizados em 19 de novembro de 2025:</w:t>
      </w:r>
    </w:p>
    <w:p>
      <w:pPr>
        <w:numPr>
          <w:ilvl w:val="0"/>
          <w:numId w:val="1003"/>
        </w:numPr>
        <w:pStyle w:val="Compact"/>
      </w:pPr>
      <w:r>
        <w:rPr>
          <w:bCs/>
          <w:b/>
        </w:rPr>
        <w:t xml:space="preserve">baixo:</w:t>
      </w:r>
      <w:r>
        <w:t xml:space="preserve"> </w:t>
      </w:r>
      <w:r>
        <w:t xml:space="preserve">C$21.00/hora;</w:t>
      </w:r>
    </w:p>
    <w:p>
      <w:pPr>
        <w:numPr>
          <w:ilvl w:val="0"/>
          <w:numId w:val="1003"/>
        </w:numPr>
        <w:pStyle w:val="Compact"/>
      </w:pPr>
      <w:r>
        <w:rPr>
          <w:bCs/>
          <w:b/>
        </w:rPr>
        <w:t xml:space="preserve">mediana:</w:t>
      </w:r>
      <w:r>
        <w:t xml:space="preserve"> </w:t>
      </w:r>
      <w:r>
        <w:t xml:space="preserve">C$29.80/hora;</w:t>
      </w:r>
    </w:p>
    <w:p>
      <w:pPr>
        <w:numPr>
          <w:ilvl w:val="0"/>
          <w:numId w:val="1003"/>
        </w:numPr>
        <w:pStyle w:val="Compact"/>
      </w:pPr>
      <w:r>
        <w:rPr>
          <w:bCs/>
          <w:b/>
        </w:rPr>
        <w:t xml:space="preserve">alto:</w:t>
      </w:r>
      <w:r>
        <w:t xml:space="preserve"> </w:t>
      </w:r>
      <w:r>
        <w:t xml:space="preserve">C$47.69/hora.</w:t>
      </w:r>
    </w:p>
    <w:p>
      <w:pPr>
        <w:pStyle w:val="FirstParagraph"/>
      </w:pPr>
      <w:r>
        <w:t xml:space="preserve">Tecnólogos normalmente concluem programas de college de dois ou três anos e técnicos programas de um ou dois anos em áreas relacionadas. Certificação pode existir ou ser solicitada conforme província, campo e empregador. A oferta e demanda nacionais para NOC 22100 são descritas de forma geral como equilibradas para 2024–2033.</w:t>
      </w:r>
    </w:p>
    <w:p>
      <w:pPr>
        <w:pStyle w:val="BodyText"/>
      </w:pPr>
      <w:r>
        <w:t xml:space="preserve">Portal de treinamento do Canadá:</w:t>
      </w:r>
    </w:p>
    <w:p>
      <w:pPr>
        <w:pStyle w:val="BodyText"/>
      </w:pPr>
      <w:hyperlink r:id="rId50">
        <w:hyperlink r:id="rId50">
          <w:r>
            <w:rPr>
              <w:rStyle w:val="Hyperlink"/>
            </w:rPr>
            <w:t xml:space="preserve">Source link</w:t>
          </w:r>
        </w:hyperlink>
      </w:hyperlink>
    </w:p>
    <w:p>
      <w:pPr>
        <w:pStyle w:val="BodyText"/>
      </w:pPr>
      <w:r>
        <w:t xml:space="preserve">Os apoios podem incluir ajuda estudantil, treinamento, serviços de emprego e experiência de trabalho; a elegibilidade varia.</w:t>
      </w:r>
    </w:p>
    <w:bookmarkEnd w:id="51"/>
    <w:bookmarkStart w:id="59" w:name="caminho-da-colômbia"/>
    <w:p>
      <w:pPr>
        <w:pStyle w:val="Heading2"/>
      </w:pPr>
      <w:r>
        <w:t xml:space="preserve">Caminho da Colômbia</w:t>
      </w:r>
    </w:p>
    <w:bookmarkStart w:id="52" w:name="ocupacol"/>
    <w:p>
      <w:pPr>
        <w:pStyle w:val="Heading3"/>
      </w:pPr>
      <w:r>
        <w:t xml:space="preserve">OCUPACOL</w:t>
      </w:r>
    </w:p>
    <w:p>
      <w:pPr>
        <w:pStyle w:val="FirstParagraph"/>
      </w:pPr>
      <w:r>
        <w:rPr>
          <w:bCs/>
          <w:b/>
        </w:rPr>
        <w:t xml:space="preserve">CUOC 31160 — Técnicos en química industrial</w:t>
      </w:r>
      <w:r>
        <w:t xml:space="preserve"> </w:t>
      </w:r>
      <w:r>
        <w:t xml:space="preserve">inclui</w:t>
      </w:r>
      <w:r>
        <w:t xml:space="preserve"> </w:t>
      </w:r>
      <w:r>
        <w:rPr>
          <w:bCs/>
          <w:b/>
        </w:rPr>
        <w:t xml:space="preserve">Técnico químico de alimentos</w:t>
      </w:r>
      <w:r>
        <w:t xml:space="preserve">.</w:t>
      </w:r>
    </w:p>
    <w:p>
      <w:pPr>
        <w:pStyle w:val="BodyText"/>
      </w:pPr>
      <w:r>
        <w:rPr>
          <w:bCs/>
          <w:b/>
        </w:rPr>
        <w:t xml:space="preserve">CUOC 32573</w:t>
      </w:r>
      <w:r>
        <w:t xml:space="preserve"> </w:t>
      </w:r>
      <w:r>
        <w:t xml:space="preserve">inclui</w:t>
      </w:r>
      <w:r>
        <w:t xml:space="preserve"> </w:t>
      </w:r>
      <w:r>
        <w:rPr>
          <w:bCs/>
          <w:b/>
        </w:rPr>
        <w:t xml:space="preserve">Técnico de control calidad de procesamiento de alimentos</w:t>
      </w:r>
      <w:r>
        <w:t xml:space="preserve">.</w:t>
      </w:r>
    </w:p>
    <w:p>
      <w:pPr>
        <w:pStyle w:val="BodyText"/>
      </w:pPr>
      <w:r>
        <w:t xml:space="preserve">São comparadores úteis e não equivalências exatas com SOC 19-4013.00.</w:t>
      </w:r>
    </w:p>
    <w:bookmarkEnd w:id="52"/>
    <w:bookmarkStart w:id="54" w:name="X008712fe0c97fc338d803deaa51c6e8f2e1b6a7"/>
    <w:p>
      <w:pPr>
        <w:pStyle w:val="Heading3"/>
      </w:pPr>
      <w:r>
        <w:t xml:space="preserve">SENA — Control de calidad en la industria de alimentos</w:t>
      </w:r>
    </w:p>
    <w:p>
      <w:pPr>
        <w:pStyle w:val="FirstParagraph"/>
      </w:pPr>
      <w:r>
        <w:t xml:space="preserve">SENA Betowa lista este programa de</w:t>
      </w:r>
      <w:r>
        <w:t xml:space="preserve"> </w:t>
      </w:r>
      <w:r>
        <w:rPr>
          <w:bCs/>
          <w:b/>
        </w:rPr>
        <w:t xml:space="preserve">Tecnólogo</w:t>
      </w:r>
      <w:r>
        <w:t xml:space="preserve"> </w:t>
      </w:r>
      <w:r>
        <w:t xml:space="preserve">com</w:t>
      </w:r>
      <w:r>
        <w:t xml:space="preserve"> </w:t>
      </w:r>
      <w:r>
        <w:rPr>
          <w:bCs/>
          <w:b/>
        </w:rPr>
        <w:t xml:space="preserve">3,984 horas</w:t>
      </w:r>
      <w:r>
        <w:t xml:space="preserve">, incluindo análises físico-químicas, sensoriais e microbiológicas, controle da qualidade, coordenação de laboratório, verificação de produção, segurança, meio ambiente, ferramentas digitais e etapa prática.</w:t>
      </w:r>
    </w:p>
    <w:p>
      <w:pPr>
        <w:pStyle w:val="BodyText"/>
      </w:pPr>
      <w:hyperlink r:id="rId53">
        <w:hyperlink r:id="rId53">
          <w:r>
            <w:rPr>
              <w:rStyle w:val="Hyperlink"/>
            </w:rPr>
            <w:t xml:space="preserve">Source link</w:t>
          </w:r>
        </w:hyperlink>
      </w:hyperlink>
    </w:p>
    <w:bookmarkEnd w:id="54"/>
    <w:bookmarkStart w:id="56" w:name="Xe8b027cf4a3ed2063c4ac30f86bba51a969f45f"/>
    <w:p>
      <w:pPr>
        <w:pStyle w:val="Heading3"/>
      </w:pPr>
      <w:r>
        <w:t xml:space="preserve">SENA — Procesamiento y conservación de alimentos</w:t>
      </w:r>
    </w:p>
    <w:p>
      <w:pPr>
        <w:pStyle w:val="FirstParagraph"/>
      </w:pPr>
      <w:r>
        <w:t xml:space="preserve">Programa de</w:t>
      </w:r>
      <w:r>
        <w:t xml:space="preserve"> </w:t>
      </w:r>
      <w:r>
        <w:rPr>
          <w:bCs/>
          <w:b/>
        </w:rPr>
        <w:t xml:space="preserve">Tecnólogo</w:t>
      </w:r>
      <w:r>
        <w:t xml:space="preserve"> </w:t>
      </w:r>
      <w:r>
        <w:t xml:space="preserve">de</w:t>
      </w:r>
      <w:r>
        <w:t xml:space="preserve"> </w:t>
      </w:r>
      <w:r>
        <w:rPr>
          <w:bCs/>
          <w:b/>
        </w:rPr>
        <w:t xml:space="preserve">3,984 horas</w:t>
      </w:r>
      <w:r>
        <w:t xml:space="preserve"> </w:t>
      </w:r>
      <w:r>
        <w:t xml:space="preserve">sobre recebimento, processamento, conservação, higienização, produção e verificação da qualidade.</w:t>
      </w:r>
    </w:p>
    <w:p>
      <w:pPr>
        <w:pStyle w:val="BodyText"/>
      </w:pPr>
      <w:hyperlink r:id="rId55">
        <w:hyperlink r:id="rId55">
          <w:r>
            <w:rPr>
              <w:rStyle w:val="Hyperlink"/>
            </w:rPr>
            <w:t xml:space="preserve">Source link</w:t>
          </w:r>
        </w:hyperlink>
      </w:hyperlink>
    </w:p>
    <w:bookmarkEnd w:id="56"/>
    <w:bookmarkStart w:id="58" w:name="Xb729f2f42177ad41d5ec763fc9414600d57fbbe"/>
    <w:p>
      <w:pPr>
        <w:pStyle w:val="Heading3"/>
      </w:pPr>
      <w:r>
        <w:t xml:space="preserve">SENA — Protección y conservación de alimentos</w:t>
      </w:r>
    </w:p>
    <w:p>
      <w:pPr>
        <w:pStyle w:val="FirstParagraph"/>
      </w:pPr>
      <w:r>
        <w:t xml:space="preserve">Formação virtual sobre contaminantes, boas práticas de fabricação, doenças transmitidas por alimentos e garantia da qualidade.</w:t>
      </w:r>
    </w:p>
    <w:p>
      <w:pPr>
        <w:pStyle w:val="BodyText"/>
      </w:pPr>
      <w:hyperlink r:id="rId57">
        <w:hyperlink r:id="rId57">
          <w:r>
            <w:rPr>
              <w:rStyle w:val="Hyperlink"/>
            </w:rPr>
            <w:t xml:space="preserve">Source link</w:t>
          </w:r>
        </w:hyperlink>
      </w:hyperlink>
    </w:p>
    <w:p>
      <w:pPr>
        <w:pStyle w:val="BodyText"/>
      </w:pPr>
      <w:r>
        <w:t xml:space="preserve">Vagas, cidades, datas e modalidades mudam; verifique o Betowa antes de tomar decisões.</w:t>
      </w:r>
    </w:p>
    <w:bookmarkEnd w:id="58"/>
    <w:bookmarkEnd w:id="59"/>
    <w:bookmarkStart w:id="62" w:name="américa-latina-e-caribe"/>
    <w:p>
      <w:pPr>
        <w:pStyle w:val="Heading2"/>
      </w:pPr>
      <w:r>
        <w:t xml:space="preserve">América Latina e Caribe</w:t>
      </w:r>
    </w:p>
    <w:p>
      <w:pPr>
        <w:pStyle w:val="FirstParagraph"/>
      </w:pPr>
      <w:r>
        <w:t xml:space="preserve">OIT/Cinterfor ajuda a localizar instituições nacionais de formação profissional:</w:t>
      </w:r>
    </w:p>
    <w:p>
      <w:pPr>
        <w:pStyle w:val="BodyText"/>
      </w:pPr>
      <w:hyperlink r:id="rId60">
        <w:r>
          <w:rPr>
            <w:rStyle w:val="Hyperlink"/>
          </w:rPr>
          <w:t xml:space="preserve">https://www.oitcinterfor.org/</w:t>
        </w:r>
      </w:hyperlink>
    </w:p>
    <w:p>
      <w:pPr>
        <w:pStyle w:val="BodyText"/>
      </w:pPr>
      <w:hyperlink r:id="rId61">
        <w:r>
          <w:rPr>
            <w:rStyle w:val="Hyperlink"/>
          </w:rPr>
          <w:t xml:space="preserve">https://www.oitcinterfor.org/statsfp/paises</w:t>
        </w:r>
      </w:hyperlink>
    </w:p>
    <w:p>
      <w:pPr>
        <w:pStyle w:val="BodyText"/>
      </w:pPr>
      <w:r>
        <w:t xml:space="preserve">Pesquise termos como tecnologia de alimentos, ciência de alimentos, controle de qualidade, laboratório, inocuidade, microbiologia, processamento de alimentos, química aplicada e garantia da qualidade. Confirme nível, custo, modalidade, requisitos, vagas e reconhecimento com a instituição oficial.</w:t>
      </w:r>
    </w:p>
    <w:bookmarkEnd w:id="62"/>
    <w:bookmarkStart w:id="63" w:name="certificações-e-cursos-curtos"/>
    <w:p>
      <w:pPr>
        <w:pStyle w:val="Heading2"/>
      </w:pPr>
      <w:r>
        <w:t xml:space="preserve">Certificações e cursos curtos</w:t>
      </w:r>
    </w:p>
    <w:p>
      <w:pPr>
        <w:pStyle w:val="FirstParagraph"/>
      </w:pPr>
      <w:r>
        <w:t xml:space="preserve">Alguns empregadores valorizam GMP/CGMP, HACCP, controle de alergênicos, food defense, auditoria interna, segurança de laboratório, sistemas ISO, saneamento, análise sensorial, análise de causa raiz ou controle estatístico de processo.</w:t>
      </w:r>
    </w:p>
    <w:p>
      <w:pPr>
        <w:pStyle w:val="BodyText"/>
      </w:pPr>
      <w:r>
        <w:t xml:space="preserve">Um certificado de curso demonstra treinamento, mas não transforma automaticamente a pessoa em autoridade de segurança de alimentos, especialista regulatório, signatário de laboratório, PCQI ou auditor acreditado. Antes de pagar por uma credencial, revise vagas reais em sua região.</w:t>
      </w:r>
    </w:p>
    <w:bookmarkEnd w:id="63"/>
    <w:bookmarkStart w:id="64" w:name="sequência-gratuita-ou-de-baixo-custo"/>
    <w:p>
      <w:pPr>
        <w:pStyle w:val="Heading2"/>
      </w:pPr>
      <w:r>
        <w:t xml:space="preserve">Sequência gratuita ou de baixo custo</w:t>
      </w:r>
    </w:p>
    <w:p>
      <w:pPr>
        <w:numPr>
          <w:ilvl w:val="0"/>
          <w:numId w:val="1004"/>
        </w:numPr>
        <w:pStyle w:val="Compact"/>
      </w:pPr>
      <w:r>
        <w:rPr>
          <w:bCs/>
          <w:b/>
        </w:rPr>
        <w:t xml:space="preserve">Atualizar ciência:</w:t>
      </w:r>
      <w:r>
        <w:t xml:space="preserve"> </w:t>
      </w:r>
      <w:r>
        <w:t xml:space="preserve">unidades, conversões, porcentagens, álgebra básica, química, ácidos/bases, pH, microbiologia, temperatura e medição.</w:t>
      </w:r>
    </w:p>
    <w:p>
      <w:pPr>
        <w:numPr>
          <w:ilvl w:val="0"/>
          <w:numId w:val="1004"/>
        </w:numPr>
        <w:pStyle w:val="Compact"/>
      </w:pPr>
      <w:r>
        <w:rPr>
          <w:bCs/>
          <w:b/>
        </w:rPr>
        <w:t xml:space="preserve">Fundamentos de qualidade:</w:t>
      </w:r>
      <w:r>
        <w:t xml:space="preserve"> </w:t>
      </w:r>
      <w:r>
        <w:t xml:space="preserve">especificações, SOP, identificação de amostras, calibração, rastreabilidade, desvios, ações corretivas e integridade documental.</w:t>
      </w:r>
    </w:p>
    <w:p>
      <w:pPr>
        <w:numPr>
          <w:ilvl w:val="0"/>
          <w:numId w:val="1004"/>
        </w:numPr>
        <w:pStyle w:val="Compact"/>
      </w:pPr>
      <w:r>
        <w:rPr>
          <w:bCs/>
          <w:b/>
        </w:rPr>
        <w:t xml:space="preserve">Segurança de alimentos:</w:t>
      </w:r>
      <w:r>
        <w:t xml:space="preserve"> </w:t>
      </w:r>
      <w:r>
        <w:t xml:space="preserve">contaminação, alergênicos, higiene, saneamento, tempo/temperatura, contato cruzado, controles preventivos e escalonamento.</w:t>
      </w:r>
    </w:p>
    <w:p>
      <w:pPr>
        <w:numPr>
          <w:ilvl w:val="0"/>
          <w:numId w:val="1004"/>
        </w:numPr>
        <w:pStyle w:val="Compact"/>
      </w:pPr>
      <w:r>
        <w:rPr>
          <w:bCs/>
          <w:b/>
        </w:rPr>
        <w:t xml:space="preserve">Planilhas e documentação:</w:t>
      </w:r>
      <w:r>
        <w:t xml:space="preserve"> </w:t>
      </w:r>
      <w:r>
        <w:t xml:space="preserve">resultados, unidades, fórmulas, gráficos, filtros, modelos controlados, versões e revisão.</w:t>
      </w:r>
    </w:p>
    <w:p>
      <w:pPr>
        <w:numPr>
          <w:ilvl w:val="0"/>
          <w:numId w:val="1004"/>
        </w:numPr>
        <w:pStyle w:val="Compact"/>
      </w:pPr>
      <w:r>
        <w:rPr>
          <w:bCs/>
          <w:b/>
        </w:rPr>
        <w:t xml:space="preserve">Exposição prática supervisionada:</w:t>
      </w:r>
      <w:r>
        <w:t xml:space="preserve"> </w:t>
      </w:r>
      <w:r>
        <w:t xml:space="preserve">produção, QA/QC, laboratório, recebimento de amostras, saneamento, ingredientes ou planta-piloto.</w:t>
      </w:r>
    </w:p>
    <w:p>
      <w:pPr>
        <w:numPr>
          <w:ilvl w:val="0"/>
          <w:numId w:val="1004"/>
        </w:numPr>
        <w:pStyle w:val="Compact"/>
      </w:pPr>
      <w:r>
        <w:rPr>
          <w:bCs/>
          <w:b/>
        </w:rPr>
        <w:t xml:space="preserve">Credencial direcionada:</w:t>
      </w:r>
      <w:r>
        <w:t xml:space="preserve"> </w:t>
      </w:r>
      <w:r>
        <w:t xml:space="preserve">somente após revisar requisitos locais, escolha a opção confiável de menor custo que feche uma lacuna real.</w:t>
      </w:r>
    </w:p>
    <w:bookmarkEnd w:id="64"/>
    <w:bookmarkStart w:id="65" w:name="X834dc7ae72d6289c32345b82f05d5675a5e8025"/>
    <w:p>
      <w:pPr>
        <w:pStyle w:val="Heading2"/>
      </w:pPr>
      <w:r>
        <w:t xml:space="preserve">Acessibilidade e inclusão de pessoas com deficiência</w:t>
      </w:r>
    </w:p>
    <w:p>
      <w:pPr>
        <w:pStyle w:val="FirstParagraph"/>
      </w:pPr>
      <w:r>
        <w:t xml:space="preserve">Laboratórios e plantas variam. Algumas funções exigem longos períodos em pé, coordenação motora fina, distinção de cores, levantamento de peso, trabalho em frio, EPI, ruído ou odores; outras são mais instrumentais ou administrativas.</w:t>
      </w:r>
    </w:p>
    <w:p>
      <w:pPr>
        <w:pStyle w:val="BodyText"/>
      </w:pPr>
      <w:r>
        <w:t xml:space="preserve">Não presuma que uma deficiência impede o trabalho. Funções essenciais e adaptações dependem do cargo e da jurisdição. Possíveis apoios incluem altura de trabalho ajustável, tapetes antifadiga, trabalho sentado quando adequado, iluminação, ampliação, leitores de tela, formulários acessíveis, sequências escritas, rótulos que não dependam apenas de cor, apoio de comunicação, ajustes de horário e ferramentas ergonômicas.</w:t>
      </w:r>
    </w:p>
    <w:p>
      <w:pPr>
        <w:pStyle w:val="BodyText"/>
      </w:pPr>
      <w:r>
        <w:t xml:space="preserve">Este guia não certifica que qualquer adaptação ou local de trabalho cumpra requisitos legais específicos.</w:t>
      </w:r>
    </w:p>
    <w:bookmarkEnd w:id="65"/>
    <w:bookmarkStart w:id="66" w:name="estratégias-amigáveis-para-disgrafia"/>
    <w:p>
      <w:pPr>
        <w:pStyle w:val="Heading2"/>
      </w:pPr>
      <w:r>
        <w:t xml:space="preserve">Estratégias amigáveis para disgrafia</w:t>
      </w:r>
    </w:p>
    <w:p>
      <w:pPr>
        <w:pStyle w:val="FirstParagraph"/>
      </w:pPr>
      <w:r>
        <w:t xml:space="preserve">Quando permitido, use registros eletrônicos, modelos aprovados, checklist curto antes do teste, separação visual entre ID da amostra e resultado, leitura de números antes do envio, unidades em cada planilha, ditado para rascunhos não regulados, revisão manual de identificadores críticos e notas pessoais separadas de registros regulados. Nunca use ferramenta de acessibilidade para contornar controles de integridade ou segurança.</w:t>
      </w:r>
    </w:p>
    <w:bookmarkEnd w:id="66"/>
    <w:bookmarkStart w:id="67" w:name="portfólio-inicial"/>
    <w:p>
      <w:pPr>
        <w:pStyle w:val="Heading2"/>
      </w:pPr>
      <w:r>
        <w:t xml:space="preserve">Portfólio inicial</w:t>
      </w:r>
    </w:p>
    <w:p>
      <w:pPr>
        <w:pStyle w:val="FirstParagraph"/>
      </w:pPr>
      <w:r>
        <w:t xml:space="preserve">Use dados fictícios ou públicos, nunca dados confidenciais do empregador. Pode incluir registro fictício de recebimento de amostras, estudo simples de pH com materiais seguros, registro simulado de calibração, planilha de temperatura, relatório fictício de desvio, checklist de saneamento, exercício de rastreabilidade, gráfico de medições repetidas e um SOP de prática inofensiva. Identifique tudo como simulação de treinamento.</w:t>
      </w:r>
    </w:p>
    <w:bookmarkEnd w:id="67"/>
    <w:bookmarkStart w:id="68" w:name="linguagem-para-currículo"/>
    <w:p>
      <w:pPr>
        <w:pStyle w:val="Heading2"/>
      </w:pPr>
      <w:r>
        <w:t xml:space="preserve">Linguagem para currículo</w:t>
      </w:r>
    </w:p>
    <w:p>
      <w:pPr>
        <w:pStyle w:val="FirstParagraph"/>
      </w:pPr>
      <w:r>
        <w:t xml:space="preserve">Frases válidas se forem verdadeiras: seguiu procedimentos documentados e manteve registros precisos; apoiou controle de qualidade e rastreabilidade de amostras; usou planilhas para registrar medições; cumpriu saneamento, EPI e segurança; identificou desvios e os escalou; protegeu informação confidencial e usou sistemas aprovados.</w:t>
      </w:r>
    </w:p>
    <w:p>
      <w:pPr>
        <w:pStyle w:val="BodyText"/>
      </w:pPr>
      <w:r>
        <w:t xml:space="preserve">Não declare experiência HACCP, autoridade regulatória, microbiologia especializada ou métodos laboratoriais que não tenha realmente realizado.</w:t>
      </w:r>
    </w:p>
    <w:bookmarkEnd w:id="68"/>
    <w:bookmarkStart w:id="69" w:name="preparação-para-entrevista"/>
    <w:p>
      <w:pPr>
        <w:pStyle w:val="Heading2"/>
      </w:pPr>
      <w:r>
        <w:t xml:space="preserve">Preparação para entrevista</w:t>
      </w:r>
    </w:p>
    <w:p>
      <w:pPr>
        <w:pStyle w:val="FirstParagraph"/>
      </w:pPr>
      <w:r>
        <w:t xml:space="preserve">Prepare-se para explicar como evita troca de amostras, o que faria diante de resultado fora de especificação, como corrige erro documental, por que a calibração importa, como reage à pressão para ignorar uma verificação falha, como evita contaminação cruzada, como protege fórmulas ou dados e quando deve parar e escalar.</w:t>
      </w:r>
    </w:p>
    <w:bookmarkEnd w:id="69"/>
    <w:bookmarkStart w:id="76" w:name="plano-de-ação-em-seis-passos"/>
    <w:p>
      <w:pPr>
        <w:pStyle w:val="Heading2"/>
      </w:pPr>
      <w:r>
        <w:t xml:space="preserve">Plano de ação em seis passos</w:t>
      </w:r>
    </w:p>
    <w:p>
      <w:pPr>
        <w:pStyle w:val="FirstParagraph"/>
      </w:pPr>
      <w:r>
        <w:t xml:space="preserve">Esta seção corrige intencionalmente o defeito herdado do plano de ação do Guia 99.</w:t>
      </w:r>
    </w:p>
    <w:bookmarkStart w:id="70" w:name="passo-1--escolher-um-ambiente-alvo"/>
    <w:p>
      <w:pPr>
        <w:pStyle w:val="Heading3"/>
      </w:pPr>
      <w:r>
        <w:t xml:space="preserve">Passo 1 — Escolher um ambiente-alvo</w:t>
      </w:r>
    </w:p>
    <w:p>
      <w:pPr>
        <w:pStyle w:val="FirstParagraph"/>
      </w:pPr>
      <w:r>
        <w:t xml:space="preserve">Selecione um ambiente realista: laboratório, QA/QC, bebidas, laticínios, panificação, carnes/pescados, hortifrúti, ingredientes, P&amp;D ou qualidade de processamento.</w:t>
      </w:r>
    </w:p>
    <w:bookmarkEnd w:id="70"/>
    <w:bookmarkStart w:id="71" w:name="X1fb529d94b8e17a0c35ad989175c516d3e6d810"/>
    <w:p>
      <w:pPr>
        <w:pStyle w:val="Heading3"/>
      </w:pPr>
      <w:r>
        <w:t xml:space="preserve">Passo 2 — Reunir 10 descrições reais de vagas</w:t>
      </w:r>
    </w:p>
    <w:p>
      <w:pPr>
        <w:pStyle w:val="FirstParagraph"/>
      </w:pPr>
      <w:r>
        <w:t xml:space="preserve">Registre requisitos repetidos: educação, turno, instrumentos, testes, GMP/HACCP, planilhas, esforço físico, microbiologia, química, análise sensorial e experiência.</w:t>
      </w:r>
    </w:p>
    <w:bookmarkEnd w:id="71"/>
    <w:bookmarkStart w:id="72" w:name="X015d6cbcec3a5de8262df335700420593acb4dd"/>
    <w:p>
      <w:pPr>
        <w:pStyle w:val="Heading3"/>
      </w:pPr>
      <w:r>
        <w:t xml:space="preserve">Passo 3 — Identificar as três maiores lacunas</w:t>
      </w:r>
    </w:p>
    <w:p>
      <w:pPr>
        <w:pStyle w:val="FirstParagraph"/>
      </w:pPr>
      <w:r>
        <w:t xml:space="preserve">Escolha apenas três, por exemplo química básica, precisão em planilhas e conhecimento de GMP.</w:t>
      </w:r>
    </w:p>
    <w:bookmarkEnd w:id="72"/>
    <w:bookmarkStart w:id="73" w:name="X66b6fe0c29d7f4f3e3160628ec412f082c1d290"/>
    <w:p>
      <w:pPr>
        <w:pStyle w:val="Heading3"/>
      </w:pPr>
      <w:r>
        <w:t xml:space="preserve">Passo 4 — Fechar uma lacuna com o menor custo razoável</w:t>
      </w:r>
    </w:p>
    <w:p>
      <w:pPr>
        <w:pStyle w:val="FirstParagraph"/>
      </w:pPr>
      <w:r>
        <w:t xml:space="preserve">Use community college, SENA, treinamento público, treinamento do empregador, recursos gratuitos confiáveis ou curso curto de baixo custo antes de comprar uma credencial grande.</w:t>
      </w:r>
    </w:p>
    <w:bookmarkEnd w:id="73"/>
    <w:bookmarkStart w:id="74" w:name="passo-5--criar-evidência"/>
    <w:p>
      <w:pPr>
        <w:pStyle w:val="Heading3"/>
      </w:pPr>
      <w:r>
        <w:t xml:space="preserve">Passo 5 — Criar evidência</w:t>
      </w:r>
    </w:p>
    <w:p>
      <w:pPr>
        <w:pStyle w:val="FirstParagraph"/>
      </w:pPr>
      <w:r>
        <w:t xml:space="preserve">Conclua uma tarefa supervisionada, estágio, laboratório de curso, projeto ou exercício fictício que demonstre precisão, documentação e consciência de segurança.</w:t>
      </w:r>
    </w:p>
    <w:bookmarkEnd w:id="74"/>
    <w:bookmarkStart w:id="75" w:name="passo-6--candidatar-se-e-revisar"/>
    <w:p>
      <w:pPr>
        <w:pStyle w:val="Heading3"/>
      </w:pPr>
      <w:r>
        <w:t xml:space="preserve">Passo 6 — Candidatar-se e revisar</w:t>
      </w:r>
    </w:p>
    <w:p>
      <w:pPr>
        <w:pStyle w:val="FirstParagraph"/>
      </w:pPr>
      <w:r>
        <w:t xml:space="preserve">Candidate-se a funções de técnico, auxiliar de laboratório, amostras, qualidade e trainee compatíveis com sua evidência. A cada cinco a dez candidaturas, revise requisitos recorrentes e ajuste a formação em vez de acumular certificados aleatórios.</w:t>
      </w:r>
    </w:p>
    <w:bookmarkEnd w:id="75"/>
    <w:bookmarkEnd w:id="76"/>
    <w:bookmarkStart w:id="77" w:name="antes-de-aceitar-um-emprego"/>
    <w:p>
      <w:pPr>
        <w:pStyle w:val="Heading2"/>
      </w:pPr>
      <w:r>
        <w:t xml:space="preserve">Antes de aceitar um emprego</w:t>
      </w:r>
    </w:p>
    <w:p>
      <w:pPr>
        <w:pStyle w:val="FirstParagraph"/>
      </w:pPr>
      <w:r>
        <w:t xml:space="preserve">Pergunte sobre turno, proporção entre laboratório e chão de fábrica, EPI, químicos e materiais biológicos, esforço físico, testes e instrumentos, responsável por resultados fora de especificação, trabalho em fins de semana, treinamento antes de testes independentes, sistema documental, apoio educacional e progressão de carreira.</w:t>
      </w:r>
    </w:p>
    <w:bookmarkEnd w:id="77"/>
    <w:bookmarkStart w:id="99" w:name="fontes-e-links-de-verificação"/>
    <w:p>
      <w:pPr>
        <w:pStyle w:val="Heading2"/>
      </w:pPr>
      <w:r>
        <w:t xml:space="preserve">Fontes e links de verificação</w:t>
      </w:r>
    </w:p>
    <w:bookmarkStart w:id="87" w:name="estados-unidos"/>
    <w:p>
      <w:pPr>
        <w:pStyle w:val="Heading3"/>
      </w:pPr>
      <w:r>
        <w:t xml:space="preserve">Estados Unidos</w:t>
      </w:r>
    </w:p>
    <w:p>
      <w:pPr>
        <w:numPr>
          <w:ilvl w:val="0"/>
          <w:numId w:val="1005"/>
        </w:numPr>
        <w:pStyle w:val="Compact"/>
      </w:pPr>
      <w:r>
        <w:t xml:space="preserve">O*NET Food Science Technicians:</w:t>
      </w:r>
      <w:r>
        <w:t xml:space="preserve"> </w:t>
      </w:r>
      <w:hyperlink r:id="rId78">
        <w:hyperlink r:id="rId78">
          <w:r>
            <w:rPr>
              <w:rStyle w:val="Hyperlink"/>
            </w:rPr>
            <w:t xml:space="preserve">Source link</w:t>
          </w:r>
        </w:hyperlink>
      </w:hyperlink>
    </w:p>
    <w:p>
      <w:pPr>
        <w:numPr>
          <w:ilvl w:val="0"/>
          <w:numId w:val="1005"/>
        </w:numPr>
        <w:pStyle w:val="Compact"/>
      </w:pPr>
      <w:r>
        <w:t xml:space="preserve">BLS Agricultural and Food Science Technicians:</w:t>
      </w:r>
      <w:r>
        <w:t xml:space="preserve"> </w:t>
      </w:r>
      <w:hyperlink r:id="rId79">
        <w:hyperlink r:id="rId79">
          <w:r>
            <w:rPr>
              <w:rStyle w:val="Hyperlink"/>
            </w:rPr>
            <w:t xml:space="preserve">Source link</w:t>
          </w:r>
        </w:hyperlink>
      </w:hyperlink>
    </w:p>
    <w:p>
      <w:pPr>
        <w:numPr>
          <w:ilvl w:val="0"/>
          <w:numId w:val="1005"/>
        </w:numPr>
        <w:pStyle w:val="Compact"/>
      </w:pPr>
      <w:r>
        <w:t xml:space="preserve">BLS 2025 OEWS:</w:t>
      </w:r>
      <w:r>
        <w:t xml:space="preserve"> </w:t>
      </w:r>
      <w:hyperlink r:id="rId80">
        <w:hyperlink r:id="rId80">
          <w:r>
            <w:rPr>
              <w:rStyle w:val="Hyperlink"/>
            </w:rPr>
            <w:t xml:space="preserve">Source link</w:t>
          </w:r>
        </w:hyperlink>
      </w:hyperlink>
    </w:p>
    <w:p>
      <w:pPr>
        <w:numPr>
          <w:ilvl w:val="0"/>
          <w:numId w:val="1005"/>
        </w:numPr>
        <w:pStyle w:val="Compact"/>
      </w:pPr>
      <w:r>
        <w:t xml:space="preserve">CareerOneStop WIOA:</w:t>
      </w:r>
      <w:r>
        <w:t xml:space="preserve"> </w:t>
      </w:r>
      <w:hyperlink r:id="rId46">
        <w:hyperlink r:id="rId46">
          <w:r>
            <w:rPr>
              <w:rStyle w:val="Hyperlink"/>
            </w:rPr>
            <w:t xml:space="preserve">Source link</w:t>
          </w:r>
        </w:hyperlink>
      </w:hyperlink>
    </w:p>
    <w:p>
      <w:pPr>
        <w:numPr>
          <w:ilvl w:val="0"/>
          <w:numId w:val="1005"/>
        </w:numPr>
        <w:pStyle w:val="Compact"/>
      </w:pPr>
      <w:r>
        <w:t xml:space="preserve">Apprenticeship.gov:</w:t>
      </w:r>
      <w:r>
        <w:t xml:space="preserve"> </w:t>
      </w:r>
      <w:hyperlink r:id="rId81">
        <w:r>
          <w:rPr>
            <w:rStyle w:val="Hyperlink"/>
          </w:rPr>
          <w:t xml:space="preserve">https://www.apprenticeship.gov/</w:t>
        </w:r>
      </w:hyperlink>
    </w:p>
    <w:p>
      <w:pPr>
        <w:numPr>
          <w:ilvl w:val="0"/>
          <w:numId w:val="1005"/>
        </w:numPr>
        <w:pStyle w:val="Compact"/>
      </w:pPr>
      <w:r>
        <w:t xml:space="preserve">FDA CGMP:</w:t>
      </w:r>
      <w:r>
        <w:t xml:space="preserve"> </w:t>
      </w:r>
      <w:hyperlink r:id="rId82">
        <w:hyperlink r:id="rId82">
          <w:r>
            <w:rPr>
              <w:rStyle w:val="Hyperlink"/>
            </w:rPr>
            <w:t xml:space="preserve">Source link</w:t>
          </w:r>
        </w:hyperlink>
      </w:hyperlink>
    </w:p>
    <w:p>
      <w:pPr>
        <w:numPr>
          <w:ilvl w:val="0"/>
          <w:numId w:val="1005"/>
        </w:numPr>
        <w:pStyle w:val="Compact"/>
      </w:pPr>
      <w:r>
        <w:t xml:space="preserve">FDA Preventive Controls:</w:t>
      </w:r>
      <w:r>
        <w:t xml:space="preserve"> </w:t>
      </w:r>
      <w:hyperlink r:id="rId83">
        <w:hyperlink r:id="rId83">
          <w:r>
            <w:rPr>
              <w:rStyle w:val="Hyperlink"/>
            </w:rPr>
            <w:t xml:space="preserve">Source link</w:t>
          </w:r>
        </w:hyperlink>
      </w:hyperlink>
    </w:p>
    <w:p>
      <w:pPr>
        <w:numPr>
          <w:ilvl w:val="0"/>
          <w:numId w:val="1005"/>
        </w:numPr>
        <w:pStyle w:val="Compact"/>
      </w:pPr>
      <w:r>
        <w:t xml:space="preserve">FDA FSMA:</w:t>
      </w:r>
      <w:r>
        <w:t xml:space="preserve"> </w:t>
      </w:r>
      <w:hyperlink r:id="rId84">
        <w:hyperlink r:id="rId84">
          <w:r>
            <w:rPr>
              <w:rStyle w:val="Hyperlink"/>
            </w:rPr>
            <w:t xml:space="preserve">Source link</w:t>
          </w:r>
        </w:hyperlink>
      </w:hyperlink>
    </w:p>
    <w:p>
      <w:pPr>
        <w:numPr>
          <w:ilvl w:val="0"/>
          <w:numId w:val="1005"/>
        </w:numPr>
        <w:pStyle w:val="Compact"/>
      </w:pPr>
      <w:r>
        <w:t xml:space="preserve">CISA Secure Our World:</w:t>
      </w:r>
      <w:r>
        <w:t xml:space="preserve"> </w:t>
      </w:r>
      <w:hyperlink r:id="rId85">
        <w:r>
          <w:rPr>
            <w:rStyle w:val="Hyperlink"/>
          </w:rPr>
          <w:t xml:space="preserve">https://www.cisa.gov/secure-our-world</w:t>
        </w:r>
      </w:hyperlink>
    </w:p>
    <w:p>
      <w:pPr>
        <w:numPr>
          <w:ilvl w:val="0"/>
          <w:numId w:val="1005"/>
        </w:numPr>
        <w:pStyle w:val="Compact"/>
      </w:pPr>
      <w:r>
        <w:t xml:space="preserve">NIST AI RMF:</w:t>
      </w:r>
      <w:r>
        <w:t xml:space="preserve"> </w:t>
      </w:r>
      <w:hyperlink r:id="rId86">
        <w:hyperlink r:id="rId86">
          <w:r>
            <w:rPr>
              <w:rStyle w:val="Hyperlink"/>
            </w:rPr>
            <w:t xml:space="preserve">Source link</w:t>
          </w:r>
        </w:hyperlink>
      </w:hyperlink>
    </w:p>
    <w:bookmarkEnd w:id="87"/>
    <w:bookmarkStart w:id="92" w:name="canadá"/>
    <w:p>
      <w:pPr>
        <w:pStyle w:val="Heading3"/>
      </w:pPr>
      <w:r>
        <w:t xml:space="preserve">Canadá</w:t>
      </w:r>
    </w:p>
    <w:p>
      <w:pPr>
        <w:numPr>
          <w:ilvl w:val="0"/>
          <w:numId w:val="1006"/>
        </w:numPr>
        <w:pStyle w:val="Compact"/>
      </w:pPr>
      <w:r>
        <w:t xml:space="preserve">Job Bank summary:</w:t>
      </w:r>
      <w:r>
        <w:t xml:space="preserve"> </w:t>
      </w:r>
      <w:hyperlink r:id="rId88">
        <w:hyperlink r:id="rId88">
          <w:r>
            <w:rPr>
              <w:rStyle w:val="Hyperlink"/>
            </w:rPr>
            <w:t xml:space="preserve">Source link</w:t>
          </w:r>
        </w:hyperlink>
      </w:hyperlink>
    </w:p>
    <w:p>
      <w:pPr>
        <w:numPr>
          <w:ilvl w:val="0"/>
          <w:numId w:val="1006"/>
        </w:numPr>
        <w:pStyle w:val="Compact"/>
      </w:pPr>
      <w:r>
        <w:t xml:space="preserve">Job Bank wages:</w:t>
      </w:r>
      <w:r>
        <w:t xml:space="preserve"> </w:t>
      </w:r>
      <w:hyperlink r:id="rId89">
        <w:hyperlink r:id="rId89">
          <w:r>
            <w:rPr>
              <w:rStyle w:val="Hyperlink"/>
            </w:rPr>
            <w:t xml:space="preserve">Source link</w:t>
          </w:r>
        </w:hyperlink>
      </w:hyperlink>
    </w:p>
    <w:p>
      <w:pPr>
        <w:numPr>
          <w:ilvl w:val="0"/>
          <w:numId w:val="1006"/>
        </w:numPr>
        <w:pStyle w:val="Compact"/>
      </w:pPr>
      <w:r>
        <w:t xml:space="preserve">Job Bank requirements:</w:t>
      </w:r>
      <w:r>
        <w:t xml:space="preserve"> </w:t>
      </w:r>
      <w:hyperlink r:id="rId90">
        <w:hyperlink r:id="rId90">
          <w:r>
            <w:rPr>
              <w:rStyle w:val="Hyperlink"/>
            </w:rPr>
            <w:t xml:space="preserve">Source link</w:t>
          </w:r>
        </w:hyperlink>
      </w:hyperlink>
    </w:p>
    <w:p>
      <w:pPr>
        <w:numPr>
          <w:ilvl w:val="0"/>
          <w:numId w:val="1006"/>
        </w:numPr>
        <w:pStyle w:val="Compact"/>
      </w:pPr>
      <w:r>
        <w:t xml:space="preserve">Job Bank outlook:</w:t>
      </w:r>
      <w:r>
        <w:t xml:space="preserve"> </w:t>
      </w:r>
      <w:hyperlink r:id="rId91">
        <w:hyperlink r:id="rId91">
          <w:r>
            <w:rPr>
              <w:rStyle w:val="Hyperlink"/>
            </w:rPr>
            <w:t xml:space="preserve">Source link</w:t>
          </w:r>
        </w:hyperlink>
      </w:hyperlink>
    </w:p>
    <w:p>
      <w:pPr>
        <w:numPr>
          <w:ilvl w:val="0"/>
          <w:numId w:val="1006"/>
        </w:numPr>
        <w:pStyle w:val="Compact"/>
      </w:pPr>
      <w:r>
        <w:t xml:space="preserve">Canada training gateway:</w:t>
      </w:r>
      <w:r>
        <w:t xml:space="preserve"> </w:t>
      </w:r>
      <w:hyperlink r:id="rId50">
        <w:hyperlink r:id="rId50">
          <w:r>
            <w:rPr>
              <w:rStyle w:val="Hyperlink"/>
            </w:rPr>
            <w:t xml:space="preserve">Source link</w:t>
          </w:r>
        </w:hyperlink>
      </w:hyperlink>
    </w:p>
    <w:bookmarkEnd w:id="92"/>
    <w:bookmarkStart w:id="95" w:name="colômbia-e-américa-latina"/>
    <w:p>
      <w:pPr>
        <w:pStyle w:val="Heading3"/>
      </w:pPr>
      <w:r>
        <w:t xml:space="preserve">Colômbia e América Latina</w:t>
      </w:r>
    </w:p>
    <w:p>
      <w:pPr>
        <w:numPr>
          <w:ilvl w:val="0"/>
          <w:numId w:val="1007"/>
        </w:numPr>
        <w:pStyle w:val="Compact"/>
      </w:pPr>
      <w:r>
        <w:t xml:space="preserve">OCUPACOL CUOC 31160:</w:t>
      </w:r>
      <w:r>
        <w:t xml:space="preserve"> </w:t>
      </w:r>
      <w:hyperlink r:id="rId93">
        <w:hyperlink r:id="rId93">
          <w:r>
            <w:rPr>
              <w:rStyle w:val="Hyperlink"/>
            </w:rPr>
            <w:t xml:space="preserve">Source link</w:t>
          </w:r>
        </w:hyperlink>
      </w:hyperlink>
    </w:p>
    <w:p>
      <w:pPr>
        <w:numPr>
          <w:ilvl w:val="0"/>
          <w:numId w:val="1007"/>
        </w:numPr>
        <w:pStyle w:val="Compact"/>
      </w:pPr>
      <w:r>
        <w:t xml:space="preserve">OCUPACOL CUOC 32573:</w:t>
      </w:r>
      <w:r>
        <w:t xml:space="preserve"> </w:t>
      </w:r>
      <w:hyperlink r:id="rId94">
        <w:hyperlink r:id="rId94">
          <w:r>
            <w:rPr>
              <w:rStyle w:val="Hyperlink"/>
            </w:rPr>
            <w:t xml:space="preserve">Source link</w:t>
          </w:r>
        </w:hyperlink>
      </w:hyperlink>
    </w:p>
    <w:p>
      <w:pPr>
        <w:numPr>
          <w:ilvl w:val="0"/>
          <w:numId w:val="1007"/>
        </w:numPr>
        <w:pStyle w:val="Compact"/>
      </w:pPr>
      <w:r>
        <w:t xml:space="preserve">SENA Control de calidad:</w:t>
      </w:r>
      <w:r>
        <w:t xml:space="preserve"> </w:t>
      </w:r>
      <w:hyperlink r:id="rId53">
        <w:hyperlink r:id="rId53">
          <w:r>
            <w:rPr>
              <w:rStyle w:val="Hyperlink"/>
            </w:rPr>
            <w:t xml:space="preserve">Source link</w:t>
          </w:r>
        </w:hyperlink>
      </w:hyperlink>
    </w:p>
    <w:p>
      <w:pPr>
        <w:numPr>
          <w:ilvl w:val="0"/>
          <w:numId w:val="1007"/>
        </w:numPr>
        <w:pStyle w:val="Compact"/>
      </w:pPr>
      <w:r>
        <w:t xml:space="preserve">SENA Procesamiento y conservación:</w:t>
      </w:r>
      <w:r>
        <w:t xml:space="preserve"> </w:t>
      </w:r>
      <w:hyperlink r:id="rId55">
        <w:hyperlink r:id="rId55">
          <w:r>
            <w:rPr>
              <w:rStyle w:val="Hyperlink"/>
            </w:rPr>
            <w:t xml:space="preserve">Source link</w:t>
          </w:r>
        </w:hyperlink>
      </w:hyperlink>
    </w:p>
    <w:p>
      <w:pPr>
        <w:numPr>
          <w:ilvl w:val="0"/>
          <w:numId w:val="1007"/>
        </w:numPr>
        <w:pStyle w:val="Compact"/>
      </w:pPr>
      <w:r>
        <w:t xml:space="preserve">SENA Protección y conservación:</w:t>
      </w:r>
      <w:r>
        <w:t xml:space="preserve"> </w:t>
      </w:r>
      <w:hyperlink r:id="rId57">
        <w:hyperlink r:id="rId57">
          <w:r>
            <w:rPr>
              <w:rStyle w:val="Hyperlink"/>
            </w:rPr>
            <w:t xml:space="preserve">Source link</w:t>
          </w:r>
        </w:hyperlink>
      </w:hyperlink>
    </w:p>
    <w:p>
      <w:pPr>
        <w:numPr>
          <w:ilvl w:val="0"/>
          <w:numId w:val="1007"/>
        </w:numPr>
        <w:pStyle w:val="Compact"/>
      </w:pPr>
      <w:r>
        <w:t xml:space="preserve">OIT/Cinterfor:</w:t>
      </w:r>
      <w:r>
        <w:t xml:space="preserve"> </w:t>
      </w:r>
      <w:hyperlink r:id="rId60">
        <w:r>
          <w:rPr>
            <w:rStyle w:val="Hyperlink"/>
          </w:rPr>
          <w:t xml:space="preserve">https://www.oitcinterfor.org/</w:t>
        </w:r>
      </w:hyperlink>
    </w:p>
    <w:p>
      <w:pPr>
        <w:numPr>
          <w:ilvl w:val="0"/>
          <w:numId w:val="1007"/>
        </w:numPr>
        <w:pStyle w:val="Compact"/>
      </w:pPr>
      <w:r>
        <w:t xml:space="preserve">OIT/Cinterfor países:</w:t>
      </w:r>
      <w:r>
        <w:t xml:space="preserve"> </w:t>
      </w:r>
      <w:hyperlink r:id="rId61">
        <w:r>
          <w:rPr>
            <w:rStyle w:val="Hyperlink"/>
          </w:rPr>
          <w:t xml:space="preserve">https://www.oitcinterfor.org/statsfp/paises</w:t>
        </w:r>
      </w:hyperlink>
    </w:p>
    <w:bookmarkEnd w:id="95"/>
    <w:bookmarkStart w:id="98" w:name="contexto-privado-atual"/>
    <w:p>
      <w:pPr>
        <w:pStyle w:val="Heading3"/>
      </w:pPr>
      <w:r>
        <w:t xml:space="preserve">Contexto privado atual</w:t>
      </w:r>
    </w:p>
    <w:p>
      <w:pPr>
        <w:numPr>
          <w:ilvl w:val="0"/>
          <w:numId w:val="1008"/>
        </w:numPr>
        <w:pStyle w:val="Compact"/>
      </w:pPr>
      <w:r>
        <w:t xml:space="preserve">ZipRecruiter:</w:t>
      </w:r>
      <w:r>
        <w:t xml:space="preserve"> </w:t>
      </w:r>
      <w:hyperlink r:id="rId96">
        <w:hyperlink r:id="rId96">
          <w:r>
            <w:rPr>
              <w:rStyle w:val="Hyperlink"/>
            </w:rPr>
            <w:t xml:space="preserve">Source link</w:t>
          </w:r>
        </w:hyperlink>
      </w:hyperlink>
    </w:p>
    <w:p>
      <w:pPr>
        <w:numPr>
          <w:ilvl w:val="0"/>
          <w:numId w:val="1008"/>
        </w:numPr>
        <w:pStyle w:val="Compact"/>
      </w:pPr>
      <w:r>
        <w:t xml:space="preserve">Glassdoor:</w:t>
      </w:r>
      <w:r>
        <w:t xml:space="preserve"> </w:t>
      </w:r>
      <w:hyperlink r:id="rId97">
        <w:hyperlink r:id="rId97">
          <w:r>
            <w:rPr>
              <w:rStyle w:val="Hyperlink"/>
            </w:rPr>
            <w:t xml:space="preserve">Source link</w:t>
          </w:r>
        </w:hyperlink>
      </w:hyperlink>
    </w:p>
    <w:bookmarkEnd w:id="98"/>
    <w:bookmarkEnd w:id="99"/>
    <w:bookmarkStart w:id="100" w:name="aviso-importante"/>
    <w:p>
      <w:pPr>
        <w:pStyle w:val="Heading2"/>
      </w:pPr>
      <w:r>
        <w:t xml:space="preserve">Aviso importante</w:t>
      </w:r>
    </w:p>
    <w:p>
      <w:pPr>
        <w:pStyle w:val="FirstParagraph"/>
      </w:pPr>
      <w:r>
        <w:t xml:space="preserve">Este guia é educativo. Não garante emprego, renda, admissão, financiamento, vaga de aprendizagem, certificação, conformidade regulatória, segurança dos alimentos, competência laboratorial, conformidade de acessibilidade ou qualquer outro resultado.</w:t>
      </w:r>
    </w:p>
    <w:p>
      <w:pPr>
        <w:pStyle w:val="BodyText"/>
      </w:pPr>
      <w:r>
        <w:t xml:space="preserve">Os requisitos mudam conforme empregador, categoria de alimento, laboratório, jurisdição e data. Verifique decisões importantes com fontes oficiais atuais, procedimentos do empregador, métodos validados e profissionais autorizados.</w:t>
      </w:r>
    </w:p>
    <w:p>
      <w:pPr>
        <w:pStyle w:val="BodyText"/>
      </w:pPr>
      <w:r>
        <w:t xml:space="preserve">Não se afirma certificação humana independente, tradução certificada, revisão de acreditação, revisão legal ou regulatória, certificação de segurança de alimentos ou certificação de acessibilidade.</w:t>
      </w:r>
    </w:p>
    <w:bookmarkEnd w:id="100"/>
    <w:bookmarkStart w:id="101" w:name="autoria-e-assistência-de-ia"/>
    <w:p>
      <w:pPr>
        <w:pStyle w:val="Heading2"/>
      </w:pPr>
      <w:r>
        <w:t xml:space="preserve">Autoria e assistência de IA</w:t>
      </w:r>
    </w:p>
    <w:p>
      <w:pPr>
        <w:pStyle w:val="FirstParagraph"/>
      </w:pPr>
      <w:r>
        <w:t xml:space="preserve">Criado e dirigido por</w:t>
      </w:r>
      <w:r>
        <w:t xml:space="preserve"> </w:t>
      </w:r>
      <w:r>
        <w:rPr>
          <w:bCs/>
          <w:b/>
        </w:rPr>
        <w:t xml:space="preserve">Alberto “Al” Leiva</w:t>
      </w:r>
      <w:r>
        <w:t xml:space="preserve">. O ChatGPT apoiou pesquisa, organização, edição, suporte à tradução e preparação documental sob direção do autor. O autor mantém a responsabilidade pelas decisões editoriais e de publicação.</w:t>
      </w:r>
    </w:p>
    <w:bookmarkEnd w:id="101"/>
    <w:bookmarkStart w:id="102" w:name="licença"/>
    <w:p>
      <w:pPr>
        <w:pStyle w:val="Heading2"/>
      </w:pPr>
      <w:r>
        <w:t xml:space="preserve">Licença</w:t>
      </w:r>
    </w:p>
    <w:p>
      <w:pPr>
        <w:pStyle w:val="FirstParagraph"/>
      </w:pPr>
      <w:r>
        <w:t xml:space="preserve">Salvo indicação contrária em um arquivo, este material é licenciado sob</w:t>
      </w:r>
      <w:r>
        <w:t xml:space="preserve"> </w:t>
      </w:r>
      <w:r>
        <w:rPr>
          <w:bCs/>
          <w:b/>
        </w:rPr>
        <w:t xml:space="preserve">CC BY-NC-SA 4.0</w:t>
      </w:r>
      <w:r>
        <w:t xml:space="preserve">.</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betowa.sena.edu.co/oferta/control-de-calidad-en-la-industria-de-alimentos?programId=173734" TargetMode="External" /><Relationship Type="http://schemas.openxmlformats.org/officeDocument/2006/relationships/hyperlink" Id="rId55" Target="https://betowa.sena.edu.co/oferta/procesamiento-y-conservacion-de-alimentos?programId=210256" TargetMode="External" /><Relationship Type="http://schemas.openxmlformats.org/officeDocument/2006/relationships/hyperlink" Id="rId57" Target="https://betowa.sena.edu.co/oferta/proteccion-y-conservacion-de-alimentos?programId=70917" TargetMode="External" /><Relationship Type="http://schemas.openxmlformats.org/officeDocument/2006/relationships/hyperlink" Id="rId93" Target="https://ocupacol.mintrabajo.gov.co/Profile/OccupationalProfile/31160" TargetMode="External" /><Relationship Type="http://schemas.openxmlformats.org/officeDocument/2006/relationships/hyperlink" Id="rId94" Target="https://ocupacol.mintrabajo.gov.co/Profile/OccupationalProfile/32573" TargetMode="External" /><Relationship Type="http://schemas.openxmlformats.org/officeDocument/2006/relationships/hyperlink" Id="rId81" Target="https://www.apprenticeship.gov/" TargetMode="External" /><Relationship Type="http://schemas.openxmlformats.org/officeDocument/2006/relationships/hyperlink" Id="rId80" Target="https://www.bls.gov/news.release/ocwage.t01.htm" TargetMode="External" /><Relationship Type="http://schemas.openxmlformats.org/officeDocument/2006/relationships/hyperlink" Id="rId79" Target="https://www.bls.gov/ooh/life-physical-and-social-science/agricultural-and-food-science-technicians.htm" TargetMode="External" /><Relationship Type="http://schemas.openxmlformats.org/officeDocument/2006/relationships/hyperlink" Id="rId50" Target="https://www.canada.ca/en/services/jobs/training.html"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85" Target="https://www.cisa.gov/secure-our-world" TargetMode="External" /><Relationship Type="http://schemas.openxmlformats.org/officeDocument/2006/relationships/hyperlink" Id="rId82" Target="https://www.ecfr.gov/current/title-21/chapter-I/subchapter-B/part-117/subpart-B" TargetMode="External" /><Relationship Type="http://schemas.openxmlformats.org/officeDocument/2006/relationships/hyperlink" Id="rId83" Target="https://www.ecfr.gov/current/title-21/chapter-I/subchapter-B/part-117/subpart-C" TargetMode="External" /><Relationship Type="http://schemas.openxmlformats.org/officeDocument/2006/relationships/hyperlink" Id="rId97" Target="https://www.glassdoor.com/Salaries/food-science-technician-salary-SRCH_KO0,23.htm" TargetMode="External" /><Relationship Type="http://schemas.openxmlformats.org/officeDocument/2006/relationships/hyperlink" Id="rId84" Target="https://www.govinfo.gov/content/pkg/PLAW-111publ353/pdf/PLAW-111publ353.pdf" TargetMode="External" /><Relationship Type="http://schemas.openxmlformats.org/officeDocument/2006/relationships/hyperlink" Id="rId91" Target="https://www.jobbank.gc.ca/marketreport/outlook-occupation/2942/ca" TargetMode="External" /><Relationship Type="http://schemas.openxmlformats.org/officeDocument/2006/relationships/hyperlink" Id="rId90" Target="https://www.jobbank.gc.ca/marketreport/requirements/2942/ca" TargetMode="External" /><Relationship Type="http://schemas.openxmlformats.org/officeDocument/2006/relationships/hyperlink" Id="rId88" Target="https://www.jobbank.gc.ca/marketreport/summary-occupation/2942/ca" TargetMode="External" /><Relationship Type="http://schemas.openxmlformats.org/officeDocument/2006/relationships/hyperlink" Id="rId89" Target="https://www.jobbank.gc.ca/marketreport/wages-occupation/2942/ca" TargetMode="External" /><Relationship Type="http://schemas.openxmlformats.org/officeDocument/2006/relationships/hyperlink" Id="rId86" Target="https://www.nist.gov/itl/ai-risk-management-framework" TargetMode="External" /><Relationship Type="http://schemas.openxmlformats.org/officeDocument/2006/relationships/hyperlink" Id="rId60" Target="https://www.oitcinterfor.org/" TargetMode="External" /><Relationship Type="http://schemas.openxmlformats.org/officeDocument/2006/relationships/hyperlink" Id="rId61" Target="https://www.oitcinterfor.org/statsfp/paises" TargetMode="External" /><Relationship Type="http://schemas.openxmlformats.org/officeDocument/2006/relationships/hyperlink" Id="rId78" Target="https://www.onetonline.org/link/details/19-4013.00" TargetMode="External" /><Relationship Type="http://schemas.openxmlformats.org/officeDocument/2006/relationships/hyperlink" Id="rId96" Target="https://www.ziprecruiter.com/Salaries/Food-Science-Technician-Salary" TargetMode="External" /></Relationships>
</file>

<file path=word/_rels/footnotes.xml.rels><?xml version="1.0" encoding="UTF-8"?><Relationships xmlns="http://schemas.openxmlformats.org/package/2006/relationships"><Relationship Type="http://schemas.openxmlformats.org/officeDocument/2006/relationships/hyperlink" Id="rId53" Target="https://betowa.sena.edu.co/oferta/control-de-calidad-en-la-industria-de-alimentos?programId=173734" TargetMode="External" /><Relationship Type="http://schemas.openxmlformats.org/officeDocument/2006/relationships/hyperlink" Id="rId55" Target="https://betowa.sena.edu.co/oferta/procesamiento-y-conservacion-de-alimentos?programId=210256" TargetMode="External" /><Relationship Type="http://schemas.openxmlformats.org/officeDocument/2006/relationships/hyperlink" Id="rId57" Target="https://betowa.sena.edu.co/oferta/proteccion-y-conservacion-de-alimentos?programId=70917" TargetMode="External" /><Relationship Type="http://schemas.openxmlformats.org/officeDocument/2006/relationships/hyperlink" Id="rId93" Target="https://ocupacol.mintrabajo.gov.co/Profile/OccupationalProfile/31160" TargetMode="External" /><Relationship Type="http://schemas.openxmlformats.org/officeDocument/2006/relationships/hyperlink" Id="rId94" Target="https://ocupacol.mintrabajo.gov.co/Profile/OccupationalProfile/32573" TargetMode="External" /><Relationship Type="http://schemas.openxmlformats.org/officeDocument/2006/relationships/hyperlink" Id="rId81" Target="https://www.apprenticeship.gov/" TargetMode="External" /><Relationship Type="http://schemas.openxmlformats.org/officeDocument/2006/relationships/hyperlink" Id="rId80" Target="https://www.bls.gov/news.release/ocwage.t01.htm" TargetMode="External" /><Relationship Type="http://schemas.openxmlformats.org/officeDocument/2006/relationships/hyperlink" Id="rId79" Target="https://www.bls.gov/ooh/life-physical-and-social-science/agricultural-and-food-science-technicians.htm" TargetMode="External" /><Relationship Type="http://schemas.openxmlformats.org/officeDocument/2006/relationships/hyperlink" Id="rId50" Target="https://www.canada.ca/en/services/jobs/training.html"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85" Target="https://www.cisa.gov/secure-our-world" TargetMode="External" /><Relationship Type="http://schemas.openxmlformats.org/officeDocument/2006/relationships/hyperlink" Id="rId82" Target="https://www.ecfr.gov/current/title-21/chapter-I/subchapter-B/part-117/subpart-B" TargetMode="External" /><Relationship Type="http://schemas.openxmlformats.org/officeDocument/2006/relationships/hyperlink" Id="rId83" Target="https://www.ecfr.gov/current/title-21/chapter-I/subchapter-B/part-117/subpart-C" TargetMode="External" /><Relationship Type="http://schemas.openxmlformats.org/officeDocument/2006/relationships/hyperlink" Id="rId97" Target="https://www.glassdoor.com/Salaries/food-science-technician-salary-SRCH_KO0,23.htm" TargetMode="External" /><Relationship Type="http://schemas.openxmlformats.org/officeDocument/2006/relationships/hyperlink" Id="rId84" Target="https://www.govinfo.gov/content/pkg/PLAW-111publ353/pdf/PLAW-111publ353.pdf" TargetMode="External" /><Relationship Type="http://schemas.openxmlformats.org/officeDocument/2006/relationships/hyperlink" Id="rId91" Target="https://www.jobbank.gc.ca/marketreport/outlook-occupation/2942/ca" TargetMode="External" /><Relationship Type="http://schemas.openxmlformats.org/officeDocument/2006/relationships/hyperlink" Id="rId90" Target="https://www.jobbank.gc.ca/marketreport/requirements/2942/ca" TargetMode="External" /><Relationship Type="http://schemas.openxmlformats.org/officeDocument/2006/relationships/hyperlink" Id="rId88" Target="https://www.jobbank.gc.ca/marketreport/summary-occupation/2942/ca" TargetMode="External" /><Relationship Type="http://schemas.openxmlformats.org/officeDocument/2006/relationships/hyperlink" Id="rId89" Target="https://www.jobbank.gc.ca/marketreport/wages-occupation/2942/ca" TargetMode="External" /><Relationship Type="http://schemas.openxmlformats.org/officeDocument/2006/relationships/hyperlink" Id="rId86" Target="https://www.nist.gov/itl/ai-risk-management-framework" TargetMode="External" /><Relationship Type="http://schemas.openxmlformats.org/officeDocument/2006/relationships/hyperlink" Id="rId60" Target="https://www.oitcinterfor.org/" TargetMode="External" /><Relationship Type="http://schemas.openxmlformats.org/officeDocument/2006/relationships/hyperlink" Id="rId61" Target="https://www.oitcinterfor.org/statsfp/paises" TargetMode="External" /><Relationship Type="http://schemas.openxmlformats.org/officeDocument/2006/relationships/hyperlink" Id="rId78" Target="https://www.onetonline.org/link/details/19-4013.00" TargetMode="External" /><Relationship Type="http://schemas.openxmlformats.org/officeDocument/2006/relationships/hyperlink" Id="rId96" Target="https://www.ziprecruiter.com/Salaries/Food-Science-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2026-08-23T01:22:25Z</dcterms:created>
  <dcterms:modified xsi:type="dcterms:W3CDTF">2026-08-23T01:22:25Z</dcterms:modified>
</cp:coreProperties>
</file>

<file path=docProps/custom.xml><?xml version="1.0" encoding="utf-8"?>
<Properties xmlns="http://schemas.openxmlformats.org/officeDocument/2006/custom-properties" xmlns:vt="http://schemas.openxmlformats.org/officeDocument/2006/docPropsVTypes"/>
</file>