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X17234968f45e8285f201ed13834f9e5382251d3"/>
    <w:p>
      <w:pPr>
        <w:pStyle w:val="Heading1"/>
      </w:pPr>
      <w:r>
        <w:t xml:space="preserve">Guía de Oportunidades de por Vida 99 — Técnico/a en Ciencia de Alimentos</w:t>
      </w:r>
    </w:p>
    <w:p>
      <w:pPr>
        <w:pStyle w:val="FirstParagraph"/>
      </w:pPr>
      <w:r>
        <w:rPr>
          <w:bCs/>
          <w:b/>
        </w:rPr>
        <w:t xml:space="preserve">Versión:</w:t>
      </w:r>
      <w:r>
        <w:t xml:space="preserve"> </w:t>
      </w:r>
      <w:r>
        <w:t xml:space="preserve">2.0, maestro controlado</w:t>
      </w:r>
      <w:r>
        <w:br/>
      </w:r>
      <w:r>
        <w:rPr>
          <w:bCs/>
          <w:b/>
        </w:rPr>
        <w:t xml:space="preserve">Idioma:</w:t>
      </w:r>
      <w:r>
        <w:t xml:space="preserve"> </w:t>
      </w:r>
      <w:r>
        <w:t xml:space="preserve">Español latinoamericano neutral (</w:t>
      </w:r>
      <w:r>
        <w:rPr>
          <w:rStyle w:val="VerbatimChar"/>
        </w:rPr>
        <w:t xml:space="preserve">es-419</w:t>
      </w:r>
      <w:r>
        <w:t xml:space="preserve">)</w:t>
      </w:r>
      <w:r>
        <w:br/>
      </w:r>
      <w:r>
        <w:rPr>
          <w:bCs/>
          <w:b/>
        </w:rPr>
        <w:t xml:space="preserve">Referencia ocupacional de EE. UU.:</w:t>
      </w:r>
      <w:r>
        <w:t xml:space="preserve"> </w:t>
      </w:r>
      <w:r>
        <w:t xml:space="preserve">O*NET-SOC 19-4013.00 — Food Science Technicians</w:t>
      </w:r>
      <w:r>
        <w:br/>
      </w:r>
      <w:r>
        <w:rPr>
          <w:bCs/>
          <w:b/>
        </w:rPr>
        <w:t xml:space="preserve">Comparación de Canadá:</w:t>
      </w:r>
      <w:r>
        <w:t xml:space="preserve"> </w:t>
      </w:r>
      <w:r>
        <w:t xml:space="preserve">NOC 22100 — Chemical technologists and technicians (título de mercado: Food technologist)</w:t>
      </w:r>
      <w:r>
        <w:br/>
      </w:r>
      <w:r>
        <w:rPr>
          <w:bCs/>
          <w:b/>
        </w:rPr>
        <w:t xml:space="preserve">Comparaciones de Colombia:</w:t>
      </w:r>
      <w:r>
        <w:t xml:space="preserve"> </w:t>
      </w:r>
      <w:r>
        <w:t xml:space="preserve">CUOC 31160 — Técnicos en química industrial; CUOC 32573 incluye Técnico de control calidad de procesamiento de alimentos</w:t>
      </w:r>
      <w:r>
        <w:br/>
      </w:r>
      <w:r>
        <w:rPr>
          <w:bCs/>
          <w:b/>
        </w:rPr>
        <w:t xml:space="preserve">Fecha de revisión:</w:t>
      </w:r>
      <w:r>
        <w:t xml:space="preserve"> </w:t>
      </w:r>
      <w:r>
        <w:t xml:space="preserve">2026-08-22</w:t>
      </w:r>
    </w:p>
    <w:bookmarkStart w:id="20" w:name="qué-es-esta-carrera"/>
    <w:p>
      <w:pPr>
        <w:pStyle w:val="Heading2"/>
      </w:pPr>
      <w:r>
        <w:t xml:space="preserve">Qué es esta carrera</w:t>
      </w:r>
    </w:p>
    <w:p>
      <w:pPr>
        <w:pStyle w:val="FirstParagraph"/>
      </w:pPr>
      <w:r>
        <w:t xml:space="preserve">Los técnicos en ciencia de alimentos apoyan pruebas, control de calidad, desarrollo, producción e inocuidad para que las empresas produzcan alimentos consistentes y detecten problemas antes de que se conviertan en riesgos mayores.</w:t>
      </w:r>
    </w:p>
    <w:p>
      <w:pPr>
        <w:pStyle w:val="BodyText"/>
      </w:pPr>
      <w:r>
        <w:t xml:space="preserve">Según el empleador, el trabajo puede realizarse en laboratorios de alimentos, áreas de control de calidad, plantas piloto, instalaciones de procesamiento, líneas de producción, equipos de investigación y desarrollo, empresas de ingredientes, plantas de bebidas, lácteos, panadería, carnes, pescados y mariscos, frutas y hortalizas, universidades, laboratorios gubernamentales o laboratorios por contrato.</w:t>
      </w:r>
    </w:p>
    <w:p>
      <w:pPr>
        <w:pStyle w:val="BodyText"/>
      </w:pPr>
      <w:r>
        <w:t xml:space="preserve">Los títulos varían: técnico de ciencia de alimentos, técnico de laboratorio de alimentos, técnico de calidad, técnico de control de calidad, auxiliar de laboratorio, técnico de aseguramiento de calidad, técnico de I+D, técnico sensorial, técnico de microbiología, técnico de muestras, técnico de calidad de proceso o tecnólogo de alimentos. Los títulos no están estandarizados; siempre revise la descripción real del puesto.</w:t>
      </w:r>
    </w:p>
    <w:p>
      <w:pPr>
        <w:pStyle w:val="BodyText"/>
      </w:pPr>
      <w:r>
        <w:t xml:space="preserve">Esta guía usa</w:t>
      </w:r>
      <w:r>
        <w:t xml:space="preserve"> </w:t>
      </w:r>
      <w:r>
        <w:rPr>
          <w:bCs/>
          <w:b/>
        </w:rPr>
        <w:t xml:space="preserve">O*NET-SOC 19-4013.00 — Food Science Technicians</w:t>
      </w:r>
      <w:r>
        <w:t xml:space="preserve"> </w:t>
      </w:r>
      <w:r>
        <w:t xml:space="preserve">como referencia principal de EE. UU. Las ocupaciones comparables de Canadá y Colombia son más amplias y no deben tratarse como equivalencias exactas uno a uno.</w:t>
      </w:r>
    </w:p>
    <w:bookmarkEnd w:id="20"/>
    <w:bookmarkStart w:id="21" w:name="por-qué-puede-ser-una-oportunidad"/>
    <w:p>
      <w:pPr>
        <w:pStyle w:val="Heading2"/>
      </w:pPr>
      <w:r>
        <w:t xml:space="preserve">Por qué puede ser una oportunidad</w:t>
      </w:r>
    </w:p>
    <w:p>
      <w:pPr>
        <w:pStyle w:val="FirstParagraph"/>
      </w:pPr>
      <w:r>
        <w:t xml:space="preserve">Este campo combina ciencia práctica con disciplina operativa. Puede ser adecuado para personas que disfrutan seguir métodos paso a paso, medir y registrar con precisión, detectar resultados inusuales, trabajar con muestras e instrumentos, apoyar la mejora de calidad y comprender cómo ingredientes y procesos afectan el producto.</w:t>
      </w:r>
    </w:p>
    <w:p>
      <w:pPr>
        <w:pStyle w:val="BodyText"/>
      </w:pPr>
      <w:r>
        <w:t xml:space="preserve">También puede ser exigente: puede implicar ropa protectora, pruebas repetitivas, olores de limpieza, áreas frías o calientes, turnos, reglas estrictas de saneamiento, peligros químicos o biológicos, equipos en movimiento y presión de producción. Una experiencia supervisada, curso corto o función inicial de calidad puede ayudar a evaluar el ajuste antes de invertir en formación costosa.</w:t>
      </w:r>
    </w:p>
    <w:bookmarkEnd w:id="21"/>
    <w:bookmarkStart w:id="22" w:name="X1b7b1678e9f031cb76b475299831e2a90bc926f"/>
    <w:p>
      <w:pPr>
        <w:pStyle w:val="Heading2"/>
      </w:pPr>
      <w:r>
        <w:t xml:space="preserve">Diferencias entre técnico, tecnólogo, científico y responsable de calidad</w:t>
      </w:r>
    </w:p>
    <w:p>
      <w:pPr>
        <w:pStyle w:val="FirstParagraph"/>
      </w:pPr>
      <w:r>
        <w:t xml:space="preserve">Un técnico puede recibir y etiquetar muestras, preparar materiales, medir pH, humedad, temperatura, peso, viscosidad, color, concentración o textura, preparar reactivos bajo procedimiento, operar instrumentos aprobados después de capacitación, registrar resultados, comparar datos con especificaciones, mantener registros de equipos, apoyar trazabilidad, preparar muestras retenidas y reportar desviaciones.</w:t>
      </w:r>
    </w:p>
    <w:p>
      <w:pPr>
        <w:pStyle w:val="BodyText"/>
      </w:pPr>
      <w:r>
        <w:t xml:space="preserve">Un tecnólogo o especialista con experiencia puede coordinar pruebas más complejas, solucionar problemas dentro de su autoridad, capacitar personal en procedimientos aprobados, revisar tendencias, apoyar validación, auditorías internas e iniciativas de mejora.</w:t>
      </w:r>
    </w:p>
    <w:p>
      <w:pPr>
        <w:pStyle w:val="BodyText"/>
      </w:pPr>
      <w:r>
        <w:t xml:space="preserve">Un científico de alimentos, responsable autorizado de calidad, profesional de controles preventivos, signatario de laboratorio, ingeniero o especialista regulatorio puede tener autoridad para aprobar métodos, interpretar requisitos regulatorios complejos, aprobar planes de inocuidad, liberar o rechazar producto, decidir disposición final, firmar informes regulados o comunicar conclusiones oficiales.</w:t>
      </w:r>
    </w:p>
    <w:p>
      <w:pPr>
        <w:pStyle w:val="BodyText"/>
      </w:pPr>
      <w:r>
        <w:t xml:space="preserve">Un técnico debe comprender el proceso sin atribuirse autoridad que pertenece a otro rol.</w:t>
      </w:r>
    </w:p>
    <w:bookmarkEnd w:id="22"/>
    <w:bookmarkStart w:id="23" w:name="responsabilidades-típicas"/>
    <w:p>
      <w:pPr>
        <w:pStyle w:val="Heading2"/>
      </w:pPr>
      <w:r>
        <w:t xml:space="preserve">Responsabilidades típicas</w:t>
      </w:r>
    </w:p>
    <w:p>
      <w:pPr>
        <w:pStyle w:val="FirstParagraph"/>
      </w:pPr>
      <w:r>
        <w:t xml:space="preserve">Pueden incluir:</w:t>
      </w:r>
    </w:p>
    <w:p>
      <w:pPr>
        <w:numPr>
          <w:ilvl w:val="0"/>
          <w:numId w:val="1001"/>
        </w:numPr>
        <w:pStyle w:val="Compact"/>
      </w:pPr>
      <w:r>
        <w:t xml:space="preserve">tomar muestras según un plan aprobado;</w:t>
      </w:r>
    </w:p>
    <w:p>
      <w:pPr>
        <w:numPr>
          <w:ilvl w:val="0"/>
          <w:numId w:val="1001"/>
        </w:numPr>
        <w:pStyle w:val="Compact"/>
      </w:pPr>
      <w:r>
        <w:t xml:space="preserve">confirmar identidad, lote, fecha, hora, ubicación y cadena de custodia;</w:t>
      </w:r>
    </w:p>
    <w:p>
      <w:pPr>
        <w:numPr>
          <w:ilvl w:val="0"/>
          <w:numId w:val="1001"/>
        </w:numPr>
        <w:pStyle w:val="Compact"/>
      </w:pPr>
      <w:r>
        <w:t xml:space="preserve">preparar muestras para análisis físicos, químicos, microbiológicos o sensoriales;</w:t>
      </w:r>
    </w:p>
    <w:p>
      <w:pPr>
        <w:numPr>
          <w:ilvl w:val="0"/>
          <w:numId w:val="1001"/>
        </w:numPr>
        <w:pStyle w:val="Compact"/>
      </w:pPr>
      <w:r>
        <w:t xml:space="preserve">seguir procedimientos operativos estándar (SOP);</w:t>
      </w:r>
    </w:p>
    <w:p>
      <w:pPr>
        <w:numPr>
          <w:ilvl w:val="0"/>
          <w:numId w:val="1001"/>
        </w:numPr>
        <w:pStyle w:val="Compact"/>
      </w:pPr>
      <w:r>
        <w:t xml:space="preserve">medir ingredientes y materiales con precisión;</w:t>
      </w:r>
    </w:p>
    <w:p>
      <w:pPr>
        <w:numPr>
          <w:ilvl w:val="0"/>
          <w:numId w:val="1001"/>
        </w:numPr>
        <w:pStyle w:val="Compact"/>
      </w:pPr>
      <w:r>
        <w:t xml:space="preserve">calibrar o verificar instrumentos cuando corresponda;</w:t>
      </w:r>
    </w:p>
    <w:p>
      <w:pPr>
        <w:numPr>
          <w:ilvl w:val="0"/>
          <w:numId w:val="1001"/>
        </w:numPr>
        <w:pStyle w:val="Compact"/>
      </w:pPr>
      <w:r>
        <w:t xml:space="preserve">realizar pruebas rutinarias de laboratorio o de proceso;</w:t>
      </w:r>
    </w:p>
    <w:p>
      <w:pPr>
        <w:numPr>
          <w:ilvl w:val="0"/>
          <w:numId w:val="1001"/>
        </w:numPr>
        <w:pStyle w:val="Compact"/>
      </w:pPr>
      <w:r>
        <w:t xml:space="preserve">comprobar empaques, etiquetas, sellos, pesos, temperaturas y atributos de calidad;</w:t>
      </w:r>
    </w:p>
    <w:p>
      <w:pPr>
        <w:numPr>
          <w:ilvl w:val="0"/>
          <w:numId w:val="1001"/>
        </w:numPr>
        <w:pStyle w:val="Compact"/>
      </w:pPr>
      <w:r>
        <w:t xml:space="preserve">apoyar controles de alérgenos, saneamiento y trazabilidad;</w:t>
      </w:r>
    </w:p>
    <w:p>
      <w:pPr>
        <w:numPr>
          <w:ilvl w:val="0"/>
          <w:numId w:val="1001"/>
        </w:numPr>
        <w:pStyle w:val="Compact"/>
      </w:pPr>
      <w:r>
        <w:t xml:space="preserve">documentar observaciones de inmediato;</w:t>
      </w:r>
    </w:p>
    <w:p>
      <w:pPr>
        <w:numPr>
          <w:ilvl w:val="0"/>
          <w:numId w:val="1001"/>
        </w:numPr>
        <w:pStyle w:val="Compact"/>
      </w:pPr>
      <w:r>
        <w:t xml:space="preserve">reportar resultados fuera de especificación;</w:t>
      </w:r>
    </w:p>
    <w:p>
      <w:pPr>
        <w:numPr>
          <w:ilvl w:val="0"/>
          <w:numId w:val="1001"/>
        </w:numPr>
        <w:pStyle w:val="Compact"/>
      </w:pPr>
      <w:r>
        <w:t xml:space="preserve">mantener cuadernos, hojas de trabajo y registros electrónicos;</w:t>
      </w:r>
    </w:p>
    <w:p>
      <w:pPr>
        <w:numPr>
          <w:ilvl w:val="0"/>
          <w:numId w:val="1001"/>
        </w:numPr>
        <w:pStyle w:val="Compact"/>
      </w:pPr>
      <w:r>
        <w:t xml:space="preserve">apoyar lotes piloto, estudios de vida útil, paneles sensoriales y simulacros de retiro;</w:t>
      </w:r>
    </w:p>
    <w:p>
      <w:pPr>
        <w:numPr>
          <w:ilvl w:val="0"/>
          <w:numId w:val="1001"/>
        </w:numPr>
        <w:pStyle w:val="Compact"/>
      </w:pPr>
      <w:r>
        <w:t xml:space="preserve">mantener inventario de suministros;</w:t>
      </w:r>
    </w:p>
    <w:p>
      <w:pPr>
        <w:numPr>
          <w:ilvl w:val="0"/>
          <w:numId w:val="1001"/>
        </w:numPr>
        <w:pStyle w:val="Compact"/>
      </w:pPr>
      <w:r>
        <w:t xml:space="preserve">seguir procedimientos de PPE, químicos, residuos, higiene y seguridad;</w:t>
      </w:r>
    </w:p>
    <w:p>
      <w:pPr>
        <w:numPr>
          <w:ilvl w:val="0"/>
          <w:numId w:val="1001"/>
        </w:numPr>
        <w:pStyle w:val="Compact"/>
      </w:pPr>
      <w:r>
        <w:t xml:space="preserve">aportar hechos y registros a investigaciones de acciones correctivas.</w:t>
      </w:r>
    </w:p>
    <w:bookmarkEnd w:id="23"/>
    <w:bookmarkStart w:id="24" w:name="lo-que-no-debe-hacer-sin-autoridad"/>
    <w:p>
      <w:pPr>
        <w:pStyle w:val="Heading2"/>
      </w:pPr>
      <w:r>
        <w:t xml:space="preserve">Lo que no debe hacer sin autoridad</w:t>
      </w:r>
    </w:p>
    <w:p>
      <w:pPr>
        <w:pStyle w:val="FirstParagraph"/>
      </w:pPr>
      <w:r>
        <w:t xml:space="preserve">No asuma que el título de técnico le permite liberar producto, cambiar especificaciones, alterar métodos, repetir pruebas hasta obtener un resultado deseado, borrar o fabricar datos, firmar por otra persona, certificar cumplimiento legal, diagnosticar enfermedades transmitidas por alimentos, aprobar proveedores o etiquetas, decidir retiros, mezclar químicos por intuición, desactivar resguardos o PPE, probar muestras desconocidas, cargar información confidencial en herramientas de IA no aprobadas, copiar resultados de otros lotes ni ocultar desviaciones.</w:t>
      </w:r>
    </w:p>
    <w:p>
      <w:pPr>
        <w:pStyle w:val="BodyText"/>
      </w:pPr>
      <w:r>
        <w:t xml:space="preserve">Si existe duda, detenga la actividad cuando sea seguro hacerlo, preserve la evidencia y escale al responsable autorizado.</w:t>
      </w:r>
    </w:p>
    <w:bookmarkEnd w:id="24"/>
    <w:bookmarkStart w:id="31" w:name="flujo-básico-de-laboratorio-y-calidad"/>
    <w:p>
      <w:pPr>
        <w:pStyle w:val="Heading2"/>
      </w:pPr>
      <w:r>
        <w:t xml:space="preserve">Flujo básico de laboratorio y calidad</w:t>
      </w:r>
    </w:p>
    <w:bookmarkStart w:id="25" w:name="Xa5b8d5657339ce6c04f50fd77dc66439eed7885"/>
    <w:p>
      <w:pPr>
        <w:pStyle w:val="Heading3"/>
      </w:pPr>
      <w:r>
        <w:t xml:space="preserve">1. Confirmar la asignación</w:t>
      </w:r>
    </w:p>
    <w:p>
      <w:pPr>
        <w:pStyle w:val="FirstParagraph"/>
      </w:pPr>
      <w:r>
        <w:t xml:space="preserve">Verifique muestra, método/SOP, PPE, equipo, criterios de aceptación, responsable de la decisión, forma de registrar resultados y procedimiento ante anomalías.</w:t>
      </w:r>
    </w:p>
    <w:bookmarkEnd w:id="25"/>
    <w:bookmarkStart w:id="26" w:name="X1047b184a824351c8a3d107d2098a6d9f9632d7"/>
    <w:p>
      <w:pPr>
        <w:pStyle w:val="Heading3"/>
      </w:pPr>
      <w:r>
        <w:t xml:space="preserve">2. Proteger la identidad de la muestra</w:t>
      </w:r>
    </w:p>
    <w:p>
      <w:pPr>
        <w:pStyle w:val="FirstParagraph"/>
      </w:pPr>
      <w:r>
        <w:t xml:space="preserve">Revise etiquetas, lotes, hora de recolección, condición, recipiente, almacenamiento y cadena de custodia. Una prueba técnicamente correcta aplicada a la muestra equivocada sigue siendo un resultado inválido.</w:t>
      </w:r>
    </w:p>
    <w:bookmarkEnd w:id="26"/>
    <w:bookmarkStart w:id="27" w:name="Xdd901d3b7c64042afada1089db9eac061c87df8"/>
    <w:p>
      <w:pPr>
        <w:pStyle w:val="Heading3"/>
      </w:pPr>
      <w:r>
        <w:t xml:space="preserve">3. Verificar el estado del equipo</w:t>
      </w:r>
    </w:p>
    <w:p>
      <w:pPr>
        <w:pStyle w:val="FirstParagraph"/>
      </w:pPr>
      <w:r>
        <w:t xml:space="preserve">Confirme que el instrumento esté aprobado, limpio, dentro de calibración o verificación y sea adecuado para el método.</w:t>
      </w:r>
    </w:p>
    <w:bookmarkEnd w:id="27"/>
    <w:bookmarkStart w:id="28" w:name="X67d6107f77b8c8873bbf0bec80aeaa3dec6a668"/>
    <w:p>
      <w:pPr>
        <w:pStyle w:val="Heading3"/>
      </w:pPr>
      <w:r>
        <w:t xml:space="preserve">4. Ejecutar exactamente el método</w:t>
      </w:r>
    </w:p>
    <w:p>
      <w:pPr>
        <w:pStyle w:val="FirstParagraph"/>
      </w:pPr>
      <w:r>
        <w:t xml:space="preserve">Siga la secuencia aprobada y registre las mediciones reales. No cambie redondeos, unidades ni valores salvo que el método lo indique.</w:t>
      </w:r>
    </w:p>
    <w:bookmarkEnd w:id="28"/>
    <w:bookmarkStart w:id="29" w:name="Xf7a4e2553941c196b2bc155e6b2342ea4f875c8"/>
    <w:p>
      <w:pPr>
        <w:pStyle w:val="Heading3"/>
      </w:pPr>
      <w:r>
        <w:t xml:space="preserve">5. Revisar errores obvios</w:t>
      </w:r>
    </w:p>
    <w:p>
      <w:pPr>
        <w:pStyle w:val="FirstParagraph"/>
      </w:pPr>
      <w:r>
        <w:t xml:space="preserve">Compruebe identidad, unidades, decimales, cálculos, transcripción, mensajes del instrumento, controles, estándares y campos requeridos.</w:t>
      </w:r>
    </w:p>
    <w:bookmarkEnd w:id="29"/>
    <w:bookmarkStart w:id="30" w:name="X50b76755f7a8dbf266d2c8763b8dc6c2bd568f5"/>
    <w:p>
      <w:pPr>
        <w:pStyle w:val="Heading3"/>
      </w:pPr>
      <w:r>
        <w:t xml:space="preserve">6. Escalar desviaciones</w:t>
      </w:r>
    </w:p>
    <w:p>
      <w:pPr>
        <w:pStyle w:val="FirstParagraph"/>
      </w:pPr>
      <w:r>
        <w:t xml:space="preserve">Si hay resultados fuera de especificación, controles fallidos, muestras dañadas, excursiones de temperatura, sospecha de contaminación o dudas de integridad de datos, preserve el registro y use el proceso formal del empleador.</w:t>
      </w:r>
    </w:p>
    <w:bookmarkEnd w:id="30"/>
    <w:bookmarkEnd w:id="31"/>
    <w:bookmarkStart w:id="32" w:name="inocuidad-y-saneamiento"/>
    <w:p>
      <w:pPr>
        <w:pStyle w:val="Heading2"/>
      </w:pPr>
      <w:r>
        <w:t xml:space="preserve">Inocuidad y saneamiento</w:t>
      </w:r>
    </w:p>
    <w:p>
      <w:pPr>
        <w:pStyle w:val="FirstParagraph"/>
      </w:pPr>
      <w:r>
        <w:t xml:space="preserve">En EE. UU., el marco de</w:t>
      </w:r>
      <w:r>
        <w:t xml:space="preserve"> </w:t>
      </w:r>
      <w:r>
        <w:rPr>
          <w:bCs/>
          <w:b/>
        </w:rPr>
        <w:t xml:space="preserve">21 CFR Part 117</w:t>
      </w:r>
      <w:r>
        <w:t xml:space="preserve"> </w:t>
      </w:r>
      <w:r>
        <w:t xml:space="preserve">cubre buenas prácticas actuales de manufactura y, para instalaciones aplicables, análisis de peligros y controles preventivos basados en riesgo para alimentos de consumo humano.</w:t>
      </w:r>
    </w:p>
    <w:p>
      <w:pPr>
        <w:pStyle w:val="BodyText"/>
      </w:pPr>
      <w:r>
        <w:t xml:space="preserve">Controles prácticos incluyen higiene de manos, ropa protectora, separación de materiales, control de alérgenos, saneamiento, control de temperatura, concentración correcta de químicos, prevención de material extraño, manejo controlado de muestras, monitoreo ambiental cuando corresponda y documentación de acciones correctivas.</w:t>
      </w:r>
    </w:p>
    <w:p>
      <w:pPr>
        <w:pStyle w:val="BodyText"/>
      </w:pPr>
      <w:r>
        <w:t xml:space="preserve">La inocuidad alimentaria es un sistema de responsabilidades, controles documentados, verificación y escalamiento.</w:t>
      </w:r>
    </w:p>
    <w:bookmarkEnd w:id="32"/>
    <w:bookmarkStart w:id="33" w:name="X901bf23e5e900f9f4ea629615cba7f2df7b3af2"/>
    <w:p>
      <w:pPr>
        <w:pStyle w:val="Heading2"/>
      </w:pPr>
      <w:r>
        <w:t xml:space="preserve">Alérgenos, microbiología y peligros biológicos</w:t>
      </w:r>
    </w:p>
    <w:p>
      <w:pPr>
        <w:pStyle w:val="FirstParagraph"/>
      </w:pPr>
      <w:r>
        <w:t xml:space="preserve">Siga los programas aprobados para verificación de alérgenos, cambios de línea, hisopados y controles de ingredientes. No asuma que una superficie visualmente limpia está libre de alérgenos ni ignore un resultado positivo o dudoso.</w:t>
      </w:r>
    </w:p>
    <w:p>
      <w:pPr>
        <w:pStyle w:val="BodyText"/>
      </w:pPr>
      <w:r>
        <w:t xml:space="preserve">En laboratorios microbiológicos, realice solo tareas para las que haya recibido capacitación y autorización. Mantenga separados materiales limpios y contaminados, desinfecte según procedimientos validados, reporte derrames o exposiciones y no manipule cultivos fuera del método aprobado.</w:t>
      </w:r>
    </w:p>
    <w:bookmarkEnd w:id="33"/>
    <w:bookmarkStart w:id="34" w:name="químicos-y-reactivos"/>
    <w:p>
      <w:pPr>
        <w:pStyle w:val="Heading2"/>
      </w:pPr>
      <w:r>
        <w:t xml:space="preserve">Químicos y reactivos</w:t>
      </w:r>
    </w:p>
    <w:p>
      <w:pPr>
        <w:pStyle w:val="FirstParagraph"/>
      </w:pPr>
      <w:r>
        <w:t xml:space="preserve">Antes de usar un químico confirme identidad, concentración, etiqueta, información de seguridad, PPE, ventilación, compatibilidad, almacenamiento, rotulado y disposición de residuos. Nunca mezcle sustancias por prueba y error.</w:t>
      </w:r>
    </w:p>
    <w:bookmarkEnd w:id="34"/>
    <w:bookmarkStart w:id="35" w:name="seguridad-en-producción-y-equipos"/>
    <w:p>
      <w:pPr>
        <w:pStyle w:val="Heading2"/>
      </w:pPr>
      <w:r>
        <w:t xml:space="preserve">Seguridad en producción y equipos</w:t>
      </w:r>
    </w:p>
    <w:p>
      <w:pPr>
        <w:pStyle w:val="FirstParagraph"/>
      </w:pPr>
      <w:r>
        <w:t xml:space="preserve">El personal puede trabajar cerca de transportadores, mezcladores, cuchillas, hornos, freidoras, sistemas presurizados, refrigeración, montacargas, vapor y superficies calientes. Respete resguardos de máquinas, bloqueo/etiquetado, zonas autorizadas, rutas de tránsito, protección auditiva, exposición a calor/frío, prevención de caídas, restricciones de espacios confinados y procedimientos de muestreo seguro. Una fecha límite de calidad nunca justifica omitir un control de seguridad.</w:t>
      </w:r>
    </w:p>
    <w:bookmarkEnd w:id="35"/>
    <w:bookmarkStart w:id="36" w:name="integridad-de-datos"/>
    <w:p>
      <w:pPr>
        <w:pStyle w:val="Heading2"/>
      </w:pPr>
      <w:r>
        <w:t xml:space="preserve">Integridad de datos</w:t>
      </w:r>
    </w:p>
    <w:p>
      <w:pPr>
        <w:pStyle w:val="FirstParagraph"/>
      </w:pPr>
      <w:r>
        <w:t xml:space="preserve">Registre los resultados cuando se generan, use el identificador correcto, conserve las observaciones originales, corrija mediante el proceso aprobado, use sus propias credenciales, documente repeticiones y motivos, preserve archivos instrumentales y reporte cualquier posible manipulación. Un error honesto y trazable es más seguro que un error oculto.</w:t>
      </w:r>
    </w:p>
    <w:bookmarkEnd w:id="36"/>
    <w:bookmarkStart w:id="37" w:name="ciberseguridad-y-laboratorios-conectados"/>
    <w:p>
      <w:pPr>
        <w:pStyle w:val="Heading2"/>
      </w:pPr>
      <w:r>
        <w:t xml:space="preserve">Ciberseguridad y laboratorios conectados</w:t>
      </w:r>
    </w:p>
    <w:p>
      <w:pPr>
        <w:pStyle w:val="FirstParagraph"/>
      </w:pPr>
      <w:r>
        <w:t xml:space="preserve">Los laboratorios modernos pueden usar balanzas en red, cromatografía, sistemas de monitoreo, LIMS, aplicaciones en la nube, códigos de barras y sistemas de calidad. Use solo herramientas aprobadas, MFA cuando corresponda, contraseñas únicas, software autorizado, almacenamiento corporativo y canales oficiales. No mueva datos regulados o propietarios a correo personal ni conecte dispositivos USB no autorizados. Reporte phishing, archivos sospechosos o comportamiento anómalo y preserve registros cuando un incidente afecte datos de pruebas.</w:t>
      </w:r>
    </w:p>
    <w:bookmarkEnd w:id="37"/>
    <w:bookmarkStart w:id="38" w:name="ia-responsable"/>
    <w:p>
      <w:pPr>
        <w:pStyle w:val="Heading2"/>
      </w:pPr>
      <w:r>
        <w:t xml:space="preserve">IA responsable</w:t>
      </w:r>
    </w:p>
    <w:p>
      <w:pPr>
        <w:pStyle w:val="FirstParagraph"/>
      </w:pPr>
      <w:r>
        <w:t xml:space="preserve">La IA puede apoyar aprendizaje de bajo riesgo, borradores, esquemas de estudio, preguntas de entrevista, listas de práctica o resúmenes de información pública cuando la organización lo permita.</w:t>
      </w:r>
    </w:p>
    <w:p>
      <w:pPr>
        <w:pStyle w:val="BodyText"/>
      </w:pPr>
      <w:r>
        <w:t xml:space="preserve">No use IA como autoridad final para cálculos que controlan liberación, interpretación de resultados fuera de especificación, cambios de métodos validados, requisitos regulatorios, planes de inocuidad, decisiones de alérgenos, investigaciones de contaminación, retiros, disposición de producto, validación ni conclusiones médicas o toxicológicas.</w:t>
      </w:r>
    </w:p>
    <w:p>
      <w:pPr>
        <w:pStyle w:val="BodyText"/>
      </w:pPr>
      <w:r>
        <w:t xml:space="preserve">No introduzca fórmulas confidenciales, parámetros de proceso, datos de clientes o proveedores, resultados, credenciales, datos personales, registros regulados ni información sensible de instalaciones en sistemas de IA no aprobados.</w:t>
      </w:r>
    </w:p>
    <w:p>
      <w:pPr>
        <w:pStyle w:val="BodyText"/>
      </w:pPr>
      <w:r>
        <w:rPr>
          <w:bCs/>
          <w:b/>
        </w:rPr>
        <w:t xml:space="preserve">Regla práctica:</w:t>
      </w:r>
      <w:r>
        <w:t xml:space="preserve"> </w:t>
      </w:r>
      <w:r>
        <w:t xml:space="preserve">la IA puede ayudar a organizar o explicar; personas autorizadas y sistemas aprobados deben verificar toda decisión de consecuencias relevantes.</w:t>
      </w:r>
    </w:p>
    <w:bookmarkEnd w:id="38"/>
    <w:bookmarkStart w:id="43" w:name="habilidades-que-valoran-los-empleadores"/>
    <w:p>
      <w:pPr>
        <w:pStyle w:val="Heading2"/>
      </w:pPr>
      <w:r>
        <w:t xml:space="preserve">Habilidades que valoran los empleadores</w:t>
      </w:r>
    </w:p>
    <w:bookmarkStart w:id="39" w:name="ciencia-y-laboratorio"/>
    <w:p>
      <w:pPr>
        <w:pStyle w:val="Heading3"/>
      </w:pPr>
      <w:r>
        <w:t xml:space="preserve">Ciencia y laboratorio</w:t>
      </w:r>
    </w:p>
    <w:p>
      <w:pPr>
        <w:pStyle w:val="FirstParagraph"/>
      </w:pPr>
      <w:r>
        <w:t xml:space="preserve">Medición y unidades, química básica, microbiología básica, preparación de muestras y soluciones, diluciones, pH, temperatura, humedad, masa, estadística básica, cuidado de instrumentos y prevención de contaminación.</w:t>
      </w:r>
    </w:p>
    <w:bookmarkEnd w:id="39"/>
    <w:bookmarkStart w:id="40" w:name="calidad"/>
    <w:p>
      <w:pPr>
        <w:pStyle w:val="Heading3"/>
      </w:pPr>
      <w:r>
        <w:t xml:space="preserve">Calidad</w:t>
      </w:r>
    </w:p>
    <w:p>
      <w:pPr>
        <w:pStyle w:val="FirstParagraph"/>
      </w:pPr>
      <w:r>
        <w:t xml:space="preserve">SOP, especificaciones, muestreo, trazabilidad, control de lotes, control documental, reporte de desviaciones, cambio controlado, acciones correctivas, calibración, registros auditables y atención al detalle.</w:t>
      </w:r>
    </w:p>
    <w:bookmarkEnd w:id="40"/>
    <w:bookmarkStart w:id="41" w:name="habilidades-digitales"/>
    <w:p>
      <w:pPr>
        <w:pStyle w:val="Heading3"/>
      </w:pPr>
      <w:r>
        <w:t xml:space="preserve">Habilidades digitales</w:t>
      </w:r>
    </w:p>
    <w:p>
      <w:pPr>
        <w:pStyle w:val="FirstParagraph"/>
      </w:pPr>
      <w:r>
        <w:t xml:space="preserve">Hojas de cálculo, procesamiento de texto, correo, calendarios, LIMS, sistemas de gestión de calidad, códigos de barras, herramientas en la nube aprobadas y entrada de datos con precisión de unidades y decimales.</w:t>
      </w:r>
    </w:p>
    <w:bookmarkEnd w:id="41"/>
    <w:bookmarkStart w:id="42" w:name="habilidades-humanas"/>
    <w:p>
      <w:pPr>
        <w:pStyle w:val="Heading3"/>
      </w:pPr>
      <w:r>
        <w:t xml:space="preserve">Habilidades humanas</w:t>
      </w:r>
    </w:p>
    <w:p>
      <w:pPr>
        <w:pStyle w:val="FirstParagraph"/>
      </w:pPr>
      <w:r>
        <w:t xml:space="preserve">Confiabilidad, comunicación clara, paciencia, disposición a preguntar, capacidad de reportar malas noticias, trabajo en equipo, respeto por procedimientos, curiosidad profesional y capacidad de trabajar bajo presión sin falsificar datos.</w:t>
      </w:r>
    </w:p>
    <w:bookmarkEnd w:id="42"/>
    <w:bookmarkEnd w:id="43"/>
    <w:bookmarkStart w:id="44" w:name="panorama-laboral--estados-unidos"/>
    <w:p>
      <w:pPr>
        <w:pStyle w:val="Heading2"/>
      </w:pPr>
      <w:r>
        <w:t xml:space="preserve">Panorama laboral — Estados Unidos</w:t>
      </w:r>
    </w:p>
    <w:p>
      <w:pPr>
        <w:pStyle w:val="FirstParagraph"/>
      </w:pPr>
      <w:r>
        <w:t xml:space="preserve">Referencia principal:</w:t>
      </w:r>
      <w:r>
        <w:t xml:space="preserve"> </w:t>
      </w:r>
      <w:r>
        <w:rPr>
          <w:bCs/>
          <w:b/>
        </w:rPr>
        <w:t xml:space="preserve">O*NET-SOC 19-4013.00 — Food Science Technicians</w:t>
      </w:r>
      <w:r>
        <w:t xml:space="preserve">.</w:t>
      </w:r>
    </w:p>
    <w:p>
      <w:pPr>
        <w:pStyle w:val="BodyText"/>
      </w:pPr>
      <w:r>
        <w:t xml:space="preserve">Datos actuales vinculados a O*NET/BLS:</w:t>
      </w:r>
    </w:p>
    <w:p>
      <w:pPr>
        <w:numPr>
          <w:ilvl w:val="0"/>
          <w:numId w:val="1002"/>
        </w:numPr>
        <w:pStyle w:val="Compact"/>
      </w:pPr>
      <w:r>
        <w:rPr>
          <w:bCs/>
          <w:b/>
        </w:rPr>
        <w:t xml:space="preserve">mediana 2025 por hora:</w:t>
      </w:r>
      <w:r>
        <w:t xml:space="preserve"> </w:t>
      </w:r>
      <w:r>
        <w:t xml:space="preserve">US$25.06;</w:t>
      </w:r>
    </w:p>
    <w:p>
      <w:pPr>
        <w:numPr>
          <w:ilvl w:val="0"/>
          <w:numId w:val="1002"/>
        </w:numPr>
        <w:pStyle w:val="Compact"/>
      </w:pPr>
      <w:r>
        <w:rPr>
          <w:bCs/>
          <w:b/>
        </w:rPr>
        <w:t xml:space="preserve">mediana anual 2025:</w:t>
      </w:r>
      <w:r>
        <w:t xml:space="preserve"> </w:t>
      </w:r>
      <w:r>
        <w:t xml:space="preserve">US$52,130;</w:t>
      </w:r>
    </w:p>
    <w:p>
      <w:pPr>
        <w:numPr>
          <w:ilvl w:val="0"/>
          <w:numId w:val="1002"/>
        </w:numPr>
        <w:pStyle w:val="Compact"/>
      </w:pPr>
      <w:r>
        <w:rPr>
          <w:bCs/>
          <w:b/>
        </w:rPr>
        <w:t xml:space="preserve">percentil 10 en 2025:</w:t>
      </w:r>
      <w:r>
        <w:t xml:space="preserve"> </w:t>
      </w:r>
      <w:r>
        <w:t xml:space="preserve">US$39,820/año;</w:t>
      </w:r>
    </w:p>
    <w:p>
      <w:pPr>
        <w:numPr>
          <w:ilvl w:val="0"/>
          <w:numId w:val="1002"/>
        </w:numPr>
        <w:pStyle w:val="Compact"/>
      </w:pPr>
      <w:r>
        <w:rPr>
          <w:bCs/>
          <w:b/>
        </w:rPr>
        <w:t xml:space="preserve">percentil 90 en 2025:</w:t>
      </w:r>
      <w:r>
        <w:t xml:space="preserve"> </w:t>
      </w:r>
      <w:r>
        <w:t xml:space="preserve">US$78,820/año;</w:t>
      </w:r>
    </w:p>
    <w:p>
      <w:pPr>
        <w:numPr>
          <w:ilvl w:val="0"/>
          <w:numId w:val="1002"/>
        </w:numPr>
        <w:pStyle w:val="Compact"/>
      </w:pPr>
      <w:r>
        <w:rPr>
          <w:bCs/>
          <w:b/>
        </w:rPr>
        <w:t xml:space="preserve">empleo 2024:</w:t>
      </w:r>
      <w:r>
        <w:t xml:space="preserve"> </w:t>
      </w:r>
      <w:r>
        <w:t xml:space="preserve">aproximadamente 20,400;</w:t>
      </w:r>
    </w:p>
    <w:p>
      <w:pPr>
        <w:numPr>
          <w:ilvl w:val="0"/>
          <w:numId w:val="1002"/>
        </w:numPr>
        <w:pStyle w:val="Compact"/>
      </w:pPr>
      <w:r>
        <w:rPr>
          <w:bCs/>
          <w:b/>
        </w:rPr>
        <w:t xml:space="preserve">crecimiento proyectado 2024–2034:</w:t>
      </w:r>
      <w:r>
        <w:t xml:space="preserve"> </w:t>
      </w:r>
      <w:r>
        <w:t xml:space="preserve">5% a 6%;</w:t>
      </w:r>
    </w:p>
    <w:p>
      <w:pPr>
        <w:numPr>
          <w:ilvl w:val="0"/>
          <w:numId w:val="1002"/>
        </w:numPr>
        <w:pStyle w:val="Compact"/>
      </w:pPr>
      <w:r>
        <w:rPr>
          <w:bCs/>
          <w:b/>
        </w:rPr>
        <w:t xml:space="preserve">vacantes proyectadas reportadas por O*NET:</w:t>
      </w:r>
      <w:r>
        <w:t xml:space="preserve"> </w:t>
      </w:r>
      <w:r>
        <w:t xml:space="preserve">aproximadamente 3,200 durante el período.</w:t>
      </w:r>
    </w:p>
    <w:p>
      <w:pPr>
        <w:pStyle w:val="FirstParagraph"/>
      </w:pPr>
      <w:r>
        <w:t xml:space="preserve">El Occupational Outlook Handbook de BLS reportó por separado una mediana anual de</w:t>
      </w:r>
      <w:r>
        <w:t xml:space="preserve"> </w:t>
      </w:r>
      <w:r>
        <w:rPr>
          <w:bCs/>
          <w:b/>
        </w:rPr>
        <w:t xml:space="preserve">US$49,430 en mayo de 2024</w:t>
      </w:r>
      <w:r>
        <w:t xml:space="preserve">. La diferencia corresponde al año de datos y fuente utilizada, no necesariamente a una contradicción.</w:t>
      </w:r>
    </w:p>
    <w:bookmarkEnd w:id="44"/>
    <w:bookmarkStart w:id="45" w:name="X612037cabdb77ce73f2f9e0a19064f0cd362b10"/>
    <w:p>
      <w:pPr>
        <w:pStyle w:val="Heading2"/>
      </w:pPr>
      <w:r>
        <w:t xml:space="preserve">Estimaciones privadas actuales — Estados Unidos</w:t>
      </w:r>
    </w:p>
    <w:p>
      <w:pPr>
        <w:pStyle w:val="FirstParagraph"/>
      </w:pPr>
      <w:r>
        <w:t xml:space="preserve">Los portales salariales privados no son estadísticas gubernamentales.</w:t>
      </w:r>
    </w:p>
    <w:p>
      <w:pPr>
        <w:pStyle w:val="BodyText"/>
      </w:pPr>
      <w:r>
        <w:t xml:space="preserve">ZipRecruiter reportó alrededor de</w:t>
      </w:r>
      <w:r>
        <w:t xml:space="preserve"> </w:t>
      </w:r>
      <w:r>
        <w:rPr>
          <w:bCs/>
          <w:b/>
        </w:rPr>
        <w:t xml:space="preserve">US$46,976/año (US$22.58/hora)</w:t>
      </w:r>
      <w:r>
        <w:t xml:space="preserve"> </w:t>
      </w:r>
      <w:r>
        <w:t xml:space="preserve">para “Food Science Technician” al 8 de julio de 2026, con un rango aproximado de percentiles 25–75 de</w:t>
      </w:r>
      <w:r>
        <w:t xml:space="preserve"> </w:t>
      </w:r>
      <w:r>
        <w:rPr>
          <w:bCs/>
          <w:b/>
        </w:rPr>
        <w:t xml:space="preserve">US$34,000 a US$59,000/año</w:t>
      </w:r>
      <w:r>
        <w:t xml:space="preserve">. Glassdoor mostraba una cifra distinta basada en una muestra autorreportada relativamente pequeña. Use BLS/O*NET como referencia principal y estos portales solo como contexto de mercado.</w:t>
      </w:r>
    </w:p>
    <w:bookmarkEnd w:id="45"/>
    <w:bookmarkStart w:id="49" w:name="formación-y-entrada--estados-unidos"/>
    <w:p>
      <w:pPr>
        <w:pStyle w:val="Heading2"/>
      </w:pPr>
      <w:r>
        <w:t xml:space="preserve">Formación y entrada — Estados Unidos</w:t>
      </w:r>
    </w:p>
    <w:p>
      <w:pPr>
        <w:pStyle w:val="FirstParagraph"/>
      </w:pPr>
      <w:r>
        <w:t xml:space="preserve">No existe una credencial universal para todos los puestos. Los empleadores pueden pedir educación secundaria, grado asociado, licenciatura u otra combinación según la especialidad.</w:t>
      </w:r>
    </w:p>
    <w:p>
      <w:pPr>
        <w:pStyle w:val="BodyText"/>
      </w:pPr>
      <w:r>
        <w:t xml:space="preserve">Campos relacionados incluyen ciencia y tecnología de alimentos, química, biología, microbiología, biotecnología, tecnología de laboratorio, aseguramiento de calidad, procesamiento de alimentos y tecnología de manufactura.</w:t>
      </w:r>
    </w:p>
    <w:bookmarkStart w:id="47" w:name="Xa765b906b709bebe6169c357783b0122c773ddd"/>
    <w:p>
      <w:pPr>
        <w:pStyle w:val="Heading3"/>
      </w:pPr>
      <w:r>
        <w:t xml:space="preserve">WIOA, American Job Centers y opciones de bajo costo</w:t>
      </w:r>
    </w:p>
    <w:p>
      <w:pPr>
        <w:pStyle w:val="FirstParagraph"/>
      </w:pPr>
      <w:r>
        <w:t xml:space="preserve">CareerOneStop ofrece el buscador de programas elegibles para WIOA:</w:t>
      </w:r>
    </w:p>
    <w:p>
      <w:pPr>
        <w:pStyle w:val="BodyText"/>
      </w:pPr>
      <w:hyperlink r:id="rId46">
        <w:hyperlink r:id="rId46">
          <w:r>
            <w:rPr>
              <w:rStyle w:val="Hyperlink"/>
            </w:rPr>
            <w:t xml:space="preserve">Source link</w:t>
          </w:r>
        </w:hyperlink>
      </w:hyperlink>
    </w:p>
    <w:p>
      <w:pPr>
        <w:pStyle w:val="BodyText"/>
      </w:pPr>
      <w:r>
        <w:t xml:space="preserve">La elegibilidad, proveedores, servicios de apoyo y financiamiento varían por estado y persona; el financiamiento no es automático. Busque también programas bajo laboratorio, química, biotecnología, calidad, procesamiento y tecnología industrial.</w:t>
      </w:r>
    </w:p>
    <w:p>
      <w:pPr>
        <w:pStyle w:val="BodyText"/>
      </w:pPr>
      <w:r>
        <w:t xml:space="preserve">Los community colleges pueden ofrecer prerrequisitos científicos, certificados y grados asociados a menor costo. Pregunte por Pell Grant, becas estatales, ayuda para adultos, asistencia de matrícula del empleador, planes de pago, crédito por aprendizaje previo y educación cooperativa.</w:t>
      </w:r>
    </w:p>
    <w:bookmarkEnd w:id="47"/>
    <w:bookmarkStart w:id="48" w:name="aprendizaje-basado-en-trabajo"/>
    <w:p>
      <w:pPr>
        <w:pStyle w:val="Heading3"/>
      </w:pPr>
      <w:r>
        <w:t xml:space="preserve">Aprendizaje basado en trabajo</w:t>
      </w:r>
    </w:p>
    <w:p>
      <w:pPr>
        <w:pStyle w:val="FirstParagraph"/>
      </w:pPr>
      <w:r>
        <w:t xml:space="preserve">Consulte Apprenticeship.gov, pero no asuma que existe un Registered Apprenticeship para esta ocupación en cada localidad. Alternativas prácticas incluyen QA trainee, auxiliar de laboratorio, recepción de muestras, inspector de calidad, pasantías pagadas, educación cooperativa, capacitación GMP/HACCP patrocinada por el empleador y promoción interna desde producción.</w:t>
      </w:r>
    </w:p>
    <w:bookmarkEnd w:id="48"/>
    <w:bookmarkEnd w:id="49"/>
    <w:bookmarkStart w:id="51" w:name="ruta-de-canadá"/>
    <w:p>
      <w:pPr>
        <w:pStyle w:val="Heading2"/>
      </w:pPr>
      <w:r>
        <w:t xml:space="preserve">Ruta de Canadá</w:t>
      </w:r>
    </w:p>
    <w:p>
      <w:pPr>
        <w:pStyle w:val="FirstParagraph"/>
      </w:pPr>
      <w:r>
        <w:t xml:space="preserve">Job Bank usa el título de mercado</w:t>
      </w:r>
      <w:r>
        <w:t xml:space="preserve"> </w:t>
      </w:r>
      <w:r>
        <w:rPr>
          <w:bCs/>
          <w:b/>
        </w:rPr>
        <w:t xml:space="preserve">Food technologist</w:t>
      </w:r>
      <w:r>
        <w:t xml:space="preserve"> </w:t>
      </w:r>
      <w:r>
        <w:t xml:space="preserve">bajo</w:t>
      </w:r>
      <w:r>
        <w:t xml:space="preserve"> </w:t>
      </w:r>
      <w:r>
        <w:rPr>
          <w:bCs/>
          <w:b/>
        </w:rPr>
        <w:t xml:space="preserve">NOC 22100 — Chemical technologists and technicians</w:t>
      </w:r>
      <w:r>
        <w:t xml:space="preserve">, un grupo más amplio que la referencia de EE. UU.</w:t>
      </w:r>
    </w:p>
    <w:p>
      <w:pPr>
        <w:pStyle w:val="BodyText"/>
      </w:pPr>
      <w:r>
        <w:t xml:space="preserve">Salarios nacionales publicados por Job Bank, actualizados el 19 de noviembre de 2025:</w:t>
      </w:r>
    </w:p>
    <w:p>
      <w:pPr>
        <w:numPr>
          <w:ilvl w:val="0"/>
          <w:numId w:val="1003"/>
        </w:numPr>
        <w:pStyle w:val="Compact"/>
      </w:pPr>
      <w:r>
        <w:rPr>
          <w:bCs/>
          <w:b/>
        </w:rPr>
        <w:t xml:space="preserve">bajo:</w:t>
      </w:r>
      <w:r>
        <w:t xml:space="preserve"> </w:t>
      </w:r>
      <w:r>
        <w:t xml:space="preserve">C$21.00/hora;</w:t>
      </w:r>
    </w:p>
    <w:p>
      <w:pPr>
        <w:numPr>
          <w:ilvl w:val="0"/>
          <w:numId w:val="1003"/>
        </w:numPr>
        <w:pStyle w:val="Compact"/>
      </w:pPr>
      <w:r>
        <w:rPr>
          <w:bCs/>
          <w:b/>
        </w:rPr>
        <w:t xml:space="preserve">mediana:</w:t>
      </w:r>
      <w:r>
        <w:t xml:space="preserve"> </w:t>
      </w:r>
      <w:r>
        <w:t xml:space="preserve">C$29.80/hora;</w:t>
      </w:r>
    </w:p>
    <w:p>
      <w:pPr>
        <w:numPr>
          <w:ilvl w:val="0"/>
          <w:numId w:val="1003"/>
        </w:numPr>
        <w:pStyle w:val="Compact"/>
      </w:pPr>
      <w:r>
        <w:rPr>
          <w:bCs/>
          <w:b/>
        </w:rPr>
        <w:t xml:space="preserve">alto:</w:t>
      </w:r>
      <w:r>
        <w:t xml:space="preserve"> </w:t>
      </w:r>
      <w:r>
        <w:t xml:space="preserve">C$47.69/hora.</w:t>
      </w:r>
    </w:p>
    <w:p>
      <w:pPr>
        <w:pStyle w:val="FirstParagraph"/>
      </w:pPr>
      <w:r>
        <w:t xml:space="preserve">Los tecnólogos suelen completar programas universitarios/college de dos o tres años y los técnicos programas de uno o dos años en áreas relacionadas. La certificación puede estar disponible o ser solicitada según provincia, campo y empleador. La demanda y oferta nacional para NOC 22100 se describe en términos generales como equilibrada para 2024–2033.</w:t>
      </w:r>
    </w:p>
    <w:p>
      <w:pPr>
        <w:pStyle w:val="BodyText"/>
      </w:pPr>
      <w:r>
        <w:t xml:space="preserve">Portal de capacitación de Canadá:</w:t>
      </w:r>
    </w:p>
    <w:p>
      <w:pPr>
        <w:pStyle w:val="BodyText"/>
      </w:pPr>
      <w:hyperlink r:id="rId50">
        <w:hyperlink r:id="rId50">
          <w:r>
            <w:rPr>
              <w:rStyle w:val="Hyperlink"/>
            </w:rPr>
            <w:t xml:space="preserve">Source link</w:t>
          </w:r>
        </w:hyperlink>
      </w:hyperlink>
    </w:p>
    <w:p>
      <w:pPr>
        <w:pStyle w:val="BodyText"/>
      </w:pPr>
      <w:r>
        <w:t xml:space="preserve">Los apoyos pueden incluir ayuda estudiantil, capacitación, servicios de empleo y experiencia laboral; la elegibilidad varía.</w:t>
      </w:r>
    </w:p>
    <w:bookmarkEnd w:id="51"/>
    <w:bookmarkStart w:id="59" w:name="ruta-de-colombia"/>
    <w:p>
      <w:pPr>
        <w:pStyle w:val="Heading2"/>
      </w:pPr>
      <w:r>
        <w:t xml:space="preserve">Ruta de Colombia</w:t>
      </w:r>
    </w:p>
    <w:bookmarkStart w:id="52" w:name="ocupacol"/>
    <w:p>
      <w:pPr>
        <w:pStyle w:val="Heading3"/>
      </w:pPr>
      <w:r>
        <w:t xml:space="preserve">OCUPACOL</w:t>
      </w:r>
    </w:p>
    <w:p>
      <w:pPr>
        <w:pStyle w:val="FirstParagraph"/>
      </w:pPr>
      <w:r>
        <w:rPr>
          <w:bCs/>
          <w:b/>
        </w:rPr>
        <w:t xml:space="preserve">CUOC 31160 — Técnicos en química industrial</w:t>
      </w:r>
      <w:r>
        <w:t xml:space="preserve"> </w:t>
      </w:r>
      <w:r>
        <w:t xml:space="preserve">incluye</w:t>
      </w:r>
      <w:r>
        <w:t xml:space="preserve"> </w:t>
      </w:r>
      <w:r>
        <w:rPr>
          <w:bCs/>
          <w:b/>
        </w:rPr>
        <w:t xml:space="preserve">Técnico químico de alimentos</w:t>
      </w:r>
      <w:r>
        <w:t xml:space="preserve">.</w:t>
      </w:r>
    </w:p>
    <w:p>
      <w:pPr>
        <w:pStyle w:val="BodyText"/>
      </w:pPr>
      <w:r>
        <w:rPr>
          <w:bCs/>
          <w:b/>
        </w:rPr>
        <w:t xml:space="preserve">CUOC 32573</w:t>
      </w:r>
      <w:r>
        <w:t xml:space="preserve"> </w:t>
      </w:r>
      <w:r>
        <w:t xml:space="preserve">incluye</w:t>
      </w:r>
      <w:r>
        <w:t xml:space="preserve"> </w:t>
      </w:r>
      <w:r>
        <w:rPr>
          <w:bCs/>
          <w:b/>
        </w:rPr>
        <w:t xml:space="preserve">Técnico de control calidad de procesamiento de alimentos</w:t>
      </w:r>
      <w:r>
        <w:t xml:space="preserve">.</w:t>
      </w:r>
    </w:p>
    <w:p>
      <w:pPr>
        <w:pStyle w:val="BodyText"/>
      </w:pPr>
      <w:r>
        <w:t xml:space="preserve">Son comparadores útiles y no equivalencias exactas con SOC 19-4013.00.</w:t>
      </w:r>
    </w:p>
    <w:bookmarkEnd w:id="52"/>
    <w:bookmarkStart w:id="54" w:name="X008712fe0c97fc338d803deaa51c6e8f2e1b6a7"/>
    <w:p>
      <w:pPr>
        <w:pStyle w:val="Heading3"/>
      </w:pPr>
      <w:r>
        <w:t xml:space="preserve">SENA — Control de calidad en la industria de alimentos</w:t>
      </w:r>
    </w:p>
    <w:p>
      <w:pPr>
        <w:pStyle w:val="FirstParagraph"/>
      </w:pPr>
      <w:r>
        <w:t xml:space="preserve">SENA Betowa lista este programa de</w:t>
      </w:r>
      <w:r>
        <w:t xml:space="preserve"> </w:t>
      </w:r>
      <w:r>
        <w:rPr>
          <w:bCs/>
          <w:b/>
        </w:rPr>
        <w:t xml:space="preserve">Tecnólogo</w:t>
      </w:r>
      <w:r>
        <w:t xml:space="preserve"> </w:t>
      </w:r>
      <w:r>
        <w:t xml:space="preserve">con</w:t>
      </w:r>
      <w:r>
        <w:t xml:space="preserve"> </w:t>
      </w:r>
      <w:r>
        <w:rPr>
          <w:bCs/>
          <w:b/>
        </w:rPr>
        <w:t xml:space="preserve">3,984 horas</w:t>
      </w:r>
      <w:r>
        <w:t xml:space="preserve">. Incluye análisis fisicoquímico, sensorial y microbiológico, control de calidad, coordinación de laboratorio, verificación de producción, seguridad, ambiente, herramientas digitales y etapa práctica.</w:t>
      </w:r>
    </w:p>
    <w:p>
      <w:pPr>
        <w:pStyle w:val="BodyText"/>
      </w:pPr>
      <w:hyperlink r:id="rId53">
        <w:hyperlink r:id="rId53">
          <w:r>
            <w:rPr>
              <w:rStyle w:val="Hyperlink"/>
            </w:rPr>
            <w:t xml:space="preserve">Source link</w:t>
          </w:r>
        </w:hyperlink>
      </w:hyperlink>
    </w:p>
    <w:bookmarkEnd w:id="54"/>
    <w:bookmarkStart w:id="56" w:name="Xe8b027cf4a3ed2063c4ac30f86bba51a969f45f"/>
    <w:p>
      <w:pPr>
        <w:pStyle w:val="Heading3"/>
      </w:pPr>
      <w:r>
        <w:t xml:space="preserve">SENA — Procesamiento y conservación de alimentos</w:t>
      </w:r>
    </w:p>
    <w:p>
      <w:pPr>
        <w:pStyle w:val="FirstParagraph"/>
      </w:pPr>
      <w:r>
        <w:t xml:space="preserve">Programa de</w:t>
      </w:r>
      <w:r>
        <w:t xml:space="preserve"> </w:t>
      </w:r>
      <w:r>
        <w:rPr>
          <w:bCs/>
          <w:b/>
        </w:rPr>
        <w:t xml:space="preserve">Tecnólogo</w:t>
      </w:r>
      <w:r>
        <w:t xml:space="preserve"> </w:t>
      </w:r>
      <w:r>
        <w:t xml:space="preserve">de</w:t>
      </w:r>
      <w:r>
        <w:t xml:space="preserve"> </w:t>
      </w:r>
      <w:r>
        <w:rPr>
          <w:bCs/>
          <w:b/>
        </w:rPr>
        <w:t xml:space="preserve">3,984 horas</w:t>
      </w:r>
      <w:r>
        <w:t xml:space="preserve"> </w:t>
      </w:r>
      <w:r>
        <w:t xml:space="preserve">sobre recepción, procesamiento, conservación, higienización, producción y verificación de calidad.</w:t>
      </w:r>
    </w:p>
    <w:p>
      <w:pPr>
        <w:pStyle w:val="BodyText"/>
      </w:pPr>
      <w:hyperlink r:id="rId55">
        <w:hyperlink r:id="rId55">
          <w:r>
            <w:rPr>
              <w:rStyle w:val="Hyperlink"/>
            </w:rPr>
            <w:t xml:space="preserve">Source link</w:t>
          </w:r>
        </w:hyperlink>
      </w:hyperlink>
    </w:p>
    <w:bookmarkEnd w:id="56"/>
    <w:bookmarkStart w:id="58" w:name="Xb729f2f42177ad41d5ec763fc9414600d57fbbe"/>
    <w:p>
      <w:pPr>
        <w:pStyle w:val="Heading3"/>
      </w:pPr>
      <w:r>
        <w:t xml:space="preserve">SENA — Protección y conservación de alimentos</w:t>
      </w:r>
    </w:p>
    <w:p>
      <w:pPr>
        <w:pStyle w:val="FirstParagraph"/>
      </w:pPr>
      <w:r>
        <w:t xml:space="preserve">Formación virtual sobre contaminantes, buenas prácticas de manufactura, enfermedades transmitidas por alimentos y aseguramiento de calidad.</w:t>
      </w:r>
    </w:p>
    <w:p>
      <w:pPr>
        <w:pStyle w:val="BodyText"/>
      </w:pPr>
      <w:hyperlink r:id="rId57">
        <w:hyperlink r:id="rId57">
          <w:r>
            <w:rPr>
              <w:rStyle w:val="Hyperlink"/>
            </w:rPr>
            <w:t xml:space="preserve">Source link</w:t>
          </w:r>
        </w:hyperlink>
      </w:hyperlink>
    </w:p>
    <w:p>
      <w:pPr>
        <w:pStyle w:val="BodyText"/>
      </w:pPr>
      <w:r>
        <w:t xml:space="preserve">Cupos, ciudades, fechas y modalidades cambian; verifique Betowa antes de tomar decisiones.</w:t>
      </w:r>
    </w:p>
    <w:bookmarkEnd w:id="58"/>
    <w:bookmarkEnd w:id="59"/>
    <w:bookmarkStart w:id="62" w:name="américa-latina-y-el-caribe"/>
    <w:p>
      <w:pPr>
        <w:pStyle w:val="Heading2"/>
      </w:pPr>
      <w:r>
        <w:t xml:space="preserve">América Latina y el Caribe</w:t>
      </w:r>
    </w:p>
    <w:p>
      <w:pPr>
        <w:pStyle w:val="FirstParagraph"/>
      </w:pPr>
      <w:r>
        <w:t xml:space="preserve">OIT/Cinterfor ayuda a identificar instituciones nacionales de formación profesional:</w:t>
      </w:r>
    </w:p>
    <w:p>
      <w:pPr>
        <w:pStyle w:val="BodyText"/>
      </w:pPr>
      <w:hyperlink r:id="rId60">
        <w:r>
          <w:rPr>
            <w:rStyle w:val="Hyperlink"/>
          </w:rPr>
          <w:t xml:space="preserve">https://www.oitcinterfor.org/</w:t>
        </w:r>
      </w:hyperlink>
    </w:p>
    <w:p>
      <w:pPr>
        <w:pStyle w:val="BodyText"/>
      </w:pPr>
      <w:hyperlink r:id="rId61">
        <w:r>
          <w:rPr>
            <w:rStyle w:val="Hyperlink"/>
          </w:rPr>
          <w:t xml:space="preserve">https://www.oitcinterfor.org/statsfp/paises</w:t>
        </w:r>
      </w:hyperlink>
    </w:p>
    <w:p>
      <w:pPr>
        <w:pStyle w:val="BodyText"/>
      </w:pPr>
      <w:r>
        <w:t xml:space="preserve">Busque términos como tecnología de alimentos, ciencia de alimentos, control de calidad, laboratorio, inocuidad, microbiología, procesamiento, química aplicada y aseguramiento de calidad. Verifique nivel, costo, modalidad, requisitos, cupos y reconocimiento con la institución oficial.</w:t>
      </w:r>
    </w:p>
    <w:bookmarkEnd w:id="62"/>
    <w:bookmarkStart w:id="63" w:name="certificaciones-y-cursos-cortos"/>
    <w:p>
      <w:pPr>
        <w:pStyle w:val="Heading2"/>
      </w:pPr>
      <w:r>
        <w:t xml:space="preserve">Certificaciones y cursos cortos</w:t>
      </w:r>
    </w:p>
    <w:p>
      <w:pPr>
        <w:pStyle w:val="FirstParagraph"/>
      </w:pPr>
      <w:r>
        <w:t xml:space="preserve">Algunos empleadores valoran GMP/CGMP, HACCP, control de alérgenos, food defense, auditoría interna, seguridad de laboratorio, sistemas ISO, saneamiento, evaluación sensorial, análisis de causa raíz o control estadístico de procesos.</w:t>
      </w:r>
    </w:p>
    <w:p>
      <w:pPr>
        <w:pStyle w:val="BodyText"/>
      </w:pPr>
      <w:r>
        <w:t xml:space="preserve">Un certificado de curso demuestra capacitación, pero no convierte automáticamente a la persona en autoridad de inocuidad, experto regulatorio, signatario de laboratorio, PCQI ni auditor acreditado. Antes de pagar por una credencial, revise ofertas reales de empleo de su región.</w:t>
      </w:r>
    </w:p>
    <w:bookmarkEnd w:id="63"/>
    <w:bookmarkStart w:id="64" w:name="secuencia-gratuita-o-de-bajo-costo"/>
    <w:p>
      <w:pPr>
        <w:pStyle w:val="Heading2"/>
      </w:pPr>
      <w:r>
        <w:t xml:space="preserve">Secuencia gratuita o de bajo costo</w:t>
      </w:r>
    </w:p>
    <w:p>
      <w:pPr>
        <w:numPr>
          <w:ilvl w:val="0"/>
          <w:numId w:val="1004"/>
        </w:numPr>
        <w:pStyle w:val="Compact"/>
      </w:pPr>
      <w:r>
        <w:rPr>
          <w:bCs/>
          <w:b/>
        </w:rPr>
        <w:t xml:space="preserve">Actualizar ciencia:</w:t>
      </w:r>
      <w:r>
        <w:t xml:space="preserve"> </w:t>
      </w:r>
      <w:r>
        <w:t xml:space="preserve">unidades, conversiones, porcentajes, álgebra básica, química, ácidos/bases, pH, microbiología, temperatura y medición.</w:t>
      </w:r>
    </w:p>
    <w:p>
      <w:pPr>
        <w:numPr>
          <w:ilvl w:val="0"/>
          <w:numId w:val="1004"/>
        </w:numPr>
        <w:pStyle w:val="Compact"/>
      </w:pPr>
      <w:r>
        <w:rPr>
          <w:bCs/>
          <w:b/>
        </w:rPr>
        <w:t xml:space="preserve">Fundamentos de calidad:</w:t>
      </w:r>
      <w:r>
        <w:t xml:space="preserve"> </w:t>
      </w:r>
      <w:r>
        <w:t xml:space="preserve">especificaciones, SOP, identificación de muestras, calibración, trazabilidad, desviaciones, acciones correctivas e integridad documental.</w:t>
      </w:r>
    </w:p>
    <w:p>
      <w:pPr>
        <w:numPr>
          <w:ilvl w:val="0"/>
          <w:numId w:val="1004"/>
        </w:numPr>
        <w:pStyle w:val="Compact"/>
      </w:pPr>
      <w:r>
        <w:rPr>
          <w:bCs/>
          <w:b/>
        </w:rPr>
        <w:t xml:space="preserve">Inocuidad alimentaria:</w:t>
      </w:r>
      <w:r>
        <w:t xml:space="preserve"> </w:t>
      </w:r>
      <w:r>
        <w:t xml:space="preserve">contaminación, alérgenos, higiene, saneamiento, tiempo/temperatura, contacto cruzado, controles preventivos y escalamiento.</w:t>
      </w:r>
    </w:p>
    <w:p>
      <w:pPr>
        <w:numPr>
          <w:ilvl w:val="0"/>
          <w:numId w:val="1004"/>
        </w:numPr>
        <w:pStyle w:val="Compact"/>
      </w:pPr>
      <w:r>
        <w:rPr>
          <w:bCs/>
          <w:b/>
        </w:rPr>
        <w:t xml:space="preserve">Hojas de cálculo y documentación:</w:t>
      </w:r>
      <w:r>
        <w:t xml:space="preserve"> </w:t>
      </w:r>
      <w:r>
        <w:t xml:space="preserve">resultados, unidades, fórmulas, gráficos, filtros, plantillas controladas, versiones y revisión.</w:t>
      </w:r>
    </w:p>
    <w:p>
      <w:pPr>
        <w:numPr>
          <w:ilvl w:val="0"/>
          <w:numId w:val="1004"/>
        </w:numPr>
        <w:pStyle w:val="Compact"/>
      </w:pPr>
      <w:r>
        <w:rPr>
          <w:bCs/>
          <w:b/>
        </w:rPr>
        <w:t xml:space="preserve">Exposición práctica supervisada:</w:t>
      </w:r>
      <w:r>
        <w:t xml:space="preserve"> </w:t>
      </w:r>
      <w:r>
        <w:t xml:space="preserve">producción, QA/QC, laboratorio, recepción de muestras, saneamiento, ingredientes o planta piloto.</w:t>
      </w:r>
    </w:p>
    <w:p>
      <w:pPr>
        <w:numPr>
          <w:ilvl w:val="0"/>
          <w:numId w:val="1004"/>
        </w:numPr>
        <w:pStyle w:val="Compact"/>
      </w:pPr>
      <w:r>
        <w:rPr>
          <w:bCs/>
          <w:b/>
        </w:rPr>
        <w:t xml:space="preserve">Credencial dirigida:</w:t>
      </w:r>
      <w:r>
        <w:t xml:space="preserve"> </w:t>
      </w:r>
      <w:r>
        <w:t xml:space="preserve">solo después de revisar requisitos locales, elija la opción creíble menos costosa que cierre una brecha real.</w:t>
      </w:r>
    </w:p>
    <w:bookmarkEnd w:id="64"/>
    <w:bookmarkStart w:id="65" w:name="Xdf8ad13b796c859c6156d6f904ba2baa383a1d6"/>
    <w:p>
      <w:pPr>
        <w:pStyle w:val="Heading2"/>
      </w:pPr>
      <w:r>
        <w:t xml:space="preserve">Accesibilidad e inclusión de discapacidad</w:t>
      </w:r>
    </w:p>
    <w:p>
      <w:pPr>
        <w:pStyle w:val="FirstParagraph"/>
      </w:pPr>
      <w:r>
        <w:t xml:space="preserve">Los laboratorios y plantas varían. Algunas funciones exigen permanecer de pie, motricidad fina, distinguir colores, levantar objetos, trabajar en frío, usar PPE o tolerar ruido y olores; otras son más instrumentales o administrativas.</w:t>
      </w:r>
    </w:p>
    <w:p>
      <w:pPr>
        <w:pStyle w:val="BodyText"/>
      </w:pPr>
      <w:r>
        <w:t xml:space="preserve">No asuma que una discapacidad impide realizar el trabajo. Las funciones esenciales y ajustes dependen del puesto y jurisdicción. Posibles apoyos incluyen altura de trabajo ajustable, tapetes antifatiga, trabajo sentado cuando sea adecuado, iluminación, ampliación, lectores de pantalla, formularios accesibles, secuencias escritas, etiquetas no dependientes del color, apoyos auditivos, ajustes de horario y herramientas ergonómicas.</w:t>
      </w:r>
    </w:p>
    <w:p>
      <w:pPr>
        <w:pStyle w:val="BodyText"/>
      </w:pPr>
      <w:r>
        <w:t xml:space="preserve">Esta guía no certifica que ningún ajuste o lugar de trabajo cumpla requisitos legales específicos.</w:t>
      </w:r>
    </w:p>
    <w:bookmarkEnd w:id="65"/>
    <w:bookmarkStart w:id="66" w:name="estrategias-amigables-con-disgrafía"/>
    <w:p>
      <w:pPr>
        <w:pStyle w:val="Heading2"/>
      </w:pPr>
      <w:r>
        <w:t xml:space="preserve">Estrategias amigables con disgrafía</w:t>
      </w:r>
    </w:p>
    <w:p>
      <w:pPr>
        <w:pStyle w:val="FirstParagraph"/>
      </w:pPr>
      <w:r>
        <w:t xml:space="preserve">Cuando esté permitido, use registros electrónicos, plantillas aprobadas, listas breves previas a la prueba, separación visual entre ID de muestra y resultado, lectura de números antes de enviar, unidades en cada hoja, dictado para borradores no regulados, revisión manual de identificadores críticos y notas personales separadas de registros regulados. Nunca use una herramienta de accesibilidad para eludir controles de integridad o seguridad.</w:t>
      </w:r>
    </w:p>
    <w:bookmarkEnd w:id="66"/>
    <w:bookmarkStart w:id="67" w:name="portafolio-inicial"/>
    <w:p>
      <w:pPr>
        <w:pStyle w:val="Heading2"/>
      </w:pPr>
      <w:r>
        <w:t xml:space="preserve">Portafolio inicial</w:t>
      </w:r>
    </w:p>
    <w:p>
      <w:pPr>
        <w:pStyle w:val="FirstParagraph"/>
      </w:pPr>
      <w:r>
        <w:t xml:space="preserve">Use datos ficticios o públicos, nunca datos confidenciales del empleador. Puede incluir un registro ficticio de recepción de muestras, estudio simple de pH con materiales seguros, registro de calibración simulado, hoja de temperatura, reporte ficticio de desviación, lista de saneamiento, ejercicio de trazabilidad, gráfico de mediciones repetidas y un SOP de práctica inofensiva. Identifique todo como simulación de entrenamiento.</w:t>
      </w:r>
    </w:p>
    <w:bookmarkEnd w:id="67"/>
    <w:bookmarkStart w:id="68" w:name="lenguaje-para-el-currículum"/>
    <w:p>
      <w:pPr>
        <w:pStyle w:val="Heading2"/>
      </w:pPr>
      <w:r>
        <w:t xml:space="preserve">Lenguaje para el currículum</w:t>
      </w:r>
    </w:p>
    <w:p>
      <w:pPr>
        <w:pStyle w:val="FirstParagraph"/>
      </w:pPr>
      <w:r>
        <w:t xml:space="preserve">Frases válidas si son verdaderas: siguió procedimientos documentados y mantuvo registros precisos; apoyó control de calidad y trazabilidad de muestras; usó hojas de cálculo para registrar mediciones; cumplió requisitos de saneamiento, PPE y seguridad; identificó desviaciones y las escaló; protegió información confidencial y usó sistemas aprobados.</w:t>
      </w:r>
    </w:p>
    <w:p>
      <w:pPr>
        <w:pStyle w:val="BodyText"/>
      </w:pPr>
      <w:r>
        <w:t xml:space="preserve">No afirme experiencia HACCP, autoridad regulatoria, microbiología especializada o métodos de laboratorio que no haya realizado.</w:t>
      </w:r>
    </w:p>
    <w:bookmarkEnd w:id="68"/>
    <w:bookmarkStart w:id="69" w:name="preparación-para-entrevista"/>
    <w:p>
      <w:pPr>
        <w:pStyle w:val="Heading2"/>
      </w:pPr>
      <w:r>
        <w:t xml:space="preserve">Preparación para entrevista</w:t>
      </w:r>
    </w:p>
    <w:p>
      <w:pPr>
        <w:pStyle w:val="FirstParagraph"/>
      </w:pPr>
      <w:r>
        <w:t xml:space="preserve">Prepárese para explicar cómo evita confundir muestras, qué haría ante un resultado fuera de especificación, cómo corrige un error documental, por qué importa la calibración, cómo responde a presión para ignorar un control fallido, cómo evita contaminación cruzada, cómo protege fórmulas o datos y cuándo debe detenerse y escalar.</w:t>
      </w:r>
    </w:p>
    <w:bookmarkEnd w:id="69"/>
    <w:bookmarkStart w:id="76" w:name="plan-de-acción-de-seis-pasos"/>
    <w:p>
      <w:pPr>
        <w:pStyle w:val="Heading2"/>
      </w:pPr>
      <w:r>
        <w:t xml:space="preserve">Plan de acción de seis pasos</w:t>
      </w:r>
    </w:p>
    <w:p>
      <w:pPr>
        <w:pStyle w:val="FirstParagraph"/>
      </w:pPr>
      <w:r>
        <w:t xml:space="preserve">Esta sección corrige de forma intencional el defecto heredado del plan de acción de la Guía 99.</w:t>
      </w:r>
    </w:p>
    <w:bookmarkStart w:id="70" w:name="paso-1--elegir-un-entorno-objetivo"/>
    <w:p>
      <w:pPr>
        <w:pStyle w:val="Heading3"/>
      </w:pPr>
      <w:r>
        <w:t xml:space="preserve">Paso 1 — Elegir un entorno objetivo</w:t>
      </w:r>
    </w:p>
    <w:p>
      <w:pPr>
        <w:pStyle w:val="FirstParagraph"/>
      </w:pPr>
      <w:r>
        <w:t xml:space="preserve">Seleccione un entorno realista: laboratorio, QA/QC, bebidas, lácteos, panadería, carnes/pescados, productos frescos, ingredientes, I+D o calidad de procesamiento.</w:t>
      </w:r>
    </w:p>
    <w:bookmarkEnd w:id="70"/>
    <w:bookmarkStart w:id="71" w:name="Xdd3d4aa27a50c17961f1a5e4e6db032a8326315"/>
    <w:p>
      <w:pPr>
        <w:pStyle w:val="Heading3"/>
      </w:pPr>
      <w:r>
        <w:t xml:space="preserve">Paso 2 — Reunir 10 descripciones reales de empleo</w:t>
      </w:r>
    </w:p>
    <w:p>
      <w:pPr>
        <w:pStyle w:val="FirstParagraph"/>
      </w:pPr>
      <w:r>
        <w:t xml:space="preserve">Registre requisitos repetidos: educación, turno, instrumentos, pruebas, GMP/HACCP, hojas de cálculo, carga física, microbiología, química, sensorial y experiencia.</w:t>
      </w:r>
    </w:p>
    <w:bookmarkEnd w:id="71"/>
    <w:bookmarkStart w:id="72" w:name="X8c3504e5e429bb7a827c86edfd9b0c81af41019"/>
    <w:p>
      <w:pPr>
        <w:pStyle w:val="Heading3"/>
      </w:pPr>
      <w:r>
        <w:t xml:space="preserve">Paso 3 — Identificar las tres brechas principales</w:t>
      </w:r>
    </w:p>
    <w:p>
      <w:pPr>
        <w:pStyle w:val="FirstParagraph"/>
      </w:pPr>
      <w:r>
        <w:t xml:space="preserve">Elija solo tres, por ejemplo química básica, precisión en hojas de cálculo y conocimientos GMP.</w:t>
      </w:r>
    </w:p>
    <w:bookmarkEnd w:id="72"/>
    <w:bookmarkStart w:id="73" w:name="X560a0fcdc406ad9abdf498b396967852e00f151"/>
    <w:p>
      <w:pPr>
        <w:pStyle w:val="Heading3"/>
      </w:pPr>
      <w:r>
        <w:t xml:space="preserve">Paso 4 — Cerrar una brecha al menor costo razonable</w:t>
      </w:r>
    </w:p>
    <w:p>
      <w:pPr>
        <w:pStyle w:val="FirstParagraph"/>
      </w:pPr>
      <w:r>
        <w:t xml:space="preserve">Use community college, SENA, formación pública, capacitación del empleador, recursos gratuitos confiables o un curso corto de bajo costo antes de comprar una credencial grande.</w:t>
      </w:r>
    </w:p>
    <w:bookmarkEnd w:id="73"/>
    <w:bookmarkStart w:id="74" w:name="paso-5--crear-evidencia"/>
    <w:p>
      <w:pPr>
        <w:pStyle w:val="Heading3"/>
      </w:pPr>
      <w:r>
        <w:t xml:space="preserve">Paso 5 — Crear evidencia</w:t>
      </w:r>
    </w:p>
    <w:p>
      <w:pPr>
        <w:pStyle w:val="FirstParagraph"/>
      </w:pPr>
      <w:r>
        <w:t xml:space="preserve">Complete una tarea supervisada, pasantía, laboratorio de curso, proyecto o ejercicio ficticio que demuestre precisión, documentación y seguridad.</w:t>
      </w:r>
    </w:p>
    <w:bookmarkEnd w:id="74"/>
    <w:bookmarkStart w:id="75" w:name="paso-6--postular-y-revisar"/>
    <w:p>
      <w:pPr>
        <w:pStyle w:val="Heading3"/>
      </w:pPr>
      <w:r>
        <w:t xml:space="preserve">Paso 6 — Postular y revisar</w:t>
      </w:r>
    </w:p>
    <w:p>
      <w:pPr>
        <w:pStyle w:val="FirstParagraph"/>
      </w:pPr>
      <w:r>
        <w:t xml:space="preserve">Postúlese a puestos de técnico, auxiliar de laboratorio, muestras, calidad y trainee acordes con su evidencia. Cada cinco a diez postulaciones, revise los requisitos repetidos y ajuste la formación en lugar de coleccionar certificados al azar.</w:t>
      </w:r>
    </w:p>
    <w:bookmarkEnd w:id="75"/>
    <w:bookmarkEnd w:id="76"/>
    <w:bookmarkStart w:id="77" w:name="antes-de-aceptar-un-empleo"/>
    <w:p>
      <w:pPr>
        <w:pStyle w:val="Heading2"/>
      </w:pPr>
      <w:r>
        <w:t xml:space="preserve">Antes de aceptar un empleo</w:t>
      </w:r>
    </w:p>
    <w:p>
      <w:pPr>
        <w:pStyle w:val="FirstParagraph"/>
      </w:pPr>
      <w:r>
        <w:t xml:space="preserve">Pregunte por turno, porcentaje de trabajo en laboratorio y planta, PPE, químicos y materiales biológicos, exigencias físicas, pruebas e instrumentos, responsable de resultados fuera de especificación, trabajo en fines de semana, capacitación antes del trabajo independiente, sistema documental, ayuda de matrícula y ruta de progresión.</w:t>
      </w:r>
    </w:p>
    <w:bookmarkEnd w:id="77"/>
    <w:bookmarkStart w:id="99" w:name="fuentes-y-enlaces-de-verificación"/>
    <w:p>
      <w:pPr>
        <w:pStyle w:val="Heading2"/>
      </w:pPr>
      <w:r>
        <w:t xml:space="preserve">Fuentes y enlaces de verificación</w:t>
      </w:r>
    </w:p>
    <w:bookmarkStart w:id="87" w:name="estados-unidos"/>
    <w:p>
      <w:pPr>
        <w:pStyle w:val="Heading3"/>
      </w:pPr>
      <w:r>
        <w:t xml:space="preserve">Estados Unidos</w:t>
      </w:r>
    </w:p>
    <w:p>
      <w:pPr>
        <w:numPr>
          <w:ilvl w:val="0"/>
          <w:numId w:val="1005"/>
        </w:numPr>
        <w:pStyle w:val="Compact"/>
      </w:pPr>
      <w:r>
        <w:t xml:space="preserve">O*NET Food Science Technicians:</w:t>
      </w:r>
      <w:r>
        <w:t xml:space="preserve"> </w:t>
      </w:r>
      <w:hyperlink r:id="rId78">
        <w:hyperlink r:id="rId78">
          <w:r>
            <w:rPr>
              <w:rStyle w:val="Hyperlink"/>
            </w:rPr>
            <w:t xml:space="preserve">Source link</w:t>
          </w:r>
        </w:hyperlink>
      </w:hyperlink>
    </w:p>
    <w:p>
      <w:pPr>
        <w:numPr>
          <w:ilvl w:val="0"/>
          <w:numId w:val="1005"/>
        </w:numPr>
        <w:pStyle w:val="Compact"/>
      </w:pPr>
      <w:r>
        <w:t xml:space="preserve">BLS Agricultural and Food Science Technicians:</w:t>
      </w:r>
      <w:r>
        <w:t xml:space="preserve"> </w:t>
      </w:r>
      <w:hyperlink r:id="rId79">
        <w:hyperlink r:id="rId79">
          <w:r>
            <w:rPr>
              <w:rStyle w:val="Hyperlink"/>
            </w:rPr>
            <w:t xml:space="preserve">Source link</w:t>
          </w:r>
        </w:hyperlink>
      </w:hyperlink>
    </w:p>
    <w:p>
      <w:pPr>
        <w:numPr>
          <w:ilvl w:val="0"/>
          <w:numId w:val="1005"/>
        </w:numPr>
        <w:pStyle w:val="Compact"/>
      </w:pPr>
      <w:r>
        <w:t xml:space="preserve">BLS 2025 OEWS:</w:t>
      </w:r>
      <w:r>
        <w:t xml:space="preserve"> </w:t>
      </w:r>
      <w:hyperlink r:id="rId80">
        <w:hyperlink r:id="rId80">
          <w:r>
            <w:rPr>
              <w:rStyle w:val="Hyperlink"/>
            </w:rPr>
            <w:t xml:space="preserve">Source link</w:t>
          </w:r>
        </w:hyperlink>
      </w:hyperlink>
    </w:p>
    <w:p>
      <w:pPr>
        <w:numPr>
          <w:ilvl w:val="0"/>
          <w:numId w:val="1005"/>
        </w:numPr>
        <w:pStyle w:val="Compact"/>
      </w:pPr>
      <w:r>
        <w:t xml:space="preserve">CareerOneStop WIOA:</w:t>
      </w:r>
      <w:r>
        <w:t xml:space="preserve"> </w:t>
      </w:r>
      <w:hyperlink r:id="rId46">
        <w:hyperlink r:id="rId46">
          <w:r>
            <w:rPr>
              <w:rStyle w:val="Hyperlink"/>
            </w:rPr>
            <w:t xml:space="preserve">Source link</w:t>
          </w:r>
        </w:hyperlink>
      </w:hyperlink>
    </w:p>
    <w:p>
      <w:pPr>
        <w:numPr>
          <w:ilvl w:val="0"/>
          <w:numId w:val="1005"/>
        </w:numPr>
        <w:pStyle w:val="Compact"/>
      </w:pPr>
      <w:r>
        <w:t xml:space="preserve">Apprenticeship.gov:</w:t>
      </w:r>
      <w:r>
        <w:t xml:space="preserve"> </w:t>
      </w:r>
      <w:hyperlink r:id="rId81">
        <w:r>
          <w:rPr>
            <w:rStyle w:val="Hyperlink"/>
          </w:rPr>
          <w:t xml:space="preserve">https://www.apprenticeship.gov/</w:t>
        </w:r>
      </w:hyperlink>
    </w:p>
    <w:p>
      <w:pPr>
        <w:numPr>
          <w:ilvl w:val="0"/>
          <w:numId w:val="1005"/>
        </w:numPr>
        <w:pStyle w:val="Compact"/>
      </w:pPr>
      <w:r>
        <w:t xml:space="preserve">FDA CGMP:</w:t>
      </w:r>
      <w:r>
        <w:t xml:space="preserve"> </w:t>
      </w:r>
      <w:hyperlink r:id="rId82">
        <w:hyperlink r:id="rId82">
          <w:r>
            <w:rPr>
              <w:rStyle w:val="Hyperlink"/>
            </w:rPr>
            <w:t xml:space="preserve">Source link</w:t>
          </w:r>
        </w:hyperlink>
      </w:hyperlink>
    </w:p>
    <w:p>
      <w:pPr>
        <w:numPr>
          <w:ilvl w:val="0"/>
          <w:numId w:val="1005"/>
        </w:numPr>
        <w:pStyle w:val="Compact"/>
      </w:pPr>
      <w:r>
        <w:t xml:space="preserve">FDA Preventive Controls:</w:t>
      </w:r>
      <w:r>
        <w:t xml:space="preserve"> </w:t>
      </w:r>
      <w:hyperlink r:id="rId83">
        <w:hyperlink r:id="rId83">
          <w:r>
            <w:rPr>
              <w:rStyle w:val="Hyperlink"/>
            </w:rPr>
            <w:t xml:space="preserve">Source link</w:t>
          </w:r>
        </w:hyperlink>
      </w:hyperlink>
    </w:p>
    <w:p>
      <w:pPr>
        <w:numPr>
          <w:ilvl w:val="0"/>
          <w:numId w:val="1005"/>
        </w:numPr>
        <w:pStyle w:val="Compact"/>
      </w:pPr>
      <w:r>
        <w:t xml:space="preserve">FDA FSMA:</w:t>
      </w:r>
      <w:r>
        <w:t xml:space="preserve"> </w:t>
      </w:r>
      <w:hyperlink r:id="rId84">
        <w:hyperlink r:id="rId84">
          <w:r>
            <w:rPr>
              <w:rStyle w:val="Hyperlink"/>
            </w:rPr>
            <w:t xml:space="preserve">Source link</w:t>
          </w:r>
        </w:hyperlink>
      </w:hyperlink>
    </w:p>
    <w:p>
      <w:pPr>
        <w:numPr>
          <w:ilvl w:val="0"/>
          <w:numId w:val="1005"/>
        </w:numPr>
        <w:pStyle w:val="Compact"/>
      </w:pPr>
      <w:r>
        <w:t xml:space="preserve">CISA Secure Our World:</w:t>
      </w:r>
      <w:r>
        <w:t xml:space="preserve"> </w:t>
      </w:r>
      <w:hyperlink r:id="rId85">
        <w:r>
          <w:rPr>
            <w:rStyle w:val="Hyperlink"/>
          </w:rPr>
          <w:t xml:space="preserve">https://www.cisa.gov/secure-our-world</w:t>
        </w:r>
      </w:hyperlink>
    </w:p>
    <w:p>
      <w:pPr>
        <w:numPr>
          <w:ilvl w:val="0"/>
          <w:numId w:val="1005"/>
        </w:numPr>
        <w:pStyle w:val="Compact"/>
      </w:pPr>
      <w:r>
        <w:t xml:space="preserve">NIST AI RMF:</w:t>
      </w:r>
      <w:r>
        <w:t xml:space="preserve"> </w:t>
      </w:r>
      <w:hyperlink r:id="rId86">
        <w:hyperlink r:id="rId86">
          <w:r>
            <w:rPr>
              <w:rStyle w:val="Hyperlink"/>
            </w:rPr>
            <w:t xml:space="preserve">Source link</w:t>
          </w:r>
        </w:hyperlink>
      </w:hyperlink>
    </w:p>
    <w:bookmarkEnd w:id="87"/>
    <w:bookmarkStart w:id="92" w:name="canadá"/>
    <w:p>
      <w:pPr>
        <w:pStyle w:val="Heading3"/>
      </w:pPr>
      <w:r>
        <w:t xml:space="preserve">Canadá</w:t>
      </w:r>
    </w:p>
    <w:p>
      <w:pPr>
        <w:numPr>
          <w:ilvl w:val="0"/>
          <w:numId w:val="1006"/>
        </w:numPr>
        <w:pStyle w:val="Compact"/>
      </w:pPr>
      <w:r>
        <w:t xml:space="preserve">Job Bank summary:</w:t>
      </w:r>
      <w:r>
        <w:t xml:space="preserve"> </w:t>
      </w:r>
      <w:hyperlink r:id="rId88">
        <w:hyperlink r:id="rId88">
          <w:r>
            <w:rPr>
              <w:rStyle w:val="Hyperlink"/>
            </w:rPr>
            <w:t xml:space="preserve">Source link</w:t>
          </w:r>
        </w:hyperlink>
      </w:hyperlink>
    </w:p>
    <w:p>
      <w:pPr>
        <w:numPr>
          <w:ilvl w:val="0"/>
          <w:numId w:val="1006"/>
        </w:numPr>
        <w:pStyle w:val="Compact"/>
      </w:pPr>
      <w:r>
        <w:t xml:space="preserve">Job Bank wages:</w:t>
      </w:r>
      <w:r>
        <w:t xml:space="preserve"> </w:t>
      </w:r>
      <w:hyperlink r:id="rId89">
        <w:hyperlink r:id="rId89">
          <w:r>
            <w:rPr>
              <w:rStyle w:val="Hyperlink"/>
            </w:rPr>
            <w:t xml:space="preserve">Source link</w:t>
          </w:r>
        </w:hyperlink>
      </w:hyperlink>
    </w:p>
    <w:p>
      <w:pPr>
        <w:numPr>
          <w:ilvl w:val="0"/>
          <w:numId w:val="1006"/>
        </w:numPr>
        <w:pStyle w:val="Compact"/>
      </w:pPr>
      <w:r>
        <w:t xml:space="preserve">Job Bank requirements:</w:t>
      </w:r>
      <w:r>
        <w:t xml:space="preserve"> </w:t>
      </w:r>
      <w:hyperlink r:id="rId90">
        <w:hyperlink r:id="rId90">
          <w:r>
            <w:rPr>
              <w:rStyle w:val="Hyperlink"/>
            </w:rPr>
            <w:t xml:space="preserve">Source link</w:t>
          </w:r>
        </w:hyperlink>
      </w:hyperlink>
    </w:p>
    <w:p>
      <w:pPr>
        <w:numPr>
          <w:ilvl w:val="0"/>
          <w:numId w:val="1006"/>
        </w:numPr>
        <w:pStyle w:val="Compact"/>
      </w:pPr>
      <w:r>
        <w:t xml:space="preserve">Job Bank outlook:</w:t>
      </w:r>
      <w:r>
        <w:t xml:space="preserve"> </w:t>
      </w:r>
      <w:hyperlink r:id="rId91">
        <w:hyperlink r:id="rId91">
          <w:r>
            <w:rPr>
              <w:rStyle w:val="Hyperlink"/>
            </w:rPr>
            <w:t xml:space="preserve">Source link</w:t>
          </w:r>
        </w:hyperlink>
      </w:hyperlink>
    </w:p>
    <w:p>
      <w:pPr>
        <w:numPr>
          <w:ilvl w:val="0"/>
          <w:numId w:val="1006"/>
        </w:numPr>
        <w:pStyle w:val="Compact"/>
      </w:pPr>
      <w:r>
        <w:t xml:space="preserve">Canada training gateway:</w:t>
      </w:r>
      <w:r>
        <w:t xml:space="preserve"> </w:t>
      </w:r>
      <w:hyperlink r:id="rId50">
        <w:hyperlink r:id="rId50">
          <w:r>
            <w:rPr>
              <w:rStyle w:val="Hyperlink"/>
            </w:rPr>
            <w:t xml:space="preserve">Source link</w:t>
          </w:r>
        </w:hyperlink>
      </w:hyperlink>
    </w:p>
    <w:bookmarkEnd w:id="92"/>
    <w:bookmarkStart w:id="95" w:name="colombia-y-américa-latina"/>
    <w:p>
      <w:pPr>
        <w:pStyle w:val="Heading3"/>
      </w:pPr>
      <w:r>
        <w:t xml:space="preserve">Colombia y América Latina</w:t>
      </w:r>
    </w:p>
    <w:p>
      <w:pPr>
        <w:numPr>
          <w:ilvl w:val="0"/>
          <w:numId w:val="1007"/>
        </w:numPr>
        <w:pStyle w:val="Compact"/>
      </w:pPr>
      <w:r>
        <w:t xml:space="preserve">OCUPACOL CUOC 31160:</w:t>
      </w:r>
      <w:r>
        <w:t xml:space="preserve"> </w:t>
      </w:r>
      <w:hyperlink r:id="rId93">
        <w:hyperlink r:id="rId93">
          <w:r>
            <w:rPr>
              <w:rStyle w:val="Hyperlink"/>
            </w:rPr>
            <w:t xml:space="preserve">Source link</w:t>
          </w:r>
        </w:hyperlink>
      </w:hyperlink>
    </w:p>
    <w:p>
      <w:pPr>
        <w:numPr>
          <w:ilvl w:val="0"/>
          <w:numId w:val="1007"/>
        </w:numPr>
        <w:pStyle w:val="Compact"/>
      </w:pPr>
      <w:r>
        <w:t xml:space="preserve">OCUPACOL CUOC 32573:</w:t>
      </w:r>
      <w:r>
        <w:t xml:space="preserve"> </w:t>
      </w:r>
      <w:hyperlink r:id="rId94">
        <w:hyperlink r:id="rId94">
          <w:r>
            <w:rPr>
              <w:rStyle w:val="Hyperlink"/>
            </w:rPr>
            <w:t xml:space="preserve">Source link</w:t>
          </w:r>
        </w:hyperlink>
      </w:hyperlink>
    </w:p>
    <w:p>
      <w:pPr>
        <w:numPr>
          <w:ilvl w:val="0"/>
          <w:numId w:val="1007"/>
        </w:numPr>
        <w:pStyle w:val="Compact"/>
      </w:pPr>
      <w:r>
        <w:t xml:space="preserve">SENA Control de calidad:</w:t>
      </w:r>
      <w:r>
        <w:t xml:space="preserve"> </w:t>
      </w:r>
      <w:hyperlink r:id="rId53">
        <w:hyperlink r:id="rId53">
          <w:r>
            <w:rPr>
              <w:rStyle w:val="Hyperlink"/>
            </w:rPr>
            <w:t xml:space="preserve">Source link</w:t>
          </w:r>
        </w:hyperlink>
      </w:hyperlink>
    </w:p>
    <w:p>
      <w:pPr>
        <w:numPr>
          <w:ilvl w:val="0"/>
          <w:numId w:val="1007"/>
        </w:numPr>
        <w:pStyle w:val="Compact"/>
      </w:pPr>
      <w:r>
        <w:t xml:space="preserve">SENA Procesamiento y conservación:</w:t>
      </w:r>
      <w:r>
        <w:t xml:space="preserve"> </w:t>
      </w:r>
      <w:hyperlink r:id="rId55">
        <w:hyperlink r:id="rId55">
          <w:r>
            <w:rPr>
              <w:rStyle w:val="Hyperlink"/>
            </w:rPr>
            <w:t xml:space="preserve">Source link</w:t>
          </w:r>
        </w:hyperlink>
      </w:hyperlink>
    </w:p>
    <w:p>
      <w:pPr>
        <w:numPr>
          <w:ilvl w:val="0"/>
          <w:numId w:val="1007"/>
        </w:numPr>
        <w:pStyle w:val="Compact"/>
      </w:pPr>
      <w:r>
        <w:t xml:space="preserve">SENA Protección y conservación:</w:t>
      </w:r>
      <w:r>
        <w:t xml:space="preserve"> </w:t>
      </w:r>
      <w:hyperlink r:id="rId57">
        <w:hyperlink r:id="rId57">
          <w:r>
            <w:rPr>
              <w:rStyle w:val="Hyperlink"/>
            </w:rPr>
            <w:t xml:space="preserve">Source link</w:t>
          </w:r>
        </w:hyperlink>
      </w:hyperlink>
    </w:p>
    <w:p>
      <w:pPr>
        <w:numPr>
          <w:ilvl w:val="0"/>
          <w:numId w:val="1007"/>
        </w:numPr>
        <w:pStyle w:val="Compact"/>
      </w:pPr>
      <w:r>
        <w:t xml:space="preserve">OIT/Cinterfor:</w:t>
      </w:r>
      <w:r>
        <w:t xml:space="preserve"> </w:t>
      </w:r>
      <w:hyperlink r:id="rId60">
        <w:r>
          <w:rPr>
            <w:rStyle w:val="Hyperlink"/>
          </w:rPr>
          <w:t xml:space="preserve">https://www.oitcinterfor.org/</w:t>
        </w:r>
      </w:hyperlink>
    </w:p>
    <w:p>
      <w:pPr>
        <w:numPr>
          <w:ilvl w:val="0"/>
          <w:numId w:val="1007"/>
        </w:numPr>
        <w:pStyle w:val="Compact"/>
      </w:pPr>
      <w:r>
        <w:t xml:space="preserve">OIT/Cinterfor países:</w:t>
      </w:r>
      <w:r>
        <w:t xml:space="preserve"> </w:t>
      </w:r>
      <w:hyperlink r:id="rId61">
        <w:r>
          <w:rPr>
            <w:rStyle w:val="Hyperlink"/>
          </w:rPr>
          <w:t xml:space="preserve">https://www.oitcinterfor.org/statsfp/paises</w:t>
        </w:r>
      </w:hyperlink>
    </w:p>
    <w:bookmarkEnd w:id="95"/>
    <w:bookmarkStart w:id="98" w:name="contexto-privado-actual"/>
    <w:p>
      <w:pPr>
        <w:pStyle w:val="Heading3"/>
      </w:pPr>
      <w:r>
        <w:t xml:space="preserve">Contexto privado actual</w:t>
      </w:r>
    </w:p>
    <w:p>
      <w:pPr>
        <w:numPr>
          <w:ilvl w:val="0"/>
          <w:numId w:val="1008"/>
        </w:numPr>
        <w:pStyle w:val="Compact"/>
      </w:pPr>
      <w:r>
        <w:t xml:space="preserve">ZipRecruiter:</w:t>
      </w:r>
      <w:r>
        <w:t xml:space="preserve"> </w:t>
      </w:r>
      <w:hyperlink r:id="rId96">
        <w:hyperlink r:id="rId96">
          <w:r>
            <w:rPr>
              <w:rStyle w:val="Hyperlink"/>
            </w:rPr>
            <w:t xml:space="preserve">Source link</w:t>
          </w:r>
        </w:hyperlink>
      </w:hyperlink>
    </w:p>
    <w:p>
      <w:pPr>
        <w:numPr>
          <w:ilvl w:val="0"/>
          <w:numId w:val="1008"/>
        </w:numPr>
        <w:pStyle w:val="Compact"/>
      </w:pPr>
      <w:r>
        <w:t xml:space="preserve">Glassdoor:</w:t>
      </w:r>
      <w:r>
        <w:t xml:space="preserve"> </w:t>
      </w:r>
      <w:hyperlink r:id="rId97">
        <w:hyperlink r:id="rId97">
          <w:r>
            <w:rPr>
              <w:rStyle w:val="Hyperlink"/>
            </w:rPr>
            <w:t xml:space="preserve">Source link</w:t>
          </w:r>
        </w:hyperlink>
      </w:hyperlink>
    </w:p>
    <w:bookmarkEnd w:id="98"/>
    <w:bookmarkEnd w:id="99"/>
    <w:bookmarkStart w:id="100" w:name="aviso-importante"/>
    <w:p>
      <w:pPr>
        <w:pStyle w:val="Heading2"/>
      </w:pPr>
      <w:r>
        <w:t xml:space="preserve">Aviso importante</w:t>
      </w:r>
    </w:p>
    <w:p>
      <w:pPr>
        <w:pStyle w:val="FirstParagraph"/>
      </w:pPr>
      <w:r>
        <w:t xml:space="preserve">Esta guía es educativa. No garantiza empleo, ingresos, admisión, financiamiento, plaza de aprendizaje, certificación, cumplimiento regulatorio, inocuidad alimentaria, competencia de laboratorio, cumplimiento de accesibilidad ni ningún otro resultado.</w:t>
      </w:r>
    </w:p>
    <w:p>
      <w:pPr>
        <w:pStyle w:val="BodyText"/>
      </w:pPr>
      <w:r>
        <w:t xml:space="preserve">Los requisitos cambian según empleador, categoría de alimento, laboratorio, jurisdicción y fecha. Verifique decisiones importantes con fuentes oficiales actuales, procedimientos del empleador, métodos validados y profesionales autorizados.</w:t>
      </w:r>
    </w:p>
    <w:p>
      <w:pPr>
        <w:pStyle w:val="BodyText"/>
      </w:pPr>
      <w:r>
        <w:t xml:space="preserve">No se afirma certificación humana independiente, traducción certificada, revisión de acreditación, revisión legal o regulatoria, certificación de inocuidad ni certificación de accesibilidad.</w:t>
      </w:r>
    </w:p>
    <w:bookmarkEnd w:id="100"/>
    <w:bookmarkStart w:id="101" w:name="autoría-y-asistencia-de-ia"/>
    <w:p>
      <w:pPr>
        <w:pStyle w:val="Heading2"/>
      </w:pPr>
      <w:r>
        <w:t xml:space="preserve">Autoría y asistencia de IA</w:t>
      </w:r>
    </w:p>
    <w:p>
      <w:pPr>
        <w:pStyle w:val="FirstParagraph"/>
      </w:pPr>
      <w:r>
        <w:t xml:space="preserve">Creada y dirigida por</w:t>
      </w:r>
      <w:r>
        <w:t xml:space="preserve"> </w:t>
      </w:r>
      <w:r>
        <w:rPr>
          <w:bCs/>
          <w:b/>
        </w:rPr>
        <w:t xml:space="preserve">Alberto “Al” Leiva</w:t>
      </w:r>
      <w:r>
        <w:t xml:space="preserve">. ChatGPT apoyó investigación, organización, edición, asistencia de traducción y preparación documental bajo dirección del autor. El autor conserva la responsabilidad por decisiones editoriales y de publicación.</w:t>
      </w:r>
    </w:p>
    <w:bookmarkEnd w:id="101"/>
    <w:bookmarkStart w:id="102" w:name="licencia"/>
    <w:p>
      <w:pPr>
        <w:pStyle w:val="Heading2"/>
      </w:pPr>
      <w:r>
        <w:t xml:space="preserve">Licencia</w:t>
      </w:r>
    </w:p>
    <w:p>
      <w:pPr>
        <w:pStyle w:val="FirstParagraph"/>
      </w:pPr>
      <w:r>
        <w:t xml:space="preserve">Salvo que un archivo indique lo contrario, este material está bajo licencia</w:t>
      </w:r>
      <w:r>
        <w:t xml:space="preserve"> </w:t>
      </w:r>
      <w:r>
        <w:rPr>
          <w:bCs/>
          <w:b/>
        </w:rPr>
        <w:t xml:space="preserve">CC BY-NC-SA 4.0</w:t>
      </w:r>
      <w:r>
        <w:t xml:space="preserve">.</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etowa.sena.edu.co/oferta/control-de-calidad-en-la-industria-de-alimentos?programId=173734" TargetMode="External" /><Relationship Type="http://schemas.openxmlformats.org/officeDocument/2006/relationships/hyperlink" Id="rId55" Target="https://betowa.sena.edu.co/oferta/procesamiento-y-conservacion-de-alimentos?programId=210256" TargetMode="External" /><Relationship Type="http://schemas.openxmlformats.org/officeDocument/2006/relationships/hyperlink" Id="rId57" Target="https://betowa.sena.edu.co/oferta/proteccion-y-conservacion-de-alimentos?programId=70917" TargetMode="External" /><Relationship Type="http://schemas.openxmlformats.org/officeDocument/2006/relationships/hyperlink" Id="rId93" Target="https://ocupacol.mintrabajo.gov.co/Profile/OccupationalProfile/31160" TargetMode="External" /><Relationship Type="http://schemas.openxmlformats.org/officeDocument/2006/relationships/hyperlink" Id="rId94" Target="https://ocupacol.mintrabajo.gov.co/Profile/OccupationalProfile/32573" TargetMode="External" /><Relationship Type="http://schemas.openxmlformats.org/officeDocument/2006/relationships/hyperlink" Id="rId81" Target="https://www.apprenticeship.gov/" TargetMode="External" /><Relationship Type="http://schemas.openxmlformats.org/officeDocument/2006/relationships/hyperlink" Id="rId80" Target="https://www.bls.gov/news.release/ocwage.t01.htm" TargetMode="External" /><Relationship Type="http://schemas.openxmlformats.org/officeDocument/2006/relationships/hyperlink" Id="rId79" Target="https://www.bls.gov/ooh/life-physical-and-social-science/agricultural-and-food-science-technicians.htm" TargetMode="External" /><Relationship Type="http://schemas.openxmlformats.org/officeDocument/2006/relationships/hyperlink" Id="rId50" Target="https://www.canada.ca/en/services/jobs/training.html"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85" Target="https://www.cisa.gov/secure-our-world" TargetMode="External" /><Relationship Type="http://schemas.openxmlformats.org/officeDocument/2006/relationships/hyperlink" Id="rId82" Target="https://www.ecfr.gov/current/title-21/chapter-I/subchapter-B/part-117/subpart-B" TargetMode="External" /><Relationship Type="http://schemas.openxmlformats.org/officeDocument/2006/relationships/hyperlink" Id="rId83" Target="https://www.ecfr.gov/current/title-21/chapter-I/subchapter-B/part-117/subpart-C" TargetMode="External" /><Relationship Type="http://schemas.openxmlformats.org/officeDocument/2006/relationships/hyperlink" Id="rId97" Target="https://www.glassdoor.com/Salaries/food-science-technician-salary-SRCH_KO0,23.htm" TargetMode="External" /><Relationship Type="http://schemas.openxmlformats.org/officeDocument/2006/relationships/hyperlink" Id="rId84" Target="https://www.govinfo.gov/content/pkg/PLAW-111publ353/pdf/PLAW-111publ353.pdf" TargetMode="External" /><Relationship Type="http://schemas.openxmlformats.org/officeDocument/2006/relationships/hyperlink" Id="rId91" Target="https://www.jobbank.gc.ca/marketreport/outlook-occupation/2942/ca" TargetMode="External" /><Relationship Type="http://schemas.openxmlformats.org/officeDocument/2006/relationships/hyperlink" Id="rId90" Target="https://www.jobbank.gc.ca/marketreport/requirements/2942/ca" TargetMode="External" /><Relationship Type="http://schemas.openxmlformats.org/officeDocument/2006/relationships/hyperlink" Id="rId88" Target="https://www.jobbank.gc.ca/marketreport/summary-occupation/2942/ca" TargetMode="External" /><Relationship Type="http://schemas.openxmlformats.org/officeDocument/2006/relationships/hyperlink" Id="rId89" Target="https://www.jobbank.gc.ca/marketreport/wages-occupation/2942/ca" TargetMode="External" /><Relationship Type="http://schemas.openxmlformats.org/officeDocument/2006/relationships/hyperlink" Id="rId86" Target="https://www.nist.gov/itl/ai-risk-management-framework" TargetMode="External" /><Relationship Type="http://schemas.openxmlformats.org/officeDocument/2006/relationships/hyperlink" Id="rId60" Target="https://www.oitcinterfor.org/" TargetMode="External" /><Relationship Type="http://schemas.openxmlformats.org/officeDocument/2006/relationships/hyperlink" Id="rId61" Target="https://www.oitcinterfor.org/statsfp/paises" TargetMode="External" /><Relationship Type="http://schemas.openxmlformats.org/officeDocument/2006/relationships/hyperlink" Id="rId78" Target="https://www.onetonline.org/link/details/19-4013.00" TargetMode="External" /><Relationship Type="http://schemas.openxmlformats.org/officeDocument/2006/relationships/hyperlink" Id="rId96" Target="https://www.ziprecruiter.com/Salaries/Food-Science-Technician-Salary" TargetMode="External" /></Relationships>
</file>

<file path=word/_rels/footnotes.xml.rels><?xml version="1.0" encoding="UTF-8"?><Relationships xmlns="http://schemas.openxmlformats.org/package/2006/relationships"><Relationship Type="http://schemas.openxmlformats.org/officeDocument/2006/relationships/hyperlink" Id="rId53" Target="https://betowa.sena.edu.co/oferta/control-de-calidad-en-la-industria-de-alimentos?programId=173734" TargetMode="External" /><Relationship Type="http://schemas.openxmlformats.org/officeDocument/2006/relationships/hyperlink" Id="rId55" Target="https://betowa.sena.edu.co/oferta/procesamiento-y-conservacion-de-alimentos?programId=210256" TargetMode="External" /><Relationship Type="http://schemas.openxmlformats.org/officeDocument/2006/relationships/hyperlink" Id="rId57" Target="https://betowa.sena.edu.co/oferta/proteccion-y-conservacion-de-alimentos?programId=70917" TargetMode="External" /><Relationship Type="http://schemas.openxmlformats.org/officeDocument/2006/relationships/hyperlink" Id="rId93" Target="https://ocupacol.mintrabajo.gov.co/Profile/OccupationalProfile/31160" TargetMode="External" /><Relationship Type="http://schemas.openxmlformats.org/officeDocument/2006/relationships/hyperlink" Id="rId94" Target="https://ocupacol.mintrabajo.gov.co/Profile/OccupationalProfile/32573" TargetMode="External" /><Relationship Type="http://schemas.openxmlformats.org/officeDocument/2006/relationships/hyperlink" Id="rId81" Target="https://www.apprenticeship.gov/" TargetMode="External" /><Relationship Type="http://schemas.openxmlformats.org/officeDocument/2006/relationships/hyperlink" Id="rId80" Target="https://www.bls.gov/news.release/ocwage.t01.htm" TargetMode="External" /><Relationship Type="http://schemas.openxmlformats.org/officeDocument/2006/relationships/hyperlink" Id="rId79" Target="https://www.bls.gov/ooh/life-physical-and-social-science/agricultural-and-food-science-technicians.htm" TargetMode="External" /><Relationship Type="http://schemas.openxmlformats.org/officeDocument/2006/relationships/hyperlink" Id="rId50" Target="https://www.canada.ca/en/services/jobs/training.html"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85" Target="https://www.cisa.gov/secure-our-world" TargetMode="External" /><Relationship Type="http://schemas.openxmlformats.org/officeDocument/2006/relationships/hyperlink" Id="rId82" Target="https://www.ecfr.gov/current/title-21/chapter-I/subchapter-B/part-117/subpart-B" TargetMode="External" /><Relationship Type="http://schemas.openxmlformats.org/officeDocument/2006/relationships/hyperlink" Id="rId83" Target="https://www.ecfr.gov/current/title-21/chapter-I/subchapter-B/part-117/subpart-C" TargetMode="External" /><Relationship Type="http://schemas.openxmlformats.org/officeDocument/2006/relationships/hyperlink" Id="rId97" Target="https://www.glassdoor.com/Salaries/food-science-technician-salary-SRCH_KO0,23.htm" TargetMode="External" /><Relationship Type="http://schemas.openxmlformats.org/officeDocument/2006/relationships/hyperlink" Id="rId84" Target="https://www.govinfo.gov/content/pkg/PLAW-111publ353/pdf/PLAW-111publ353.pdf" TargetMode="External" /><Relationship Type="http://schemas.openxmlformats.org/officeDocument/2006/relationships/hyperlink" Id="rId91" Target="https://www.jobbank.gc.ca/marketreport/outlook-occupation/2942/ca" TargetMode="External" /><Relationship Type="http://schemas.openxmlformats.org/officeDocument/2006/relationships/hyperlink" Id="rId90" Target="https://www.jobbank.gc.ca/marketreport/requirements/2942/ca" TargetMode="External" /><Relationship Type="http://schemas.openxmlformats.org/officeDocument/2006/relationships/hyperlink" Id="rId88" Target="https://www.jobbank.gc.ca/marketreport/summary-occupation/2942/ca" TargetMode="External" /><Relationship Type="http://schemas.openxmlformats.org/officeDocument/2006/relationships/hyperlink" Id="rId89" Target="https://www.jobbank.gc.ca/marketreport/wages-occupation/2942/ca" TargetMode="External" /><Relationship Type="http://schemas.openxmlformats.org/officeDocument/2006/relationships/hyperlink" Id="rId86" Target="https://www.nist.gov/itl/ai-risk-management-framework" TargetMode="External" /><Relationship Type="http://schemas.openxmlformats.org/officeDocument/2006/relationships/hyperlink" Id="rId60" Target="https://www.oitcinterfor.org/" TargetMode="External" /><Relationship Type="http://schemas.openxmlformats.org/officeDocument/2006/relationships/hyperlink" Id="rId61" Target="https://www.oitcinterfor.org/statsfp/paises" TargetMode="External" /><Relationship Type="http://schemas.openxmlformats.org/officeDocument/2006/relationships/hyperlink" Id="rId78" Target="https://www.onetonline.org/link/details/19-4013.00" TargetMode="External" /><Relationship Type="http://schemas.openxmlformats.org/officeDocument/2006/relationships/hyperlink" Id="rId96" Target="https://www.ziprecruiter.com/Salaries/Food-Science-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2026-08-23T01:22:25Z</dcterms:created>
  <dcterms:modified xsi:type="dcterms:W3CDTF">2026-08-23T01:22:25Z</dcterms:modified>
</cp:coreProperties>
</file>

<file path=docProps/custom.xml><?xml version="1.0" encoding="utf-8"?>
<Properties xmlns="http://schemas.openxmlformats.org/officeDocument/2006/custom-properties" xmlns:vt="http://schemas.openxmlformats.org/officeDocument/2006/docPropsVTypes"/>
</file>