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1324fbc9eafe1dd9da65dcb7c1b8b61ba3e36bb"/>
    <w:p>
      <w:pPr>
        <w:pStyle w:val="Heading1"/>
      </w:pPr>
      <w:r>
        <w:t xml:space="preserve">Guía 54 — Asistente de Terapia Ocupacional</w:t>
      </w:r>
    </w:p>
    <w:p>
      <w:pPr>
        <w:pStyle w:val="FirstParagraph"/>
      </w:pPr>
      <w:r>
        <w:rPr>
          <w:bCs/>
          <w:b/>
        </w:rPr>
        <w:t xml:space="preserve">Maestro de trabajo controlado en español latinoamericano neutral (es-419) — Versión 1.0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Un asistente de terapia ocupacional (OTA, por sus siglas en inglés) ayuda a los terapeutas ocupacionales a brindar servicios de terapia ocupacional a personas que están desarrollando, recuperando, manteniendo o adaptando las habilidades necesarias para la vida diaria. En Estados Unidos, un OTA puede trabajar con personas de muchas edades en clínicas de rehabilitación, hospitales, centros de enfermería, escuelas, servicios de salud en el hogar, programas comunitarios y otros entornos donde se presta terapia ocupacional.</w:t>
      </w:r>
    </w:p>
    <w:p>
      <w:pPr>
        <w:pStyle w:val="BodyText"/>
      </w:pPr>
      <w:r>
        <w:t xml:space="preserve">Un OTA no es lo mismo que un terapeuta ocupacional y tampoco es lo mismo que un auxiliar o aide de terapia ocupacional. El terapeuta ocupacional evalúa al usuario, establece el plan y los objetivos de terapia ocupacional y realiza otras funciones reservadas por la ley, la regulación, los estándares profesionales y las políticas del empleador. El OTA contribuye a la implementación, observación, documentación, educación y retroalimentación dentro del proceso de terapia ocupacional y dentro de los requisitos de supervisión y alcance que correspondan al entorno y a la jurisdicción.</w:t>
      </w:r>
    </w:p>
    <w:p>
      <w:pPr>
        <w:pStyle w:val="BodyText"/>
      </w:pPr>
      <w:r>
        <w:t xml:space="preserve">Los auxiliares de terapia ocupacional suelen realizar tareas rutinarias de apoyo y no siguen la misma vía de educación acreditada, certificación nacional o regulación estatal que los asistentes de terapia ocupacional.</w:t>
      </w:r>
    </w:p>
    <w:p>
      <w:pPr>
        <w:pStyle w:val="BodyText"/>
      </w:pPr>
      <w:r>
        <w:t xml:space="preserve">Esta guía sirve para explorar y preparar una carrera. Las reglas sobre educación, certificación, licencia, supervisión, alcance, financiamiento y empleo pueden cambiar. Verifica los requisitos aplicables en el lugar donde piensas estudiar y trabajar antes de pagar matrícula, aceptar un empleo o realizar tareas clínicas.</w:t>
      </w:r>
    </w:p>
    <w:bookmarkEnd w:id="20"/>
    <w:bookmarkStart w:id="21" w:name="X0f450f7e54cca42fa577e2831a9803e47cc6baa"/>
    <w:p>
      <w:pPr>
        <w:pStyle w:val="Heading2"/>
      </w:pPr>
      <w:r>
        <w:t xml:space="preserve">Qué puede hacer un asistente de terapia ocupacional</w:t>
      </w:r>
    </w:p>
    <w:p>
      <w:pPr>
        <w:pStyle w:val="FirstParagraph"/>
      </w:pPr>
      <w:r>
        <w:t xml:space="preserve">Las responsabilidades típicas de un OTA pueden incluir:</w:t>
      </w:r>
    </w:p>
    <w:p>
      <w:pPr>
        <w:numPr>
          <w:ilvl w:val="0"/>
          <w:numId w:val="1001"/>
        </w:numPr>
        <w:pStyle w:val="Compact"/>
      </w:pPr>
      <w:r>
        <w:t xml:space="preserve">realizar actividades terapéuticas e intervenciones que formen parte del plan establecido por el terapeuta ocupacional;</w:t>
      </w:r>
    </w:p>
    <w:p>
      <w:pPr>
        <w:numPr>
          <w:ilvl w:val="0"/>
          <w:numId w:val="1001"/>
        </w:numPr>
        <w:pStyle w:val="Compact"/>
      </w:pPr>
      <w:r>
        <w:t xml:space="preserve">ayudar a las personas a practicar actividades de la vida diaria como vestirse, arreglarse, preparar alimentos, realizar tareas del hogar, tareas escolares, actividades relacionadas con el trabajo o participación comunitaria;</w:t>
      </w:r>
    </w:p>
    <w:p>
      <w:pPr>
        <w:numPr>
          <w:ilvl w:val="0"/>
          <w:numId w:val="1001"/>
        </w:numPr>
        <w:pStyle w:val="Compact"/>
      </w:pPr>
      <w:r>
        <w:t xml:space="preserve">guiar ejercicios terapéuticos, actividades funcionales, juego o práctica de tareas dentro del plan aprobado y de la competencia del OTA;</w:t>
      </w:r>
    </w:p>
    <w:p>
      <w:pPr>
        <w:numPr>
          <w:ilvl w:val="0"/>
          <w:numId w:val="1001"/>
        </w:numPr>
        <w:pStyle w:val="Compact"/>
      </w:pPr>
      <w:r>
        <w:t xml:space="preserve">enseñar a las personas a usar equipos adaptativos o estrategias seleccionadas dentro del proceso de terapia ocupacional;</w:t>
      </w:r>
    </w:p>
    <w:p>
      <w:pPr>
        <w:numPr>
          <w:ilvl w:val="0"/>
          <w:numId w:val="1001"/>
        </w:numPr>
        <w:pStyle w:val="Compact"/>
      </w:pPr>
      <w:r>
        <w:t xml:space="preserve">observar la respuesta al tratamiento e informar avances, barreras, dolor, fatiga, cambios de conducta o preocupaciones de seguridad;</w:t>
      </w:r>
    </w:p>
    <w:p>
      <w:pPr>
        <w:numPr>
          <w:ilvl w:val="0"/>
          <w:numId w:val="1001"/>
        </w:numPr>
        <w:pStyle w:val="Compact"/>
      </w:pPr>
      <w:r>
        <w:t xml:space="preserve">documentar los servicios y las respuestas de la persona con precisión y a tiempo;</w:t>
      </w:r>
    </w:p>
    <w:p>
      <w:pPr>
        <w:numPr>
          <w:ilvl w:val="0"/>
          <w:numId w:val="1001"/>
        </w:numPr>
        <w:pStyle w:val="Compact"/>
      </w:pPr>
      <w:r>
        <w:t xml:space="preserve">ayudar a preparar materiales de tratamiento, dispositivos adaptativos, estaciones de actividad o el entorno clínico;</w:t>
      </w:r>
    </w:p>
    <w:p>
      <w:pPr>
        <w:numPr>
          <w:ilvl w:val="0"/>
          <w:numId w:val="1001"/>
        </w:numPr>
        <w:pStyle w:val="Compact"/>
      </w:pPr>
      <w:r>
        <w:t xml:space="preserve">colaborar con terapeutas ocupacionales y otros integrantes del equipo de salud o educación;</w:t>
      </w:r>
    </w:p>
    <w:p>
      <w:pPr>
        <w:numPr>
          <w:ilvl w:val="0"/>
          <w:numId w:val="1001"/>
        </w:numPr>
        <w:pStyle w:val="Compact"/>
      </w:pPr>
      <w:r>
        <w:t xml:space="preserve">reforzar instrucciones de seguridad, programas para el hogar, orientación a cuidadores o instrucciones de aula que estén dentro del plan establecido y del alcance del asistente; y</w:t>
      </w:r>
    </w:p>
    <w:p>
      <w:pPr>
        <w:numPr>
          <w:ilvl w:val="0"/>
          <w:numId w:val="1001"/>
        </w:numPr>
        <w:pStyle w:val="Compact"/>
      </w:pPr>
      <w:r>
        <w:t xml:space="preserve">escalar preguntas que requieran evaluación, modificación del plan, diagnóstico, decisión de alta u otra decisión profesional regulada.</w:t>
      </w:r>
    </w:p>
    <w:p>
      <w:pPr>
        <w:pStyle w:val="FirstParagraph"/>
      </w:pPr>
      <w:r>
        <w:t xml:space="preserve">Las funciones exactas dependen de la ley estatal, del plan y la supervisión del terapeuta ocupacional, del entorno clínico o educativo, de las reglas del pagador, de la política del empleador y de la condición de la persona.</w:t>
      </w:r>
    </w:p>
    <w:bookmarkEnd w:id="21"/>
    <w:bookmarkStart w:id="22" w:name="lo-que-un-ota-no-debe-asumir"/>
    <w:p>
      <w:pPr>
        <w:pStyle w:val="Heading2"/>
      </w:pPr>
      <w:r>
        <w:t xml:space="preserve">Lo que un OTA no debe asumir</w:t>
      </w:r>
    </w:p>
    <w:p>
      <w:pPr>
        <w:pStyle w:val="FirstParagraph"/>
      </w:pPr>
      <w:r>
        <w:t xml:space="preserve">No asumas que la educación de OTA te permite:</w:t>
      </w:r>
    </w:p>
    <w:p>
      <w:pPr>
        <w:numPr>
          <w:ilvl w:val="0"/>
          <w:numId w:val="1002"/>
        </w:numPr>
        <w:pStyle w:val="Compact"/>
      </w:pPr>
      <w:r>
        <w:t xml:space="preserve">diagnosticar de manera independiente una condición médica, del desarrollo, psiquiátrica, neurológica o del desempeño ocupacional;</w:t>
      </w:r>
    </w:p>
    <w:p>
      <w:pPr>
        <w:numPr>
          <w:ilvl w:val="0"/>
          <w:numId w:val="1002"/>
        </w:numPr>
        <w:pStyle w:val="Compact"/>
      </w:pPr>
      <w:r>
        <w:t xml:space="preserve">realizar de manera independiente la evaluación del terapeuta ocupacional o establecer el plan inicial de terapia ocupacional;</w:t>
      </w:r>
    </w:p>
    <w:p>
      <w:pPr>
        <w:numPr>
          <w:ilvl w:val="0"/>
          <w:numId w:val="1002"/>
        </w:numPr>
        <w:pStyle w:val="Compact"/>
      </w:pPr>
      <w:r>
        <w:t xml:space="preserve">establecer o cambiar objetivos de forma independiente fuera de la autoridad permitida por la ley y la supervisión;</w:t>
      </w:r>
    </w:p>
    <w:p>
      <w:pPr>
        <w:numPr>
          <w:ilvl w:val="0"/>
          <w:numId w:val="1002"/>
        </w:numPr>
        <w:pStyle w:val="Compact"/>
      </w:pPr>
      <w:r>
        <w:t xml:space="preserve">dar de alta de manera independiente a una persona cuando esa decisión esté reservada al terapeuta ocupacional;</w:t>
      </w:r>
    </w:p>
    <w:p>
      <w:pPr>
        <w:numPr>
          <w:ilvl w:val="0"/>
          <w:numId w:val="1002"/>
        </w:numPr>
        <w:pStyle w:val="Compact"/>
      </w:pPr>
      <w:r>
        <w:t xml:space="preserve">realizar una intervención, transferencia, modalidad, tarea de férulas, actividad de alimentación, intervención cognitiva u otro procedimiento para el cual no hayas recibido capacitación y autorización;</w:t>
      </w:r>
    </w:p>
    <w:p>
      <w:pPr>
        <w:numPr>
          <w:ilvl w:val="0"/>
          <w:numId w:val="1002"/>
        </w:numPr>
        <w:pStyle w:val="Compact"/>
      </w:pPr>
      <w:r>
        <w:t xml:space="preserve">ignorar las reglas obligatorias de supervisión o documentación;</w:t>
      </w:r>
    </w:p>
    <w:p>
      <w:pPr>
        <w:numPr>
          <w:ilvl w:val="0"/>
          <w:numId w:val="1002"/>
        </w:numPr>
        <w:pStyle w:val="Compact"/>
      </w:pPr>
      <w:r>
        <w:t xml:space="preserve">dar asesoría médica, legal, financiera o de salud mental fuera de tu función profesional; o</w:t>
      </w:r>
    </w:p>
    <w:p>
      <w:pPr>
        <w:numPr>
          <w:ilvl w:val="0"/>
          <w:numId w:val="1002"/>
        </w:numPr>
        <w:pStyle w:val="Compact"/>
      </w:pPr>
      <w:r>
        <w:t xml:space="preserve">presentar una credencial extranjera o de nivel asistente como equivalente al título regulado de terapeuta ocupacional en otra jurisdicción.</w:t>
      </w:r>
    </w:p>
    <w:p>
      <w:pPr>
        <w:pStyle w:val="FirstParagraph"/>
      </w:pPr>
      <w:r>
        <w:t xml:space="preserve">Cuando el alcance no esté claro, detente y verifica con el terapeuta ocupacional supervisor, el empleador y el regulador aplicable.</w:t>
      </w:r>
    </w:p>
    <w:bookmarkEnd w:id="22"/>
    <w:bookmarkStart w:id="23" w:name="entornos-de-trabajo-y-exigencias-físicas"/>
    <w:p>
      <w:pPr>
        <w:pStyle w:val="Heading2"/>
      </w:pPr>
      <w:r>
        <w:t xml:space="preserve">Entornos de trabajo y exigencias físicas</w:t>
      </w:r>
    </w:p>
    <w:p>
      <w:pPr>
        <w:pStyle w:val="FirstParagraph"/>
      </w:pPr>
      <w:r>
        <w:t xml:space="preserve">Los asistentes de terapia ocupacional pueden trabajar en:</w:t>
      </w:r>
    </w:p>
    <w:p>
      <w:pPr>
        <w:numPr>
          <w:ilvl w:val="0"/>
          <w:numId w:val="1003"/>
        </w:numPr>
        <w:pStyle w:val="Compact"/>
      </w:pPr>
      <w:r>
        <w:t xml:space="preserve">consultorios ambulatorios de terapia ocupacional o rehabilitación;</w:t>
      </w:r>
    </w:p>
    <w:p>
      <w:pPr>
        <w:numPr>
          <w:ilvl w:val="0"/>
          <w:numId w:val="1003"/>
        </w:numPr>
        <w:pStyle w:val="Compact"/>
      </w:pPr>
      <w:r>
        <w:t xml:space="preserve">hospitales;</w:t>
      </w:r>
    </w:p>
    <w:p>
      <w:pPr>
        <w:numPr>
          <w:ilvl w:val="0"/>
          <w:numId w:val="1003"/>
        </w:numPr>
        <w:pStyle w:val="Compact"/>
      </w:pPr>
      <w:r>
        <w:t xml:space="preserve">centros de enfermería especializada y cuidados de largo plazo;</w:t>
      </w:r>
    </w:p>
    <w:p>
      <w:pPr>
        <w:numPr>
          <w:ilvl w:val="0"/>
          <w:numId w:val="1003"/>
        </w:numPr>
        <w:pStyle w:val="Compact"/>
      </w:pPr>
      <w:r>
        <w:t xml:space="preserve">servicios de salud en el hogar;</w:t>
      </w:r>
    </w:p>
    <w:p>
      <w:pPr>
        <w:numPr>
          <w:ilvl w:val="0"/>
          <w:numId w:val="1003"/>
        </w:numPr>
        <w:pStyle w:val="Compact"/>
      </w:pPr>
      <w:r>
        <w:t xml:space="preserve">escuelas y programas educativos;</w:t>
      </w:r>
    </w:p>
    <w:p>
      <w:pPr>
        <w:numPr>
          <w:ilvl w:val="0"/>
          <w:numId w:val="1003"/>
        </w:numPr>
        <w:pStyle w:val="Compact"/>
      </w:pPr>
      <w:r>
        <w:t xml:space="preserve">programas de terapia pediátrica;</w:t>
      </w:r>
    </w:p>
    <w:p>
      <w:pPr>
        <w:numPr>
          <w:ilvl w:val="0"/>
          <w:numId w:val="1003"/>
        </w:numPr>
        <w:pStyle w:val="Compact"/>
      </w:pPr>
      <w:r>
        <w:t xml:space="preserve">entornos de salud mental o comunitarios;</w:t>
      </w:r>
    </w:p>
    <w:p>
      <w:pPr>
        <w:numPr>
          <w:ilvl w:val="0"/>
          <w:numId w:val="1003"/>
        </w:numPr>
        <w:pStyle w:val="Compact"/>
      </w:pPr>
      <w:r>
        <w:t xml:space="preserve">centros de rehabilitación;</w:t>
      </w:r>
    </w:p>
    <w:p>
      <w:pPr>
        <w:numPr>
          <w:ilvl w:val="0"/>
          <w:numId w:val="1003"/>
        </w:numPr>
        <w:pStyle w:val="Compact"/>
      </w:pPr>
      <w:r>
        <w:t xml:space="preserve">programas de apoyo a personas con discapacidad; y</w:t>
      </w:r>
    </w:p>
    <w:p>
      <w:pPr>
        <w:numPr>
          <w:ilvl w:val="0"/>
          <w:numId w:val="1003"/>
        </w:numPr>
        <w:pStyle w:val="Compact"/>
      </w:pPr>
      <w:r>
        <w:t xml:space="preserve">otros lugares donde se presten servicios de terapia ocupacional.</w:t>
      </w:r>
    </w:p>
    <w:p>
      <w:pPr>
        <w:pStyle w:val="FirstParagraph"/>
      </w:pPr>
      <w:r>
        <w:t xml:space="preserve">El trabajo puede implicar estar de pie, caminar, inclinarse, arrodillarse, alcanzar objetos, manipular equipos, ayudar con transferencias, proteger a las personas durante actividades de movilidad o funcionales y adaptar el entorno. Algunos puestos incluyen documentación frecuente, uso de computadora, desplazamiento entre usuarios o transporte de materiales de tratamiento.</w:t>
      </w:r>
    </w:p>
    <w:p>
      <w:pPr>
        <w:pStyle w:val="BodyText"/>
      </w:pPr>
      <w:r>
        <w:t xml:space="preserve">La condición física, cognitiva, emocional, sensorial o conductual de una persona puede cambiar inesperadamente. Sigue las técnicas aprobadas de manejo del paciente y pide ayuda cuando una transferencia, una conducta, una tarea de alimentación, una configuración de equipo u otra actividad exceda tu competencia o tus límites físicos seguros.</w:t>
      </w:r>
    </w:p>
    <w:p>
      <w:pPr>
        <w:pStyle w:val="BodyText"/>
      </w:pPr>
      <w:r>
        <w:t xml:space="preserve">Los horarios varían. Hospitales, centros de enfermería especializada, salud en el hogar y algunos entornos ambulatorios o pediátricos pueden requerir noches, fines de semana, viajes, cargas de trabajo variables o expectativas de productividad.</w:t>
      </w:r>
    </w:p>
    <w:bookmarkEnd w:id="23"/>
    <w:bookmarkStart w:id="24" w:name="habilidades-que-valoran-los-empleadores"/>
    <w:p>
      <w:pPr>
        <w:pStyle w:val="Heading2"/>
      </w:pPr>
      <w:r>
        <w:t xml:space="preserve">Habilidades que valoran los empleadores</w:t>
      </w:r>
    </w:p>
    <w:p>
      <w:pPr>
        <w:pStyle w:val="FirstParagraph"/>
      </w:pPr>
      <w:r>
        <w:t xml:space="preserve">Los buenos asistentes de terapia ocupacional suelen desarrollar:</w:t>
      </w:r>
    </w:p>
    <w:p>
      <w:pPr>
        <w:numPr>
          <w:ilvl w:val="0"/>
          <w:numId w:val="1004"/>
        </w:numPr>
        <w:pStyle w:val="Compact"/>
      </w:pPr>
      <w:r>
        <w:t xml:space="preserve">observación cuidadosa y reporte preciso;</w:t>
      </w:r>
    </w:p>
    <w:p>
      <w:pPr>
        <w:numPr>
          <w:ilvl w:val="0"/>
          <w:numId w:val="1004"/>
        </w:numPr>
        <w:pStyle w:val="Compact"/>
      </w:pPr>
      <w:r>
        <w:t xml:space="preserve">comunicación paciente y tranquila;</w:t>
      </w:r>
    </w:p>
    <w:p>
      <w:pPr>
        <w:numPr>
          <w:ilvl w:val="0"/>
          <w:numId w:val="1004"/>
        </w:numPr>
        <w:pStyle w:val="Compact"/>
      </w:pPr>
      <w:r>
        <w:t xml:space="preserve">habilidades prácticas para enseñar y demostrar;</w:t>
      </w:r>
    </w:p>
    <w:p>
      <w:pPr>
        <w:numPr>
          <w:ilvl w:val="0"/>
          <w:numId w:val="1004"/>
        </w:numPr>
        <w:pStyle w:val="Compact"/>
      </w:pPr>
      <w:r>
        <w:t xml:space="preserve">manejo y posicionamiento seguros de pacientes;</w:t>
      </w:r>
    </w:p>
    <w:p>
      <w:pPr>
        <w:numPr>
          <w:ilvl w:val="0"/>
          <w:numId w:val="1004"/>
        </w:numPr>
        <w:pStyle w:val="Compact"/>
      </w:pPr>
      <w:r>
        <w:t xml:space="preserve">empatía sin exceder límites profesionales;</w:t>
      </w:r>
    </w:p>
    <w:p>
      <w:pPr>
        <w:numPr>
          <w:ilvl w:val="0"/>
          <w:numId w:val="1004"/>
        </w:numPr>
        <w:pStyle w:val="Compact"/>
      </w:pPr>
      <w:r>
        <w:t xml:space="preserve">documentación precisa;</w:t>
      </w:r>
    </w:p>
    <w:p>
      <w:pPr>
        <w:numPr>
          <w:ilvl w:val="0"/>
          <w:numId w:val="1004"/>
        </w:numPr>
        <w:pStyle w:val="Compact"/>
      </w:pPr>
      <w:r>
        <w:t xml:space="preserve">trabajo en equipo con terapeutas ocupacionales, enfermeras, médicos, docentes, patólogos del habla y lenguaje, fisioterapeutas, trabajadores sociales, cuidadores y otros profesionales;</w:t>
      </w:r>
    </w:p>
    <w:p>
      <w:pPr>
        <w:numPr>
          <w:ilvl w:val="0"/>
          <w:numId w:val="1004"/>
        </w:numPr>
        <w:pStyle w:val="Compact"/>
      </w:pPr>
      <w:r>
        <w:t xml:space="preserve">conciencia sobre prevención de infecciones;</w:t>
      </w:r>
    </w:p>
    <w:p>
      <w:pPr>
        <w:numPr>
          <w:ilvl w:val="0"/>
          <w:numId w:val="1004"/>
        </w:numPr>
        <w:pStyle w:val="Compact"/>
      </w:pPr>
      <w:r>
        <w:t xml:space="preserve">manejo del tiempo y de la carga de casos;</w:t>
      </w:r>
    </w:p>
    <w:p>
      <w:pPr>
        <w:numPr>
          <w:ilvl w:val="0"/>
          <w:numId w:val="1004"/>
        </w:numPr>
        <w:pStyle w:val="Compact"/>
      </w:pPr>
      <w:r>
        <w:t xml:space="preserve">alfabetización digital básica para historias clínicas electrónicas, programación, sistemas de apoyo a telesalud o sistemas educativos cuando corresponda;</w:t>
      </w:r>
    </w:p>
    <w:p>
      <w:pPr>
        <w:numPr>
          <w:ilvl w:val="0"/>
          <w:numId w:val="1004"/>
        </w:numPr>
        <w:pStyle w:val="Compact"/>
      </w:pPr>
      <w:r>
        <w:t xml:space="preserve">humildad cultural y respeto por los objetivos y rutinas de la persona;</w:t>
      </w:r>
    </w:p>
    <w:p>
      <w:pPr>
        <w:numPr>
          <w:ilvl w:val="0"/>
          <w:numId w:val="1004"/>
        </w:numPr>
        <w:pStyle w:val="Compact"/>
      </w:pPr>
      <w:r>
        <w:t xml:space="preserve">conciencia de barreras sensoriales, cognitivas, físicas, emocionales y ambientales; y</w:t>
      </w:r>
    </w:p>
    <w:p>
      <w:pPr>
        <w:numPr>
          <w:ilvl w:val="0"/>
          <w:numId w:val="1004"/>
        </w:numPr>
        <w:pStyle w:val="Compact"/>
      </w:pPr>
      <w:r>
        <w:t xml:space="preserve">criterio para saber cuándo detenerse y escalar una situación.</w:t>
      </w:r>
    </w:p>
    <w:p>
      <w:pPr>
        <w:pStyle w:val="FirstParagraph"/>
      </w:pPr>
      <w:r>
        <w:t xml:space="preserve">El trabajo también se beneficia de la creatividad. La terapia ocupacional suele utilizar tareas de la vida real y actividades significativas, pero la creatividad debe mantenerse dentro del plan del terapeuta ocupacional, los objetivos del usuario, la evidencia disponible y el alcance autorizado del asistente.</w:t>
      </w:r>
    </w:p>
    <w:bookmarkEnd w:id="24"/>
    <w:bookmarkStart w:id="25" w:name="X5d202e9bcfdedae5c36a10e82509f32f6302832"/>
    <w:p>
      <w:pPr>
        <w:pStyle w:val="Heading2"/>
      </w:pPr>
      <w:r>
        <w:t xml:space="preserve">Educación y vía de entrada — Estados Unidos</w:t>
      </w:r>
    </w:p>
    <w:p>
      <w:pPr>
        <w:pStyle w:val="FirstParagraph"/>
      </w:pPr>
      <w:r>
        <w:t xml:space="preserve">La Oficina de Estadísticas Laborales de Estados Unidos (BLS) indica que los asistentes de terapia ocupacional normalmente necesitan un grado asociado de un programa acreditado de asistente de terapia ocupacional y por lo general necesitan una licencia emitida por el estado.</w:t>
      </w:r>
    </w:p>
    <w:p>
      <w:pPr>
        <w:pStyle w:val="BodyText"/>
      </w:pPr>
      <w:r>
        <w:t xml:space="preserve">El Accreditation Council for Occupational Therapy Education (ACOTE) acredita programas educativos de nivel inicial de terapia ocupacional y de asistente de terapia ocupacional. ACOTE señala que el ingreso a la profesión de OTA puede ocurrir a nivel de grado asociado o licenciatura. El estado de acreditación puede cambiar, por lo que debes verificar la escuela exacta y el programa OTA exacto en el directorio vigente de ACOTE antes de matricularte.</w:t>
      </w:r>
    </w:p>
    <w:p>
      <w:pPr>
        <w:pStyle w:val="BodyText"/>
      </w:pPr>
      <w:r>
        <w:t xml:space="preserve">Una secuencia práctica en Estados Unidos es:</w:t>
      </w:r>
    </w:p>
    <w:p>
      <w:pPr>
        <w:numPr>
          <w:ilvl w:val="0"/>
          <w:numId w:val="1005"/>
        </w:numPr>
        <w:pStyle w:val="Compact"/>
      </w:pPr>
      <w:r>
        <w:t xml:space="preserve">Revisar ofertas locales de OTA y la junta o autoridad reguladora de terapia ocupacional del estado donde planeas trabajar.</w:t>
      </w:r>
    </w:p>
    <w:p>
      <w:pPr>
        <w:numPr>
          <w:ilvl w:val="0"/>
          <w:numId w:val="1005"/>
        </w:numPr>
        <w:pStyle w:val="Compact"/>
      </w:pPr>
      <w:r>
        <w:t xml:space="preserve">Identificar programas OTA acreditados por ACOTE y confirmar el estado de acreditación actual de cada uno.</w:t>
      </w:r>
    </w:p>
    <w:p>
      <w:pPr>
        <w:numPr>
          <w:ilvl w:val="0"/>
          <w:numId w:val="1005"/>
        </w:numPr>
        <w:pStyle w:val="Compact"/>
      </w:pPr>
      <w:r>
        <w:t xml:space="preserve">Comparar requisitos previos, matrícula, cuotas, requisitos de finalización, estructura de prácticas de campo, expectativas de viaje, tasas de graduación, preparación para el examen de certificación y costo total.</w:t>
      </w:r>
    </w:p>
    <w:p>
      <w:pPr>
        <w:numPr>
          <w:ilvl w:val="0"/>
          <w:numId w:val="1005"/>
        </w:numPr>
        <w:pStyle w:val="Compact"/>
      </w:pPr>
      <w:r>
        <w:t xml:space="preserve">Solicitar subvenciones, becas, ayuda federal para estudiantes, financiamiento de fuerza laboral y asistencia del empleador antes de depender de préstamos privados.</w:t>
      </w:r>
    </w:p>
    <w:p>
      <w:pPr>
        <w:numPr>
          <w:ilvl w:val="0"/>
          <w:numId w:val="1005"/>
        </w:numPr>
        <w:pStyle w:val="Compact"/>
      </w:pPr>
      <w:r>
        <w:t xml:space="preserve">Completar la educación académica y las prácticas de campo requeridas.</w:t>
      </w:r>
    </w:p>
    <w:p>
      <w:pPr>
        <w:numPr>
          <w:ilvl w:val="0"/>
          <w:numId w:val="1005"/>
        </w:numPr>
        <w:pStyle w:val="Compact"/>
      </w:pPr>
      <w:r>
        <w:t xml:space="preserve">Cumplir los requisitos de elegibilidad de NBCOT y solicitar el examen de certificación COTA.</w:t>
      </w:r>
    </w:p>
    <w:p>
      <w:pPr>
        <w:numPr>
          <w:ilvl w:val="0"/>
          <w:numId w:val="1005"/>
        </w:numPr>
        <w:pStyle w:val="Compact"/>
      </w:pPr>
      <w:r>
        <w:t xml:space="preserve">Completar el proceso de licencia o regulación estatal requerido en la jurisdicción donde se pretende ejercer.</w:t>
      </w:r>
    </w:p>
    <w:p>
      <w:pPr>
        <w:numPr>
          <w:ilvl w:val="0"/>
          <w:numId w:val="1005"/>
        </w:numPr>
        <w:pStyle w:val="Compact"/>
      </w:pPr>
      <w:r>
        <w:t xml:space="preserve">Mantener certificación, licencia, educación continua, verificaciones de antecedentes, CPR/BLS u otros requisitos aplicables a la jurisdicción y al empleador.</w:t>
      </w:r>
    </w:p>
    <w:p>
      <w:pPr>
        <w:pStyle w:val="FirstParagraph"/>
      </w:pPr>
      <w:r>
        <w:t xml:space="preserve">Graduación, certificación nacional y licencia estatal son pasos relacionados pero distintos. No asumas que completar uno automáticamente completa los demás.</w:t>
      </w:r>
    </w:p>
    <w:bookmarkEnd w:id="25"/>
    <w:bookmarkStart w:id="26" w:name="acreditación-y-verificación-de-programas"/>
    <w:p>
      <w:pPr>
        <w:pStyle w:val="Heading2"/>
      </w:pPr>
      <w:r>
        <w:t xml:space="preserve">Acreditación y verificación de programas</w:t>
      </w:r>
    </w:p>
    <w:p>
      <w:pPr>
        <w:pStyle w:val="FirstParagraph"/>
      </w:pPr>
      <w:r>
        <w:t xml:space="preserve">ACOTE es la agencia de acreditación especializada para programas educativos de terapia ocupacional y de asistentes de terapia ocupacional. Su directorio actual identifica programas y su estado de acreditación.</w:t>
      </w:r>
    </w:p>
    <w:p>
      <w:pPr>
        <w:pStyle w:val="BodyText"/>
      </w:pPr>
      <w:r>
        <w:t xml:space="preserve">Antes de inscribirte, confirma:</w:t>
      </w:r>
    </w:p>
    <w:p>
      <w:pPr>
        <w:numPr>
          <w:ilvl w:val="0"/>
          <w:numId w:val="1006"/>
        </w:numPr>
        <w:pStyle w:val="Compact"/>
      </w:pPr>
      <w:r>
        <w:t xml:space="preserve">el estado actual del programa exacto ante ACOTE;</w:t>
      </w:r>
    </w:p>
    <w:p>
      <w:pPr>
        <w:numPr>
          <w:ilvl w:val="0"/>
          <w:numId w:val="1006"/>
        </w:numPr>
        <w:pStyle w:val="Compact"/>
      </w:pPr>
      <w:r>
        <w:t xml:space="preserve">si el programa es de grado asociado o de licenciatura;</w:t>
      </w:r>
    </w:p>
    <w:p>
      <w:pPr>
        <w:numPr>
          <w:ilvl w:val="0"/>
          <w:numId w:val="1006"/>
        </w:numPr>
        <w:pStyle w:val="Compact"/>
      </w:pPr>
      <w:r>
        <w:t xml:space="preserve">la credencial que se otorga;</w:t>
      </w:r>
    </w:p>
    <w:p>
      <w:pPr>
        <w:numPr>
          <w:ilvl w:val="0"/>
          <w:numId w:val="1006"/>
        </w:numPr>
        <w:pStyle w:val="Compact"/>
      </w:pPr>
      <w:r>
        <w:t xml:space="preserve">si el programa satisface la vía educativa para la jurisdicción donde piensas solicitar licencia;</w:t>
      </w:r>
    </w:p>
    <w:p>
      <w:pPr>
        <w:numPr>
          <w:ilvl w:val="0"/>
          <w:numId w:val="1006"/>
        </w:numPr>
        <w:pStyle w:val="Compact"/>
      </w:pPr>
      <w:r>
        <w:t xml:space="preserve">matrícula y cuotas institucionales obligatorias;</w:t>
      </w:r>
    </w:p>
    <w:p>
      <w:pPr>
        <w:numPr>
          <w:ilvl w:val="0"/>
          <w:numId w:val="1006"/>
        </w:numPr>
        <w:pStyle w:val="Compact"/>
      </w:pPr>
      <w:r>
        <w:t xml:space="preserve">libros, uniformes, materiales de laboratorio, verificaciones de antecedentes, pruebas de drogas, inmunizaciones, CPR/BLS, tecnología, transporte y costos de prácticas de campo;</w:t>
      </w:r>
    </w:p>
    <w:p>
      <w:pPr>
        <w:numPr>
          <w:ilvl w:val="0"/>
          <w:numId w:val="1006"/>
        </w:numPr>
        <w:pStyle w:val="Compact"/>
      </w:pPr>
      <w:r>
        <w:t xml:space="preserve">si las prácticas de campo pueden exigir viajes o cambios de horario;</w:t>
      </w:r>
    </w:p>
    <w:p>
      <w:pPr>
        <w:numPr>
          <w:ilvl w:val="0"/>
          <w:numId w:val="1006"/>
        </w:numPr>
        <w:pStyle w:val="Compact"/>
      </w:pPr>
      <w:r>
        <w:t xml:space="preserve">si el programa publica resultados de graduación y del examen NBCOT;</w:t>
      </w:r>
    </w:p>
    <w:p>
      <w:pPr>
        <w:numPr>
          <w:ilvl w:val="0"/>
          <w:numId w:val="1006"/>
        </w:numPr>
        <w:pStyle w:val="Compact"/>
      </w:pPr>
      <w:r>
        <w:t xml:space="preserve">procedimientos de accesibilidad y adaptaciones para exámenes;</w:t>
      </w:r>
    </w:p>
    <w:p>
      <w:pPr>
        <w:numPr>
          <w:ilvl w:val="0"/>
          <w:numId w:val="1006"/>
        </w:numPr>
        <w:pStyle w:val="Compact"/>
      </w:pPr>
      <w:r>
        <w:t xml:space="preserve">políticas de reembolso y retiro; y</w:t>
      </w:r>
    </w:p>
    <w:p>
      <w:pPr>
        <w:numPr>
          <w:ilvl w:val="0"/>
          <w:numId w:val="1006"/>
        </w:numPr>
        <w:pStyle w:val="Compact"/>
      </w:pPr>
      <w:r>
        <w:t xml:space="preserve">si los créditos se transfieren si posteriormente realizas estudios adicionales.</w:t>
      </w:r>
    </w:p>
    <w:p>
      <w:pPr>
        <w:pStyle w:val="FirstParagraph"/>
      </w:pPr>
      <w:r>
        <w:t xml:space="preserve">No dependas solo del lenguaje publicitario de una escuela. Un programa puede usar términos como terapia ocupacional, rehabilitación, asistente de terapia, ciencias de la salud o salud aliada sin ser un programa OTA acreditado por ACOTE.</w:t>
      </w:r>
    </w:p>
    <w:bookmarkEnd w:id="26"/>
    <w:bookmarkStart w:id="27" w:name="X8629ffd109e824b126bb4c428c5bdd61e502be5"/>
    <w:p>
      <w:pPr>
        <w:pStyle w:val="Heading2"/>
      </w:pPr>
      <w:r>
        <w:t xml:space="preserve">Certificación NBCOT y licencia estatal — Estados Unidos</w:t>
      </w:r>
    </w:p>
    <w:p>
      <w:pPr>
        <w:pStyle w:val="FirstParagraph"/>
      </w:pPr>
      <w:r>
        <w:t xml:space="preserve">El National Board for Certification in Occupational Therapy (NBCOT) administra el examen nacional de certificación para profesionales de terapia ocupacional. Para un candidato COTA formado en Estados Unidos, NBCOT indica que debe graduarse de un programa de asistente de terapia ocupacional acreditado por ACOTE.</w:t>
      </w:r>
    </w:p>
    <w:p>
      <w:pPr>
        <w:pStyle w:val="BodyText"/>
      </w:pPr>
      <w:r>
        <w:t xml:space="preserve">Aprobar el examen NBCOT y cumplir los requisitos de certificación conduce a la credencial</w:t>
      </w:r>
      <w:r>
        <w:t xml:space="preserve"> </w:t>
      </w:r>
      <w:r>
        <w:rPr>
          <w:bCs/>
          <w:b/>
        </w:rPr>
        <w:t xml:space="preserve">Certified Occupational Therapy Assistant (COTA®)</w:t>
      </w:r>
      <w:r>
        <w:t xml:space="preserve">. La certificación no sustituye la licencia estatal. NBCOT indica a los candidatos que cumplan todos los requisitos de la jurisdicción donde pretendan ejercer.</w:t>
      </w:r>
    </w:p>
    <w:p>
      <w:pPr>
        <w:pStyle w:val="BodyText"/>
      </w:pPr>
      <w:r>
        <w:t xml:space="preserve">NBCOT describe la relación profesional OTR/COTA como colaborativa. El terapeuta ocupacional evalúa al usuario, planifica las intervenciones terapéuticas y completa los documentos de alta. El COTA implementa y documenta intervenciones terapéuticas y brinda al terapeuta ocupacional retroalimentación sobre el progreso de la persona.</w:t>
      </w:r>
    </w:p>
    <w:p>
      <w:pPr>
        <w:pStyle w:val="BodyText"/>
      </w:pPr>
      <w:r>
        <w:t xml:space="preserve">Antes de programar el examen de certificación, revisa el manual de examen vigente de NBCOT para conocer:</w:t>
      </w:r>
    </w:p>
    <w:p>
      <w:pPr>
        <w:numPr>
          <w:ilvl w:val="0"/>
          <w:numId w:val="1007"/>
        </w:numPr>
        <w:pStyle w:val="Compact"/>
      </w:pPr>
      <w:r>
        <w:t xml:space="preserve">elegibilidad;</w:t>
      </w:r>
    </w:p>
    <w:p>
      <w:pPr>
        <w:numPr>
          <w:ilvl w:val="0"/>
          <w:numId w:val="1007"/>
        </w:numPr>
        <w:pStyle w:val="Compact"/>
      </w:pPr>
      <w:r>
        <w:t xml:space="preserve">procedimientos de solicitud;</w:t>
      </w:r>
    </w:p>
    <w:p>
      <w:pPr>
        <w:numPr>
          <w:ilvl w:val="0"/>
          <w:numId w:val="1007"/>
        </w:numPr>
        <w:pStyle w:val="Compact"/>
      </w:pPr>
      <w:r>
        <w:t xml:space="preserve">tarifas actuales del examen;</w:t>
      </w:r>
    </w:p>
    <w:p>
      <w:pPr>
        <w:numPr>
          <w:ilvl w:val="0"/>
          <w:numId w:val="1007"/>
        </w:numPr>
        <w:pStyle w:val="Compact"/>
      </w:pPr>
      <w:r>
        <w:t xml:space="preserve">adaptaciones para pruebas;</w:t>
      </w:r>
    </w:p>
    <w:p>
      <w:pPr>
        <w:numPr>
          <w:ilvl w:val="0"/>
          <w:numId w:val="1007"/>
        </w:numPr>
        <w:pStyle w:val="Compact"/>
      </w:pPr>
      <w:r>
        <w:t xml:space="preserve">requisitos de identificación;</w:t>
      </w:r>
    </w:p>
    <w:p>
      <w:pPr>
        <w:numPr>
          <w:ilvl w:val="0"/>
          <w:numId w:val="1007"/>
        </w:numPr>
        <w:pStyle w:val="Compact"/>
      </w:pPr>
      <w:r>
        <w:t xml:space="preserve">reglas de programación y centros de examen;</w:t>
      </w:r>
    </w:p>
    <w:p>
      <w:pPr>
        <w:numPr>
          <w:ilvl w:val="0"/>
          <w:numId w:val="1007"/>
        </w:numPr>
        <w:pStyle w:val="Compact"/>
      </w:pPr>
      <w:r>
        <w:t xml:space="preserve">reglas de reprogramación o cancelación;</w:t>
      </w:r>
    </w:p>
    <w:p>
      <w:pPr>
        <w:numPr>
          <w:ilvl w:val="0"/>
          <w:numId w:val="1007"/>
        </w:numPr>
        <w:pStyle w:val="Compact"/>
      </w:pPr>
      <w:r>
        <w:t xml:space="preserve">reglas para repetir el examen; y</w:t>
      </w:r>
    </w:p>
    <w:p>
      <w:pPr>
        <w:numPr>
          <w:ilvl w:val="0"/>
          <w:numId w:val="1007"/>
        </w:numPr>
        <w:pStyle w:val="Compact"/>
      </w:pPr>
      <w:r>
        <w:t xml:space="preserve">reporte de resultados.</w:t>
      </w:r>
    </w:p>
    <w:p>
      <w:pPr>
        <w:pStyle w:val="FirstParagraph"/>
      </w:pPr>
      <w:r>
        <w:t xml:space="preserve">Luego verifica los requisitos específicos del estado con la junta correspondiente. Estos pueden incluir tarifas de solicitud, verificaciones de antecedentes, requisitos de jurisprudencia, permisos temporales, educación continua, reglas de supervisión y procedimientos de renovación.</w:t>
      </w:r>
    </w:p>
    <w:bookmarkEnd w:id="27"/>
    <w:bookmarkStart w:id="28" w:name="Xa088ca50b3cfb603e627fb10bad5ec5b132d124"/>
    <w:p>
      <w:pPr>
        <w:pStyle w:val="Heading2"/>
      </w:pPr>
      <w:r>
        <w:t xml:space="preserve">Ingresos y perspectivas — datos oficiales de Estados Unidos</w:t>
      </w:r>
    </w:p>
    <w:p>
      <w:pPr>
        <w:pStyle w:val="FirstParagraph"/>
      </w:pPr>
      <w:r>
        <w:t xml:space="preserve">La Oficina de Estadísticas Laborales de Estados Unidos informa lo siguiente para asistentes de terapia ocupacional:</w:t>
      </w:r>
    </w:p>
    <w:p>
      <w:pPr>
        <w:numPr>
          <w:ilvl w:val="0"/>
          <w:numId w:val="1008"/>
        </w:numPr>
        <w:pStyle w:val="Compact"/>
      </w:pPr>
      <w:r>
        <w:rPr>
          <w:bCs/>
          <w:b/>
        </w:rPr>
        <w:t xml:space="preserve">Salario anual mediano, mayo de 2024: USD $68,340</w:t>
      </w:r>
    </w:p>
    <w:p>
      <w:pPr>
        <w:numPr>
          <w:ilvl w:val="0"/>
          <w:numId w:val="1008"/>
        </w:numPr>
        <w:pStyle w:val="Compact"/>
      </w:pPr>
      <w:r>
        <w:rPr>
          <w:bCs/>
          <w:b/>
        </w:rPr>
        <w:t xml:space="preserve">Empleo en 2024: aproximadamente 49,200 puestos OTA</w:t>
      </w:r>
    </w:p>
    <w:p>
      <w:pPr>
        <w:numPr>
          <w:ilvl w:val="0"/>
          <w:numId w:val="1008"/>
        </w:numPr>
        <w:pStyle w:val="Compact"/>
      </w:pPr>
      <w:r>
        <w:rPr>
          <w:bCs/>
          <w:b/>
        </w:rPr>
        <w:t xml:space="preserve">Empleo OTA proyectado en 2034: aproximadamente 58,700 puestos</w:t>
      </w:r>
    </w:p>
    <w:p>
      <w:pPr>
        <w:numPr>
          <w:ilvl w:val="0"/>
          <w:numId w:val="1008"/>
        </w:numPr>
        <w:pStyle w:val="Compact"/>
      </w:pPr>
      <w:r>
        <w:rPr>
          <w:bCs/>
          <w:b/>
        </w:rPr>
        <w:t xml:space="preserve">Crecimiento proyectado del empleo OTA, 2024–2034: 19%</w:t>
      </w:r>
    </w:p>
    <w:p>
      <w:pPr>
        <w:pStyle w:val="FirstParagraph"/>
      </w:pPr>
      <w:r>
        <w:t xml:space="preserve">BLS informa los siguientes salarios anuales medianos de mayo de 2024 en las principales industrias para OTA:</w:t>
      </w:r>
    </w:p>
    <w:p>
      <w:pPr>
        <w:numPr>
          <w:ilvl w:val="0"/>
          <w:numId w:val="1009"/>
        </w:numPr>
        <w:pStyle w:val="Compact"/>
      </w:pPr>
      <w:r>
        <w:t xml:space="preserve">Servicios de salud en el hogar:</w:t>
      </w:r>
      <w:r>
        <w:t xml:space="preserve"> </w:t>
      </w:r>
      <w:r>
        <w:rPr>
          <w:bCs/>
          <w:b/>
        </w:rPr>
        <w:t xml:space="preserve">$76,800</w:t>
      </w:r>
    </w:p>
    <w:p>
      <w:pPr>
        <w:numPr>
          <w:ilvl w:val="0"/>
          <w:numId w:val="1009"/>
        </w:numPr>
        <w:pStyle w:val="Compact"/>
      </w:pPr>
      <w:r>
        <w:t xml:space="preserve">Centros de enfermería:</w:t>
      </w:r>
      <w:r>
        <w:t xml:space="preserve"> </w:t>
      </w:r>
      <w:r>
        <w:rPr>
          <w:bCs/>
          <w:b/>
        </w:rPr>
        <w:t xml:space="preserve">$75,860</w:t>
      </w:r>
    </w:p>
    <w:p>
      <w:pPr>
        <w:numPr>
          <w:ilvl w:val="0"/>
          <w:numId w:val="1009"/>
        </w:numPr>
        <w:pStyle w:val="Compact"/>
      </w:pPr>
      <w:r>
        <w:t xml:space="preserve">Consultorios de terapeutas físicos, ocupacionales y del habla y audiólogos:</w:t>
      </w:r>
      <w:r>
        <w:t xml:space="preserve"> </w:t>
      </w:r>
      <w:r>
        <w:rPr>
          <w:bCs/>
          <w:b/>
        </w:rPr>
        <w:t xml:space="preserve">$65,590</w:t>
      </w:r>
    </w:p>
    <w:p>
      <w:pPr>
        <w:numPr>
          <w:ilvl w:val="0"/>
          <w:numId w:val="1009"/>
        </w:numPr>
        <w:pStyle w:val="Compact"/>
      </w:pPr>
      <w:r>
        <w:t xml:space="preserve">Hospitales:</w:t>
      </w:r>
      <w:r>
        <w:t xml:space="preserve"> </w:t>
      </w:r>
      <w:r>
        <w:rPr>
          <w:bCs/>
          <w:b/>
        </w:rPr>
        <w:t xml:space="preserve">$65,280</w:t>
      </w:r>
    </w:p>
    <w:p>
      <w:pPr>
        <w:numPr>
          <w:ilvl w:val="0"/>
          <w:numId w:val="1009"/>
        </w:numPr>
        <w:pStyle w:val="Compact"/>
      </w:pPr>
      <w:r>
        <w:t xml:space="preserve">Servicios educativos:</w:t>
      </w:r>
      <w:r>
        <w:t xml:space="preserve"> </w:t>
      </w:r>
      <w:r>
        <w:rPr>
          <w:bCs/>
          <w:b/>
        </w:rPr>
        <w:t xml:space="preserve">$59,240</w:t>
      </w:r>
    </w:p>
    <w:p>
      <w:pPr>
        <w:pStyle w:val="FirstParagraph"/>
      </w:pPr>
      <w:r>
        <w:t xml:space="preserve">Son estadísticas nacionales, no salarios iniciales prometidos. El pago real varía según ubicación, experiencia, empleador, horario, horas trabajadas, entorno, situación sindical, ambiente de reembolso y demanda laboral local.</w:t>
      </w:r>
    </w:p>
    <w:bookmarkEnd w:id="28"/>
    <w:bookmarkStart w:id="29" w:name="X47b259a2912a0554aad3b903a2ec2f41f64c689"/>
    <w:p>
      <w:pPr>
        <w:pStyle w:val="Heading2"/>
      </w:pPr>
      <w:r>
        <w:t xml:space="preserve">Estimación salarial privada actual — mantener separada de los datos oficiales</w:t>
      </w:r>
    </w:p>
    <w:p>
      <w:pPr>
        <w:pStyle w:val="FirstParagraph"/>
      </w:pPr>
      <w:r>
        <w:t xml:space="preserve">Salary.com informó un salario promedio en Estados Unidos para Occupational Therapy Assistant de aproximadamente</w:t>
      </w:r>
      <w:r>
        <w:t xml:space="preserve"> </w:t>
      </w:r>
      <w:r>
        <w:rPr>
          <w:bCs/>
          <w:b/>
        </w:rPr>
        <w:t xml:space="preserve">USD $62,501 al año / $30 por hora al 1 de agosto de 2026</w:t>
      </w:r>
      <w:r>
        <w:t xml:space="preserve">, con un rango declarado entre los percentiles 25 y 75 de aproximadamente</w:t>
      </w:r>
      <w:r>
        <w:t xml:space="preserve"> </w:t>
      </w:r>
      <w:r>
        <w:rPr>
          <w:bCs/>
          <w:b/>
        </w:rPr>
        <w:t xml:space="preserve">$56,882–$68,464</w:t>
      </w:r>
      <w:r>
        <w:t xml:space="preserve">.</w:t>
      </w:r>
    </w:p>
    <w:p>
      <w:pPr>
        <w:pStyle w:val="BodyText"/>
      </w:pPr>
      <w:r>
        <w:t xml:space="preserve">Esta es una estimación comercial del mercado, no datos salariales gubernamentales. Manténla separada de la mediana de BLS y no la presentes como salario garantizado.</w:t>
      </w:r>
    </w:p>
    <w:bookmarkEnd w:id="29"/>
    <w:bookmarkStart w:id="31" w:name="X8116655f0a0a787880a30282fe78a4b1382c8b5"/>
    <w:p>
      <w:pPr>
        <w:pStyle w:val="Heading2"/>
      </w:pPr>
      <w:r>
        <w:t xml:space="preserve">Canadá — título relacionado, grupo ocupacional más amplio</w:t>
      </w:r>
    </w:p>
    <w:p>
      <w:pPr>
        <w:pStyle w:val="FirstParagraph"/>
      </w:pPr>
      <w:r>
        <w:t xml:space="preserve">Job Bank de Canadá ubica</w:t>
      </w:r>
      <w:r>
        <w:t xml:space="preserve"> </w:t>
      </w:r>
      <w:r>
        <w:rPr>
          <w:bCs/>
          <w:b/>
        </w:rPr>
        <w:t xml:space="preserve">occupational therapy assistant</w:t>
      </w:r>
      <w:r>
        <w:t xml:space="preserve"> </w:t>
      </w:r>
      <w:r>
        <w:t xml:space="preserve">dentro de</w:t>
      </w:r>
      <w:r>
        <w:t xml:space="preserve"> </w:t>
      </w:r>
      <w:r>
        <w:rPr>
          <w:bCs/>
          <w:b/>
        </w:rPr>
        <w:t xml:space="preserve">NOC 32109 — Other technical occupations in therapy and assessment</w:t>
      </w:r>
      <w:r>
        <w:t xml:space="preserve">. El grupo NOC incluye varias ocupaciones técnicas de terapia y evaluación y puede abarcar trabajadores que asisten a terapeutas ocupacionales, fisioterapeutas, patólogos del habla y lenguaje, audiólogos y otros profesionales.</w:t>
      </w:r>
    </w:p>
    <w:p>
      <w:pPr>
        <w:pStyle w:val="BodyText"/>
      </w:pPr>
      <w:r>
        <w:t xml:space="preserve">Job Bank describe al grupo amplio como uno que normalmente requiere preparación de nivel universitario técnico o aprendizaje, pero ese resumen del grupo no constituye una regla nacional única de credenciales para todos los puestos de asistente de terapia ocupacional.</w:t>
      </w:r>
    </w:p>
    <w:p>
      <w:pPr>
        <w:pStyle w:val="BodyText"/>
      </w:pPr>
      <w:r>
        <w:t xml:space="preserve">Verifica:</w:t>
      </w:r>
    </w:p>
    <w:p>
      <w:pPr>
        <w:numPr>
          <w:ilvl w:val="0"/>
          <w:numId w:val="1010"/>
        </w:numPr>
        <w:pStyle w:val="Compact"/>
      </w:pPr>
      <w:r>
        <w:t xml:space="preserve">los requisitos educativos exactos del empleador;</w:t>
      </w:r>
    </w:p>
    <w:p>
      <w:pPr>
        <w:numPr>
          <w:ilvl w:val="0"/>
          <w:numId w:val="1010"/>
        </w:numPr>
        <w:pStyle w:val="Compact"/>
      </w:pPr>
      <w:r>
        <w:t xml:space="preserve">la provincia o territorio;</w:t>
      </w:r>
    </w:p>
    <w:p>
      <w:pPr>
        <w:numPr>
          <w:ilvl w:val="0"/>
          <w:numId w:val="1010"/>
        </w:numPr>
        <w:pStyle w:val="Compact"/>
      </w:pPr>
      <w:r>
        <w:t xml:space="preserve">si el puesto es exclusivamente OTA, combinado OT/PT assistant, rehabilitation assistant u otra ocupación del NOC 32109;</w:t>
      </w:r>
    </w:p>
    <w:p>
      <w:pPr>
        <w:numPr>
          <w:ilvl w:val="0"/>
          <w:numId w:val="1010"/>
        </w:numPr>
        <w:pStyle w:val="Compact"/>
      </w:pPr>
      <w:r>
        <w:t xml:space="preserve">funciones y supervisión;</w:t>
      </w:r>
    </w:p>
    <w:p>
      <w:pPr>
        <w:numPr>
          <w:ilvl w:val="0"/>
          <w:numId w:val="1010"/>
        </w:numPr>
        <w:pStyle w:val="Compact"/>
      </w:pPr>
      <w:r>
        <w:t xml:space="preserve">si un regulador provincial o el empleador impone requisitos adicionales;</w:t>
      </w:r>
    </w:p>
    <w:p>
      <w:pPr>
        <w:numPr>
          <w:ilvl w:val="0"/>
          <w:numId w:val="1010"/>
        </w:numPr>
        <w:pStyle w:val="Compact"/>
      </w:pPr>
      <w:r>
        <w:t xml:space="preserve">requisitos de idioma; y</w:t>
      </w:r>
    </w:p>
    <w:p>
      <w:pPr>
        <w:numPr>
          <w:ilvl w:val="0"/>
          <w:numId w:val="1010"/>
        </w:numPr>
        <w:pStyle w:val="Compact"/>
      </w:pPr>
      <w:r>
        <w:t xml:space="preserve">autorización de trabajo.</w:t>
      </w:r>
    </w:p>
    <w:p>
      <w:pPr>
        <w:pStyle w:val="FirstParagraph"/>
      </w:pPr>
      <w:r>
        <w:t xml:space="preserve">Una credencial COTA de Estados Unidos no crea automáticamente reconocimiento, licencia, registro ni elegibilidad laboral en Canadá.</w:t>
      </w:r>
    </w:p>
    <w:bookmarkStart w:id="30" w:name="evidencia-salarial-de-canadá"/>
    <w:p>
      <w:pPr>
        <w:pStyle w:val="Heading3"/>
      </w:pPr>
      <w:r>
        <w:t xml:space="preserve">Evidencia salarial de Canadá</w:t>
      </w:r>
    </w:p>
    <w:p>
      <w:pPr>
        <w:pStyle w:val="FirstParagraph"/>
      </w:pPr>
      <w:r>
        <w:t xml:space="preserve">Job Bank del Gobierno de Canadá informa salarios nacionales por hora para occupational therapy assistant / NOC 32109 de:</w:t>
      </w:r>
    </w:p>
    <w:p>
      <w:pPr>
        <w:numPr>
          <w:ilvl w:val="0"/>
          <w:numId w:val="1011"/>
        </w:numPr>
        <w:pStyle w:val="Compact"/>
      </w:pPr>
      <w:r>
        <w:rPr>
          <w:bCs/>
          <w:b/>
        </w:rPr>
        <w:t xml:space="preserve">Bajo: CAD $17.62/hora</w:t>
      </w:r>
    </w:p>
    <w:p>
      <w:pPr>
        <w:numPr>
          <w:ilvl w:val="0"/>
          <w:numId w:val="1011"/>
        </w:numPr>
        <w:pStyle w:val="Compact"/>
      </w:pPr>
      <w:r>
        <w:rPr>
          <w:bCs/>
          <w:b/>
        </w:rPr>
        <w:t xml:space="preserve">Mediano: CAD $26.85/hora</w:t>
      </w:r>
    </w:p>
    <w:p>
      <w:pPr>
        <w:numPr>
          <w:ilvl w:val="0"/>
          <w:numId w:val="1011"/>
        </w:numPr>
        <w:pStyle w:val="Compact"/>
      </w:pPr>
      <w:r>
        <w:rPr>
          <w:bCs/>
          <w:b/>
        </w:rPr>
        <w:t xml:space="preserve">Alto: CAD $36.71/hora</w:t>
      </w:r>
    </w:p>
    <w:p>
      <w:pPr>
        <w:pStyle w:val="FirstParagraph"/>
      </w:pPr>
      <w:r>
        <w:t xml:space="preserve">Job Bank indica que estos salarios se actualizaron el 19 de noviembre de 2025 y usan un periodo de referencia 2023–2024 de la Labour Force Survey. Job Bank también informa que</w:t>
      </w:r>
      <w:r>
        <w:t xml:space="preserve"> </w:t>
      </w:r>
      <w:r>
        <w:rPr>
          <w:bCs/>
          <w:b/>
        </w:rPr>
        <w:t xml:space="preserve">78.8%</w:t>
      </w:r>
      <w:r>
        <w:t xml:space="preserve"> </w:t>
      </w:r>
      <w:r>
        <w:t xml:space="preserve">de los trabajadores del grupo NOC 32109 reciben al menos un beneficio no salarial.</w:t>
      </w:r>
    </w:p>
    <w:p>
      <w:pPr>
        <w:pStyle w:val="BodyText"/>
      </w:pPr>
      <w:r>
        <w:t xml:space="preserve">Las perspectivas varían por región. Job Bank informa una perspectiva</w:t>
      </w:r>
      <w:r>
        <w:t xml:space="preserve"> </w:t>
      </w:r>
      <w:r>
        <w:rPr>
          <w:bCs/>
          <w:b/>
        </w:rPr>
        <w:t xml:space="preserve">Good</w:t>
      </w:r>
      <w:r>
        <w:t xml:space="preserve"> </w:t>
      </w:r>
      <w:r>
        <w:t xml:space="preserve">para NOC 32109 en Ontario para 2025–2027, pero esto no debe generalizarse a todas las provincias, ciudades o títulos exactos.</w:t>
      </w:r>
    </w:p>
    <w:bookmarkEnd w:id="30"/>
    <w:bookmarkEnd w:id="31"/>
    <w:bookmarkStart w:id="32" w:name="X08bbdbd4e7be9986cbd8e9447045ac2f07384d4"/>
    <w:p>
      <w:pPr>
        <w:pStyle w:val="Heading2"/>
      </w:pPr>
      <w:r>
        <w:t xml:space="preserve">Colombia — no traduzcas un OTA estadounidense como el título profesional regulado</w:t>
      </w:r>
    </w:p>
    <w:p>
      <w:pPr>
        <w:pStyle w:val="FirstParagraph"/>
      </w:pPr>
      <w:r>
        <w:t xml:space="preserve">Colombia regula la</w:t>
      </w:r>
      <w:r>
        <w:t xml:space="preserve"> </w:t>
      </w:r>
      <w:r>
        <w:rPr>
          <w:bCs/>
          <w:b/>
        </w:rPr>
        <w:t xml:space="preserve">Terapia Ocupacional</w:t>
      </w:r>
      <w:r>
        <w:t xml:space="preserve"> </w:t>
      </w:r>
      <w:r>
        <w:t xml:space="preserve">como profesión universitaria mediante la</w:t>
      </w:r>
      <w:r>
        <w:t xml:space="preserve"> </w:t>
      </w:r>
      <w:r>
        <w:rPr>
          <w:bCs/>
          <w:b/>
        </w:rPr>
        <w:t xml:space="preserve">Ley 949 de 2005</w:t>
      </w:r>
      <w:r>
        <w:t xml:space="preserve">.</w:t>
      </w:r>
    </w:p>
    <w:p>
      <w:pPr>
        <w:pStyle w:val="BodyText"/>
      </w:pPr>
      <w:r>
        <w:t xml:space="preserve">La ley define la terapia ocupacional como una profesión liberal de formación universitaria y asigna responsabilidades profesionales al</w:t>
      </w:r>
      <w:r>
        <w:t xml:space="preserve"> </w:t>
      </w:r>
      <w:r>
        <w:rPr>
          <w:rStyle w:val="VerbatimChar"/>
        </w:rPr>
        <w:t xml:space="preserve">Terapeuta Ocupacional</w:t>
      </w:r>
      <w:r>
        <w:t xml:space="preserve">. El artículo 22 establece que la valoración, el diagnóstico o la planificación de acciones de terapia ocupacional que involucren usuarios de servicios no pueden ser delegados por el terapeuta ocupacional a técnicos, tecnólogos u otras personas que no sean competentes según la ley. El artículo 35 establece requisitos de título y tarjeta profesional para ejercer legalmente como</w:t>
      </w:r>
      <w:r>
        <w:t xml:space="preserve"> </w:t>
      </w:r>
      <w:r>
        <w:rPr>
          <w:rStyle w:val="VerbatimChar"/>
        </w:rPr>
        <w:t xml:space="preserve">Terapeuta Ocupacional</w:t>
      </w:r>
      <w:r>
        <w:t xml:space="preserve"> </w:t>
      </w:r>
      <w:r>
        <w:t xml:space="preserve">en Colombia, incluida la convalidación cuando corresponda.</w:t>
      </w:r>
    </w:p>
    <w:p>
      <w:pPr>
        <w:pStyle w:val="BodyText"/>
      </w:pPr>
      <w:r>
        <w:t xml:space="preserve">Por lo tanto:</w:t>
      </w:r>
    </w:p>
    <w:p>
      <w:pPr>
        <w:numPr>
          <w:ilvl w:val="0"/>
          <w:numId w:val="1012"/>
        </w:numPr>
        <w:pStyle w:val="Compact"/>
      </w:pPr>
      <w:r>
        <w:t xml:space="preserve">no traduzcas un</w:t>
      </w:r>
      <w:r>
        <w:t xml:space="preserve"> </w:t>
      </w:r>
      <w:r>
        <w:rPr>
          <w:bCs/>
          <w:b/>
        </w:rPr>
        <w:t xml:space="preserve">Occupational Therapy Assistant</w:t>
      </w:r>
      <w:r>
        <w:t xml:space="preserve">,</w:t>
      </w:r>
      <w:r>
        <w:t xml:space="preserve"> </w:t>
      </w:r>
      <w:r>
        <w:rPr>
          <w:bCs/>
          <w:b/>
        </w:rPr>
        <w:t xml:space="preserve">OTA</w:t>
      </w:r>
      <w:r>
        <w:t xml:space="preserve"> </w:t>
      </w:r>
      <w:r>
        <w:t xml:space="preserve">o</w:t>
      </w:r>
      <w:r>
        <w:t xml:space="preserve"> </w:t>
      </w:r>
      <w:r>
        <w:rPr>
          <w:bCs/>
          <w:b/>
        </w:rPr>
        <w:t xml:space="preserve">COTA</w:t>
      </w:r>
      <w:r>
        <w:t xml:space="preserve"> </w:t>
      </w:r>
      <w:r>
        <w:t xml:space="preserve">estadounidense como si la persona fuera un</w:t>
      </w:r>
      <w:r>
        <w:t xml:space="preserve"> </w:t>
      </w:r>
      <w:r>
        <w:rPr>
          <w:bCs/>
          <w:b/>
        </w:rPr>
        <w:t xml:space="preserve">Terapeuta Ocupacional</w:t>
      </w:r>
      <w:r>
        <w:t xml:space="preserve"> </w:t>
      </w:r>
      <w:r>
        <w:t xml:space="preserve">colombiano;</w:t>
      </w:r>
    </w:p>
    <w:p>
      <w:pPr>
        <w:numPr>
          <w:ilvl w:val="0"/>
          <w:numId w:val="1012"/>
        </w:numPr>
        <w:pStyle w:val="Compact"/>
      </w:pPr>
      <w:r>
        <w:t xml:space="preserve">no asumas que una credencial estadounidense de nivel asistente autoriza el alcance profesional colombiano;</w:t>
      </w:r>
    </w:p>
    <w:p>
      <w:pPr>
        <w:numPr>
          <w:ilvl w:val="0"/>
          <w:numId w:val="1012"/>
        </w:numPr>
        <w:pStyle w:val="Compact"/>
      </w:pPr>
      <w:r>
        <w:t xml:space="preserve">no asumas que un programa colombiano técnico, tecnológico, de cuidado, de apoyo a rehabilitación o de apoyo en salud equivale a un programa OTA estadounidense acreditado por ACOTE; y</w:t>
      </w:r>
    </w:p>
    <w:p>
      <w:pPr>
        <w:numPr>
          <w:ilvl w:val="0"/>
          <w:numId w:val="1012"/>
        </w:numPr>
        <w:pStyle w:val="Compact"/>
      </w:pPr>
      <w:r>
        <w:t xml:space="preserve">verifica los requisitos colombianos de educación y ejercicio profesional con las autoridades competentes antes de tomar decisiones de matrícula o práctica.</w:t>
      </w:r>
    </w:p>
    <w:p>
      <w:pPr>
        <w:pStyle w:val="FirstParagraph"/>
      </w:pPr>
      <w:r>
        <w:t xml:space="preserve">Quienes exploren trabajo relacionado con rehabilitación en Colombia deben distinguir entre la profesión universitaria regulada, el trabajo técnico o auxiliar de apoyo, los roles de apoyo a la discapacidad, el apoyo en servicios de salud, el apoyo educativo y los roles de rehabilitación específicos del empleador.</w:t>
      </w:r>
    </w:p>
    <w:bookmarkEnd w:id="32"/>
    <w:bookmarkStart w:id="33" w:name="X02e106ec265eecb56dcafbf5a5bcb554bd9b00e"/>
    <w:p>
      <w:pPr>
        <w:pStyle w:val="Heading2"/>
      </w:pPr>
      <w:r>
        <w:t xml:space="preserve">Exploración de formación pública en Colombia y América Latina</w:t>
      </w:r>
    </w:p>
    <w:p>
      <w:pPr>
        <w:pStyle w:val="FirstParagraph"/>
      </w:pPr>
      <w:r>
        <w:t xml:space="preserve">SENA y el Ministerio de Educación Nacional de Colombia son puntos de partida útiles para explorar educación pública y reconocida. La disponibilidad de programas cambia según región y convocatoria.</w:t>
      </w:r>
    </w:p>
    <w:p>
      <w:pPr>
        <w:pStyle w:val="BodyText"/>
      </w:pPr>
      <w:r>
        <w:t xml:space="preserve">SENA puede ofrecer formación adyacente en áreas como servicios de salud, apoyo a personas con discapacidad, cuidado, actividad física, seguridad y salud en el trabajo, servicios comunitarios u otros campos prácticos. Estos pueden ser carreras válidas por sí mismas, pero no deben promocionarse como la profesión regulada colombiana de terapia ocupacional salvo que la autoridad competente confirme ese estatus.</w:t>
      </w:r>
    </w:p>
    <w:p>
      <w:pPr>
        <w:pStyle w:val="BodyText"/>
      </w:pPr>
      <w:r>
        <w:t xml:space="preserve">En América Latina, títulos como terapeuta ocupacional, asistente de terapia, técnico en rehabilitación, auxiliar de rehabilitación y técnico en salud no tienen un significado legal uniforme. Utiliza ministerios nacionales, servicios públicos de formación, reguladores profesionales, universidades e instituciones de formación reconocidas para verificar cada país por separado.</w:t>
      </w:r>
    </w:p>
    <w:bookmarkEnd w:id="33"/>
    <w:bookmarkStart w:id="37" w:name="X17ae9b6fe8927ec09e47953deef157550ead4ce"/>
    <w:p>
      <w:pPr>
        <w:pStyle w:val="Heading2"/>
      </w:pPr>
      <w:r>
        <w:t xml:space="preserve">Financiamiento gratuito y de bajo costo — Estados Unidos</w:t>
      </w:r>
    </w:p>
    <w:bookmarkStart w:id="34" w:name="wioa-y-american-job-centers"/>
    <w:p>
      <w:pPr>
        <w:pStyle w:val="Heading3"/>
      </w:pPr>
      <w:r>
        <w:t xml:space="preserve">WIOA y American Job Centers</w:t>
      </w:r>
    </w:p>
    <w:p>
      <w:pPr>
        <w:pStyle w:val="FirstParagraph"/>
      </w:pPr>
      <w:r>
        <w:t xml:space="preserve">La Workforce Innovation and Opportunity Act (WIOA) puede apoyar capacitación en habilidades ocupacionales para personas elegibles a través de sistemas estatales y locales de fuerza laboral. El Departamento de Trabajo de Estados Unidos mantiene orientación vigente sobre Eligible Training Providers y programas.</w:t>
      </w:r>
    </w:p>
    <w:p>
      <w:pPr>
        <w:pStyle w:val="BodyText"/>
      </w:pPr>
      <w:r>
        <w:t xml:space="preserve">Si crees que puedes calificar:</w:t>
      </w:r>
    </w:p>
    <w:p>
      <w:pPr>
        <w:numPr>
          <w:ilvl w:val="0"/>
          <w:numId w:val="1013"/>
        </w:numPr>
        <w:pStyle w:val="Compact"/>
      </w:pPr>
      <w:r>
        <w:t xml:space="preserve">Contacta un American Job Center.</w:t>
      </w:r>
    </w:p>
    <w:p>
      <w:pPr>
        <w:numPr>
          <w:ilvl w:val="0"/>
          <w:numId w:val="1013"/>
        </w:numPr>
        <w:pStyle w:val="Compact"/>
      </w:pPr>
      <w:r>
        <w:t xml:space="preserve">Pregunta si el programa OTA exacto aparece en la lista estatal correspondiente de Eligible Training Providers.</w:t>
      </w:r>
    </w:p>
    <w:p>
      <w:pPr>
        <w:numPr>
          <w:ilvl w:val="0"/>
          <w:numId w:val="1013"/>
        </w:numPr>
        <w:pStyle w:val="Compact"/>
      </w:pPr>
      <w:r>
        <w:t xml:space="preserve">Confirma tu elegibilidad personal y los montos o tipos de ayuda disponibles.</w:t>
      </w:r>
    </w:p>
    <w:p>
      <w:pPr>
        <w:numPr>
          <w:ilvl w:val="0"/>
          <w:numId w:val="1013"/>
        </w:numPr>
        <w:pStyle w:val="Compact"/>
      </w:pPr>
      <w:r>
        <w:t xml:space="preserve">Pregunta qué costos pueden cubrirse, como matrícula, libros, transporte, uniformes, exámenes o servicios de apoyo.</w:t>
      </w:r>
    </w:p>
    <w:p>
      <w:pPr>
        <w:numPr>
          <w:ilvl w:val="0"/>
          <w:numId w:val="1013"/>
        </w:numPr>
        <w:pStyle w:val="Compact"/>
      </w:pPr>
      <w:r>
        <w:t xml:space="preserve">Obtén aprobación antes de pagar gastos que esperas que WIOA reembolse.</w:t>
      </w:r>
    </w:p>
    <w:p>
      <w:pPr>
        <w:pStyle w:val="FirstParagraph"/>
      </w:pPr>
      <w:r>
        <w:t xml:space="preserve">Que un programa sea elegible no garantiza que un estudiante determinado reciba financiamiento.</w:t>
      </w:r>
    </w:p>
    <w:bookmarkEnd w:id="34"/>
    <w:bookmarkStart w:id="35" w:name="ayuda-federal-para-estudiantes"/>
    <w:p>
      <w:pPr>
        <w:pStyle w:val="Heading3"/>
      </w:pPr>
      <w:r>
        <w:t xml:space="preserve">Ayuda Federal para Estudiantes</w:t>
      </w:r>
    </w:p>
    <w:p>
      <w:pPr>
        <w:pStyle w:val="FirstParagraph"/>
      </w:pPr>
      <w:r>
        <w:t xml:space="preserve">Utiliza</w:t>
      </w:r>
      <w:r>
        <w:t xml:space="preserve"> </w:t>
      </w:r>
      <w:r>
        <w:rPr>
          <w:bCs/>
          <w:b/>
        </w:rPr>
        <w:t xml:space="preserve">StudentAid.gov</w:t>
      </w:r>
      <w:r>
        <w:t xml:space="preserve"> </w:t>
      </w:r>
      <w:r>
        <w:t xml:space="preserve">para completar FAFSA y verificar las reglas federales actuales de ayuda. Según la elegibilidad y la institución/programa participante, la ayuda puede incluir subvenciones, trabajo-estudio y préstamos federales para estudiantes.</w:t>
      </w:r>
    </w:p>
    <w:p>
      <w:pPr>
        <w:pStyle w:val="BodyText"/>
      </w:pPr>
      <w:r>
        <w:t xml:space="preserve">Antes de pedir prestado:</w:t>
      </w:r>
    </w:p>
    <w:p>
      <w:pPr>
        <w:numPr>
          <w:ilvl w:val="0"/>
          <w:numId w:val="1014"/>
        </w:numPr>
        <w:pStyle w:val="Compact"/>
      </w:pPr>
      <w:r>
        <w:t xml:space="preserve">compara primero subvenciones y becas;</w:t>
      </w:r>
    </w:p>
    <w:p>
      <w:pPr>
        <w:numPr>
          <w:ilvl w:val="0"/>
          <w:numId w:val="1014"/>
        </w:numPr>
        <w:pStyle w:val="Compact"/>
      </w:pPr>
      <w:r>
        <w:t xml:space="preserve">calcula el costo total del programa;</w:t>
      </w:r>
    </w:p>
    <w:p>
      <w:pPr>
        <w:numPr>
          <w:ilvl w:val="0"/>
          <w:numId w:val="1014"/>
        </w:numPr>
        <w:pStyle w:val="Compact"/>
      </w:pPr>
      <w:r>
        <w:t xml:space="preserve">estima costos de viaje y prácticas de campo;</w:t>
      </w:r>
    </w:p>
    <w:p>
      <w:pPr>
        <w:numPr>
          <w:ilvl w:val="0"/>
          <w:numId w:val="1014"/>
        </w:numPr>
        <w:pStyle w:val="Compact"/>
      </w:pPr>
      <w:r>
        <w:t xml:space="preserve">compara préstamos federales con préstamos privados;</w:t>
      </w:r>
    </w:p>
    <w:p>
      <w:pPr>
        <w:numPr>
          <w:ilvl w:val="0"/>
          <w:numId w:val="1014"/>
        </w:numPr>
        <w:pStyle w:val="Compact"/>
      </w:pPr>
      <w:r>
        <w:t xml:space="preserve">entiende intereses y condiciones de pago; y</w:t>
      </w:r>
    </w:p>
    <w:p>
      <w:pPr>
        <w:numPr>
          <w:ilvl w:val="0"/>
          <w:numId w:val="1014"/>
        </w:numPr>
        <w:pStyle w:val="Compact"/>
      </w:pPr>
      <w:r>
        <w:t xml:space="preserve">evita asumir que un futuro salario OTA hará automáticamente asequible cualquier deuda.</w:t>
      </w:r>
    </w:p>
    <w:bookmarkEnd w:id="35"/>
    <w:bookmarkStart w:id="36" w:name="X5c138afceb96a00c0f616f83bb102e4c5dd0ebe"/>
    <w:p>
      <w:pPr>
        <w:pStyle w:val="Heading3"/>
      </w:pPr>
      <w:r>
        <w:t xml:space="preserve">Asistencia del empleador y de la institución educativa</w:t>
      </w:r>
    </w:p>
    <w:p>
      <w:pPr>
        <w:pStyle w:val="FirstParagraph"/>
      </w:pPr>
      <w:r>
        <w:t xml:space="preserve">Pregunta a hospitales, sistemas de rehabilitación, organizaciones de enfermería especializada, proveedores de salud en el hogar, escuelas y grandes prácticas de terapia sobre:</w:t>
      </w:r>
    </w:p>
    <w:p>
      <w:pPr>
        <w:numPr>
          <w:ilvl w:val="0"/>
          <w:numId w:val="1015"/>
        </w:numPr>
        <w:pStyle w:val="Compact"/>
      </w:pPr>
      <w:r>
        <w:t xml:space="preserve">reembolso de matrícula;</w:t>
      </w:r>
    </w:p>
    <w:p>
      <w:pPr>
        <w:numPr>
          <w:ilvl w:val="0"/>
          <w:numId w:val="1015"/>
        </w:numPr>
        <w:pStyle w:val="Compact"/>
      </w:pPr>
      <w:r>
        <w:t xml:space="preserve">becas;</w:t>
      </w:r>
    </w:p>
    <w:p>
      <w:pPr>
        <w:numPr>
          <w:ilvl w:val="0"/>
          <w:numId w:val="1015"/>
        </w:numPr>
        <w:pStyle w:val="Compact"/>
      </w:pPr>
      <w:r>
        <w:t xml:space="preserve">capacitación pagada;</w:t>
      </w:r>
    </w:p>
    <w:p>
      <w:pPr>
        <w:numPr>
          <w:ilvl w:val="0"/>
          <w:numId w:val="1015"/>
        </w:numPr>
        <w:pStyle w:val="Compact"/>
      </w:pPr>
      <w:r>
        <w:t xml:space="preserve">reembolso de CPR/BLS;</w:t>
      </w:r>
    </w:p>
    <w:p>
      <w:pPr>
        <w:numPr>
          <w:ilvl w:val="0"/>
          <w:numId w:val="1015"/>
        </w:numPr>
        <w:pStyle w:val="Compact"/>
      </w:pPr>
      <w:r>
        <w:t xml:space="preserve">alianzas para prácticas de campo;</w:t>
      </w:r>
    </w:p>
    <w:p>
      <w:pPr>
        <w:numPr>
          <w:ilvl w:val="0"/>
          <w:numId w:val="1015"/>
        </w:numPr>
        <w:pStyle w:val="Compact"/>
      </w:pPr>
      <w:r>
        <w:t xml:space="preserve">ayuda para educación continua;</w:t>
      </w:r>
    </w:p>
    <w:p>
      <w:pPr>
        <w:numPr>
          <w:ilvl w:val="0"/>
          <w:numId w:val="1015"/>
        </w:numPr>
        <w:pStyle w:val="Compact"/>
      </w:pPr>
      <w:r>
        <w:t xml:space="preserve">avance interno desde roles de auxiliar o apoyo; y</w:t>
      </w:r>
    </w:p>
    <w:p>
      <w:pPr>
        <w:numPr>
          <w:ilvl w:val="0"/>
          <w:numId w:val="1015"/>
        </w:numPr>
        <w:pStyle w:val="Compact"/>
      </w:pPr>
      <w:r>
        <w:t xml:space="preserve">compromisos de servicio o cláusulas de reembolso.</w:t>
      </w:r>
    </w:p>
    <w:p>
      <w:pPr>
        <w:pStyle w:val="FirstParagraph"/>
      </w:pPr>
      <w:r>
        <w:t xml:space="preserve">Obtén por escrito las obligaciones de reembolso antes de aceptar dinero educativo del empleador.</w:t>
      </w:r>
    </w:p>
    <w:bookmarkEnd w:id="36"/>
    <w:bookmarkEnd w:id="37"/>
    <w:bookmarkStart w:id="38" w:name="financiamiento--canadá"/>
    <w:p>
      <w:pPr>
        <w:pStyle w:val="Heading2"/>
      </w:pPr>
      <w:r>
        <w:t xml:space="preserve">Financiamiento — Canadá</w:t>
      </w:r>
    </w:p>
    <w:p>
      <w:pPr>
        <w:pStyle w:val="FirstParagraph"/>
      </w:pPr>
      <w:r>
        <w:t xml:space="preserve">Government of Canada Student Aid y los programas provinciales o territoriales de ayuda estudiantil pueden ayudar a personas elegibles con costos de educación postsecundaria. Importan las reglas de escuela y programa designados.</w:t>
      </w:r>
    </w:p>
    <w:p>
      <w:pPr>
        <w:pStyle w:val="BodyText"/>
      </w:pPr>
      <w:r>
        <w:t xml:space="preserve">Antes de inscribirte, verifica:</w:t>
      </w:r>
    </w:p>
    <w:p>
      <w:pPr>
        <w:numPr>
          <w:ilvl w:val="0"/>
          <w:numId w:val="1016"/>
        </w:numPr>
        <w:pStyle w:val="Compact"/>
      </w:pPr>
      <w:r>
        <w:t xml:space="preserve">que la escuela/programa sea elegible para la ayuda que piensas usar;</w:t>
      </w:r>
    </w:p>
    <w:p>
      <w:pPr>
        <w:numPr>
          <w:ilvl w:val="0"/>
          <w:numId w:val="1016"/>
        </w:numPr>
        <w:pStyle w:val="Compact"/>
      </w:pPr>
      <w:r>
        <w:t xml:space="preserve">procedimientos provinciales o territoriales de solicitud;</w:t>
      </w:r>
    </w:p>
    <w:p>
      <w:pPr>
        <w:numPr>
          <w:ilvl w:val="0"/>
          <w:numId w:val="1016"/>
        </w:numPr>
        <w:pStyle w:val="Compact"/>
      </w:pPr>
      <w:r>
        <w:t xml:space="preserve">montos de subvenciones y préstamos;</w:t>
      </w:r>
    </w:p>
    <w:p>
      <w:pPr>
        <w:numPr>
          <w:ilvl w:val="0"/>
          <w:numId w:val="1016"/>
        </w:numPr>
        <w:pStyle w:val="Compact"/>
      </w:pPr>
      <w:r>
        <w:t xml:space="preserve">requisitos de residencia y estatus migratorio;</w:t>
      </w:r>
    </w:p>
    <w:p>
      <w:pPr>
        <w:numPr>
          <w:ilvl w:val="0"/>
          <w:numId w:val="1016"/>
        </w:numPr>
        <w:pStyle w:val="Compact"/>
      </w:pPr>
      <w:r>
        <w:t xml:space="preserve">apoyos relacionados con discapacidad; y</w:t>
      </w:r>
    </w:p>
    <w:p>
      <w:pPr>
        <w:numPr>
          <w:ilvl w:val="0"/>
          <w:numId w:val="1016"/>
        </w:numPr>
        <w:pStyle w:val="Compact"/>
      </w:pPr>
      <w:r>
        <w:t xml:space="preserve">cualquier restricción vigente que afecte escuelas privadas o con fines de lucro.</w:t>
      </w:r>
    </w:p>
    <w:p>
      <w:pPr>
        <w:pStyle w:val="FirstParagraph"/>
      </w:pPr>
      <w:r>
        <w:t xml:space="preserve">Pregunta también a las instituciones sobre becas, ayuda para estudiantes adultos, subvenciones de emergencia, financiamiento de accesibilidad y alianzas con empleadores.</w:t>
      </w:r>
    </w:p>
    <w:bookmarkEnd w:id="38"/>
    <w:bookmarkStart w:id="39" w:name="X4e6c1dec54e12a218c6e7e9714fbd66461b8a12"/>
    <w:p>
      <w:pPr>
        <w:pStyle w:val="Heading2"/>
      </w:pPr>
      <w:r>
        <w:t xml:space="preserve">Aprendizaje y formación basada en el trabajo</w:t>
      </w:r>
    </w:p>
    <w:p>
      <w:pPr>
        <w:pStyle w:val="FirstParagraph"/>
      </w:pPr>
      <w:r>
        <w:t xml:space="preserve">No promociones la vía OTA de Estados Unidos como un aprendizaje acelerado. La vía estándar estadounidense es un programa de educación para asistentes de terapia ocupacional acreditado por ACOTE que incluye prácticas de campo obligatorias.</w:t>
      </w:r>
    </w:p>
    <w:p>
      <w:pPr>
        <w:pStyle w:val="BodyText"/>
      </w:pPr>
      <w:r>
        <w:t xml:space="preserve">Las prácticas de campo son aprendizaje profesional supervisado auténtico, pero no son automáticamente un Registered Apprenticeship y no deben describirse como tal salvo que el programa esté formalmente registrado.</w:t>
      </w:r>
    </w:p>
    <w:p>
      <w:pPr>
        <w:pStyle w:val="BodyText"/>
      </w:pPr>
      <w:r>
        <w:t xml:space="preserve">El amplio NOC 32109 de Canadá puede incluir ocupaciones con diferentes rutas de preparación. Verifica el programa y el puesto exactos en lugar de asumir que todos los roles canadienses de OTA comparten una sola estructura de aprendizaje.</w:t>
      </w:r>
    </w:p>
    <w:bookmarkEnd w:id="39"/>
    <w:bookmarkStart w:id="40" w:name="X9933c151834a319b500c148e313fc7b9ea64e37"/>
    <w:p>
      <w:pPr>
        <w:pStyle w:val="Heading2"/>
      </w:pPr>
      <w:r>
        <w:t xml:space="preserve">Plan práctico de exploración de 12 semanas</w:t>
      </w:r>
    </w:p>
    <w:p>
      <w:pPr>
        <w:pStyle w:val="FirstParagraph"/>
      </w:pPr>
      <w:r>
        <w:rPr>
          <w:bCs/>
          <w:b/>
        </w:rPr>
        <w:t xml:space="preserve">Semanas 1–2:</w:t>
      </w:r>
      <w:r>
        <w:t xml:space="preserve"> </w:t>
      </w:r>
      <w:r>
        <w:t xml:space="preserve">Lee 15–20 ofertas locales de OTA. Registra requisitos repetidos: licencia, COTA, CPR/BLS, horario, entorno, experiencia, sistemas de documentación, expectativas de levantamiento/transferencia, pediatría o geriatría y viajes.</w:t>
      </w:r>
    </w:p>
    <w:p>
      <w:pPr>
        <w:pStyle w:val="BodyText"/>
      </w:pPr>
      <w:r>
        <w:rPr>
          <w:bCs/>
          <w:b/>
        </w:rPr>
        <w:t xml:space="preserve">Semanas 3–4:</w:t>
      </w:r>
      <w:r>
        <w:t xml:space="preserve"> </w:t>
      </w:r>
      <w:r>
        <w:t xml:space="preserve">Identifica programas OTA acreditados por ACOTE dentro de una distancia realista de traslado o mudanza. Compara opciones de grado asociado y licenciatura cuando corresponda. Registra costo total, requisitos previos, estructura de prácticas de campo, resultados de finalización y estado actual de acreditación.</w:t>
      </w:r>
    </w:p>
    <w:p>
      <w:pPr>
        <w:pStyle w:val="BodyText"/>
      </w:pPr>
      <w:r>
        <w:rPr>
          <w:bCs/>
          <w:b/>
        </w:rPr>
        <w:t xml:space="preserve">Semanas 5–6:</w:t>
      </w:r>
      <w:r>
        <w:t xml:space="preserve"> </w:t>
      </w:r>
      <w:r>
        <w:t xml:space="preserve">Repasa anatomía, terminología médica, desarrollo humano, psicología básica, comunicación, prevención de infecciones, conceptos de documentación y mecánica corporal segura con recursos gratuitos o de bajo costo. No practiques procedimientos clínicos con pacientes sin instrucción y supervisión autorizadas.</w:t>
      </w:r>
    </w:p>
    <w:p>
      <w:pPr>
        <w:pStyle w:val="BodyText"/>
      </w:pPr>
      <w:r>
        <w:rPr>
          <w:bCs/>
          <w:b/>
        </w:rPr>
        <w:t xml:space="preserve">Semanas 7–8:</w:t>
      </w:r>
      <w:r>
        <w:t xml:space="preserve"> </w:t>
      </w:r>
      <w:r>
        <w:t xml:space="preserve">Completa FAFSA e investiga WIOA, becas, ayudas institucionales, asistencia del empleador y fundaciones locales. Elabora una comparación escrita de costos para al menos tres opciones cuando sea posible.</w:t>
      </w:r>
    </w:p>
    <w:p>
      <w:pPr>
        <w:pStyle w:val="BodyText"/>
      </w:pPr>
      <w:r>
        <w:rPr>
          <w:bCs/>
          <w:b/>
        </w:rPr>
        <w:t xml:space="preserve">Semanas 9–10:</w:t>
      </w:r>
      <w:r>
        <w:t xml:space="preserve"> </w:t>
      </w:r>
      <w:r>
        <w:t xml:space="preserve">Habla con personal de admisiones y profesionales de terapia ocupacional en ejercicio cuando sea posible. Pregunta sobre viajes de prácticas de campo, requisitos nocturnos o de fin de semana, verificaciones de antecedentes, inmunizaciones, CPR/BLS, tecnología, preparación para licencia y exigencias físicas.</w:t>
      </w:r>
    </w:p>
    <w:p>
      <w:pPr>
        <w:pStyle w:val="BodyText"/>
      </w:pPr>
      <w:r>
        <w:rPr>
          <w:bCs/>
          <w:b/>
        </w:rPr>
        <w:t xml:space="preserve">Semanas 11–12:</w:t>
      </w:r>
      <w:r>
        <w:t xml:space="preserve"> </w:t>
      </w:r>
      <w:r>
        <w:t xml:space="preserve">Confirma requisitos de NBCOT y licencia estatal. Decide si el contacto con usuarios, las exigencias emocionales y físicas, el costo educativo, el horario y la compensación local se ajustan a tus metas y circunstancias.</w:t>
      </w:r>
    </w:p>
    <w:bookmarkEnd w:id="40"/>
    <w:bookmarkStart w:id="41" w:name="X35b190081b86730d7071c82a5220c9394678e3c"/>
    <w:p>
      <w:pPr>
        <w:pStyle w:val="Heading2"/>
      </w:pPr>
      <w:r>
        <w:t xml:space="preserve">Construir experiencia antes de convertirse en OTA</w:t>
      </w:r>
    </w:p>
    <w:p>
      <w:pPr>
        <w:pStyle w:val="FirstParagraph"/>
      </w:pPr>
      <w:r>
        <w:t xml:space="preserve">Dependiendo de la ley local y la política del empleador, la exposición útil puede provenir de roles que no son OTA, como:</w:t>
      </w:r>
    </w:p>
    <w:p>
      <w:pPr>
        <w:numPr>
          <w:ilvl w:val="0"/>
          <w:numId w:val="1017"/>
        </w:numPr>
        <w:pStyle w:val="Compact"/>
      </w:pPr>
      <w:r>
        <w:t xml:space="preserve">auxiliar de terapia ocupacional;</w:t>
      </w:r>
    </w:p>
    <w:p>
      <w:pPr>
        <w:numPr>
          <w:ilvl w:val="0"/>
          <w:numId w:val="1017"/>
        </w:numPr>
        <w:pStyle w:val="Compact"/>
      </w:pPr>
      <w:r>
        <w:t xml:space="preserve">auxiliar o técnico de rehabilitación;</w:t>
      </w:r>
    </w:p>
    <w:p>
      <w:pPr>
        <w:numPr>
          <w:ilvl w:val="0"/>
          <w:numId w:val="1017"/>
        </w:numPr>
        <w:pStyle w:val="Compact"/>
      </w:pPr>
      <w:r>
        <w:t xml:space="preserve">apoyo al cuidado del paciente;</w:t>
      </w:r>
    </w:p>
    <w:p>
      <w:pPr>
        <w:numPr>
          <w:ilvl w:val="0"/>
          <w:numId w:val="1017"/>
        </w:numPr>
        <w:pStyle w:val="Compact"/>
      </w:pPr>
      <w:r>
        <w:t xml:space="preserve">asistente de enfermería;</w:t>
      </w:r>
    </w:p>
    <w:p>
      <w:pPr>
        <w:numPr>
          <w:ilvl w:val="0"/>
          <w:numId w:val="1017"/>
        </w:numPr>
        <w:pStyle w:val="Compact"/>
      </w:pPr>
      <w:r>
        <w:t xml:space="preserve">cuidador o trabajador de apoyo a personas con discapacidad;</w:t>
      </w:r>
    </w:p>
    <w:p>
      <w:pPr>
        <w:numPr>
          <w:ilvl w:val="0"/>
          <w:numId w:val="1017"/>
        </w:numPr>
        <w:pStyle w:val="Compact"/>
      </w:pPr>
      <w:r>
        <w:t xml:space="preserve">asistente de actividades en atención a adultos mayores;</w:t>
      </w:r>
    </w:p>
    <w:p>
      <w:pPr>
        <w:numPr>
          <w:ilvl w:val="0"/>
          <w:numId w:val="1017"/>
        </w:numPr>
        <w:pStyle w:val="Compact"/>
      </w:pPr>
      <w:r>
        <w:t xml:space="preserve">apoyo en aula escolar;</w:t>
      </w:r>
    </w:p>
    <w:p>
      <w:pPr>
        <w:numPr>
          <w:ilvl w:val="0"/>
          <w:numId w:val="1017"/>
        </w:numPr>
        <w:pStyle w:val="Compact"/>
      </w:pPr>
      <w:r>
        <w:t xml:space="preserve">roles de apoyo en salud conductual;</w:t>
      </w:r>
    </w:p>
    <w:p>
      <w:pPr>
        <w:numPr>
          <w:ilvl w:val="0"/>
          <w:numId w:val="1017"/>
        </w:numPr>
        <w:pStyle w:val="Compact"/>
      </w:pPr>
      <w:r>
        <w:t xml:space="preserve">recepcionista o programador en salud; o</w:t>
      </w:r>
    </w:p>
    <w:p>
      <w:pPr>
        <w:numPr>
          <w:ilvl w:val="0"/>
          <w:numId w:val="1017"/>
        </w:numPr>
        <w:pStyle w:val="Compact"/>
      </w:pPr>
      <w:r>
        <w:t xml:space="preserve">voluntariado supervisado en programas de discapacidad, envejecimiento, pediatría o rehabilitación.</w:t>
      </w:r>
    </w:p>
    <w:p>
      <w:pPr>
        <w:pStyle w:val="FirstParagraph"/>
      </w:pPr>
      <w:r>
        <w:t xml:space="preserve">No describas trabajo de apoyo como experiencia OTA con licencia o certificación si no lo fue.</w:t>
      </w:r>
    </w:p>
    <w:bookmarkEnd w:id="41"/>
    <w:bookmarkStart w:id="42" w:name="progresión-profesional"/>
    <w:p>
      <w:pPr>
        <w:pStyle w:val="Heading2"/>
      </w:pPr>
      <w:r>
        <w:t xml:space="preserve">Progresión profesional</w:t>
      </w:r>
    </w:p>
    <w:p>
      <w:pPr>
        <w:pStyle w:val="FirstParagraph"/>
      </w:pPr>
      <w:r>
        <w:t xml:space="preserve">Un OTA puede desarrollar experiencia profunda en geriatría, pediatría, escuelas, rehabilitación física, rehabilitación neurológica, salud mental, salud en el hogar, enfermería especializada, apoyo en terapia de mano o práctica comunitaria cuando esté permitido y adecuadamente supervisado.</w:t>
      </w:r>
    </w:p>
    <w:p>
      <w:pPr>
        <w:pStyle w:val="BodyText"/>
      </w:pPr>
      <w:r>
        <w:t xml:space="preserve">Los OTA con experiencia también pueden avanzar hacia:</w:t>
      </w:r>
    </w:p>
    <w:p>
      <w:pPr>
        <w:numPr>
          <w:ilvl w:val="0"/>
          <w:numId w:val="1018"/>
        </w:numPr>
        <w:pStyle w:val="Compact"/>
      </w:pPr>
      <w:r>
        <w:t xml:space="preserve">responsabilidades de liderazgo o coordinación;</w:t>
      </w:r>
    </w:p>
    <w:p>
      <w:pPr>
        <w:numPr>
          <w:ilvl w:val="0"/>
          <w:numId w:val="1018"/>
        </w:numPr>
        <w:pStyle w:val="Compact"/>
      </w:pPr>
      <w:r>
        <w:t xml:space="preserve">apoyo a educación de campo;</w:t>
      </w:r>
    </w:p>
    <w:p>
      <w:pPr>
        <w:numPr>
          <w:ilvl w:val="0"/>
          <w:numId w:val="1018"/>
        </w:numPr>
        <w:pStyle w:val="Compact"/>
      </w:pPr>
      <w:r>
        <w:t xml:space="preserve">operaciones de rehabilitación;</w:t>
      </w:r>
    </w:p>
    <w:p>
      <w:pPr>
        <w:numPr>
          <w:ilvl w:val="0"/>
          <w:numId w:val="1018"/>
        </w:numPr>
        <w:pStyle w:val="Compact"/>
      </w:pPr>
      <w:r>
        <w:t xml:space="preserve">apoyo de calidad o documentación;</w:t>
      </w:r>
    </w:p>
    <w:p>
      <w:pPr>
        <w:numPr>
          <w:ilvl w:val="0"/>
          <w:numId w:val="1018"/>
        </w:numPr>
        <w:pStyle w:val="Compact"/>
      </w:pPr>
      <w:r>
        <w:t xml:space="preserve">apoyo en tecnología asistiva;</w:t>
      </w:r>
    </w:p>
    <w:p>
      <w:pPr>
        <w:numPr>
          <w:ilvl w:val="0"/>
          <w:numId w:val="1018"/>
        </w:numPr>
        <w:pStyle w:val="Compact"/>
      </w:pPr>
      <w:r>
        <w:t xml:space="preserve">servicios para personas con discapacidad;</w:t>
      </w:r>
    </w:p>
    <w:p>
      <w:pPr>
        <w:numPr>
          <w:ilvl w:val="0"/>
          <w:numId w:val="1018"/>
        </w:numPr>
        <w:pStyle w:val="Compact"/>
      </w:pPr>
      <w:r>
        <w:t xml:space="preserve">capacitación en salud; o</w:t>
      </w:r>
    </w:p>
    <w:p>
      <w:pPr>
        <w:numPr>
          <w:ilvl w:val="0"/>
          <w:numId w:val="1018"/>
        </w:numPr>
        <w:pStyle w:val="Compact"/>
      </w:pPr>
      <w:r>
        <w:t xml:space="preserve">educación adicional.</w:t>
      </w:r>
    </w:p>
    <w:p>
      <w:pPr>
        <w:pStyle w:val="FirstParagraph"/>
      </w:pPr>
      <w:r>
        <w:t xml:space="preserve">Convertirse en terapeuta ocupacional requiere una vía separada de educación profesional y credenciales. La experiencia OTA es valiosa, pero no se convierte por sí sola en licencia de terapeuta ocupacional.</w:t>
      </w:r>
    </w:p>
    <w:bookmarkEnd w:id="42"/>
    <w:bookmarkStart w:id="43" w:name="seguridad-del-usuario-y-escalamiento"/>
    <w:p>
      <w:pPr>
        <w:pStyle w:val="Heading2"/>
      </w:pPr>
      <w:r>
        <w:t xml:space="preserve">Seguridad del usuario y escalamiento</w:t>
      </w:r>
    </w:p>
    <w:p>
      <w:pPr>
        <w:pStyle w:val="FirstParagraph"/>
      </w:pPr>
      <w:r>
        <w:t xml:space="preserve">La seguridad de la persona tiene prioridad sobre productividad, horario o conveniencia. Sigue el plan del terapeuta ocupacional, los requisitos de supervisión, los procedimientos del establecimiento y tu capacitación.</w:t>
      </w:r>
    </w:p>
    <w:p>
      <w:pPr>
        <w:pStyle w:val="BodyText"/>
      </w:pPr>
      <w:r>
        <w:t xml:space="preserve">Detente y escala conforme a la política ante preocupaciones como:</w:t>
      </w:r>
    </w:p>
    <w:p>
      <w:pPr>
        <w:numPr>
          <w:ilvl w:val="0"/>
          <w:numId w:val="1019"/>
        </w:numPr>
        <w:pStyle w:val="Compact"/>
      </w:pPr>
      <w:r>
        <w:t xml:space="preserve">dolor de pecho, dificultad respiratoria grave, desmayo, debilidad súbita o signos de una emergencia médica;</w:t>
      </w:r>
    </w:p>
    <w:p>
      <w:pPr>
        <w:numPr>
          <w:ilvl w:val="0"/>
          <w:numId w:val="1019"/>
        </w:numPr>
        <w:pStyle w:val="Compact"/>
      </w:pPr>
      <w:r>
        <w:t xml:space="preserve">una caída o casi caída;</w:t>
      </w:r>
    </w:p>
    <w:p>
      <w:pPr>
        <w:numPr>
          <w:ilvl w:val="0"/>
          <w:numId w:val="1019"/>
        </w:numPr>
        <w:pStyle w:val="Compact"/>
      </w:pPr>
      <w:r>
        <w:t xml:space="preserve">dolor intenso nuevo;</w:t>
      </w:r>
    </w:p>
    <w:p>
      <w:pPr>
        <w:numPr>
          <w:ilvl w:val="0"/>
          <w:numId w:val="1019"/>
        </w:numPr>
        <w:pStyle w:val="Compact"/>
      </w:pPr>
      <w:r>
        <w:t xml:space="preserve">cambios significativos de cognición, alerta, conducta o función neurológica;</w:t>
      </w:r>
    </w:p>
    <w:p>
      <w:pPr>
        <w:numPr>
          <w:ilvl w:val="0"/>
          <w:numId w:val="1019"/>
        </w:numPr>
        <w:pStyle w:val="Compact"/>
      </w:pPr>
      <w:r>
        <w:t xml:space="preserve">expresiones suicidas o violentas u otros riesgos urgentes de salud conductual;</w:t>
      </w:r>
    </w:p>
    <w:p>
      <w:pPr>
        <w:numPr>
          <w:ilvl w:val="0"/>
          <w:numId w:val="1019"/>
        </w:numPr>
        <w:pStyle w:val="Compact"/>
      </w:pPr>
      <w:r>
        <w:t xml:space="preserve">sospecha de abuso, negligencia, explotación o condiciones de vida inseguras;</w:t>
      </w:r>
    </w:p>
    <w:p>
      <w:pPr>
        <w:numPr>
          <w:ilvl w:val="0"/>
          <w:numId w:val="1019"/>
        </w:numPr>
        <w:pStyle w:val="Compact"/>
      </w:pPr>
      <w:r>
        <w:t xml:space="preserve">preocupaciones de deglución, atragantamiento, alimentación, aspiración o respiración durante una actividad;</w:t>
      </w:r>
    </w:p>
    <w:p>
      <w:pPr>
        <w:numPr>
          <w:ilvl w:val="0"/>
          <w:numId w:val="1019"/>
        </w:numPr>
        <w:pStyle w:val="Compact"/>
      </w:pPr>
      <w:r>
        <w:t xml:space="preserve">lesión de piel, áreas de presión, quemaduras o lesión relacionada con dispositivos;</w:t>
      </w:r>
    </w:p>
    <w:p>
      <w:pPr>
        <w:numPr>
          <w:ilvl w:val="0"/>
          <w:numId w:val="1019"/>
        </w:numPr>
        <w:pStyle w:val="Compact"/>
      </w:pPr>
      <w:r>
        <w:t xml:space="preserve">falla de equipo;</w:t>
      </w:r>
    </w:p>
    <w:p>
      <w:pPr>
        <w:numPr>
          <w:ilvl w:val="0"/>
          <w:numId w:val="1019"/>
        </w:numPr>
        <w:pStyle w:val="Compact"/>
      </w:pPr>
      <w:r>
        <w:t xml:space="preserve">una transferencia o tarea que no pueda realizarse de manera segura;</w:t>
      </w:r>
    </w:p>
    <w:p>
      <w:pPr>
        <w:numPr>
          <w:ilvl w:val="0"/>
          <w:numId w:val="1019"/>
        </w:numPr>
        <w:pStyle w:val="Compact"/>
      </w:pPr>
      <w:r>
        <w:t xml:space="preserve">una solicitud del usuario que esté fuera del plan o de tu alcance; o</w:t>
      </w:r>
    </w:p>
    <w:p>
      <w:pPr>
        <w:numPr>
          <w:ilvl w:val="0"/>
          <w:numId w:val="1019"/>
        </w:numPr>
        <w:pStyle w:val="Compact"/>
      </w:pPr>
      <w:r>
        <w:t xml:space="preserve">cualquier situación que según tu capacitación requiera al terapeuta ocupacional, enfermera, médico, servicios de emergencia, proceso de protección u otro profesional.</w:t>
      </w:r>
    </w:p>
    <w:p>
      <w:pPr>
        <w:pStyle w:val="FirstParagraph"/>
      </w:pPr>
      <w:r>
        <w:t xml:space="preserve">No improvises fuera de tu competencia cuando la seguridad sea incierta.</w:t>
      </w:r>
    </w:p>
    <w:bookmarkEnd w:id="43"/>
    <w:bookmarkStart w:id="44" w:name="Xddf60bb7515e6045f91dc2ab2d2c5e22bf986b6"/>
    <w:p>
      <w:pPr>
        <w:pStyle w:val="Heading2"/>
      </w:pPr>
      <w:r>
        <w:t xml:space="preserve">Privacidad, documentación y ciberseguridad</w:t>
      </w:r>
    </w:p>
    <w:p>
      <w:pPr>
        <w:pStyle w:val="FirstParagraph"/>
      </w:pPr>
      <w:r>
        <w:t xml:space="preserve">Los asistentes de terapia ocupacional pueden manejar información sensible de salud, educación, discapacidad, contacto, seguros, programación y otros datos.</w:t>
      </w:r>
    </w:p>
    <w:p>
      <w:pPr>
        <w:pStyle w:val="BodyText"/>
      </w:pPr>
      <w:r>
        <w:t xml:space="preserve">Utiliza solo sistemas aprobados y sigue las reglas de privacidad que correspondan a tu organización y jurisdicción. Buenas prácticas incluyen:</w:t>
      </w:r>
    </w:p>
    <w:p>
      <w:pPr>
        <w:numPr>
          <w:ilvl w:val="0"/>
          <w:numId w:val="1020"/>
        </w:numPr>
        <w:pStyle w:val="Compact"/>
      </w:pPr>
      <w:r>
        <w:t xml:space="preserve">confirmar identidad antes de discutir información protegida;</w:t>
      </w:r>
    </w:p>
    <w:p>
      <w:pPr>
        <w:numPr>
          <w:ilvl w:val="0"/>
          <w:numId w:val="1020"/>
        </w:numPr>
        <w:pStyle w:val="Compact"/>
      </w:pPr>
      <w:r>
        <w:t xml:space="preserve">usar únicamente sistemas aprobados de historia clínica electrónica, educación, mensajería, telesalud y almacenamiento;</w:t>
      </w:r>
    </w:p>
    <w:p>
      <w:pPr>
        <w:numPr>
          <w:ilvl w:val="0"/>
          <w:numId w:val="1020"/>
        </w:numPr>
        <w:pStyle w:val="Compact"/>
      </w:pPr>
      <w:r>
        <w:t xml:space="preserve">bloquear pantallas cuando estén desatendidas;</w:t>
      </w:r>
    </w:p>
    <w:p>
      <w:pPr>
        <w:numPr>
          <w:ilvl w:val="0"/>
          <w:numId w:val="1020"/>
        </w:numPr>
        <w:pStyle w:val="Compact"/>
      </w:pPr>
      <w:r>
        <w:t xml:space="preserve">usar contraseñas fuertes y únicas y autenticación multifactor cuando esté disponible;</w:t>
      </w:r>
    </w:p>
    <w:p>
      <w:pPr>
        <w:numPr>
          <w:ilvl w:val="0"/>
          <w:numId w:val="1020"/>
        </w:numPr>
        <w:pStyle w:val="Compact"/>
      </w:pPr>
      <w:r>
        <w:t xml:space="preserve">rechazar solicitudes inesperadas de restablecimiento de contraseña, pago, tarjetas de regalo o acceso remoto;</w:t>
      </w:r>
    </w:p>
    <w:p>
      <w:pPr>
        <w:numPr>
          <w:ilvl w:val="0"/>
          <w:numId w:val="1020"/>
        </w:numPr>
        <w:pStyle w:val="Compact"/>
      </w:pPr>
      <w:r>
        <w:t xml:space="preserve">comprobar destinatarios antes de enviar registros;</w:t>
      </w:r>
    </w:p>
    <w:p>
      <w:pPr>
        <w:numPr>
          <w:ilvl w:val="0"/>
          <w:numId w:val="1020"/>
        </w:numPr>
        <w:pStyle w:val="Compact"/>
      </w:pPr>
      <w:r>
        <w:t xml:space="preserve">evitar almacenamiento personal en la nube, correo personal o mensajería no aprobada para registros de usuarios;</w:t>
      </w:r>
    </w:p>
    <w:p>
      <w:pPr>
        <w:numPr>
          <w:ilvl w:val="0"/>
          <w:numId w:val="1020"/>
        </w:numPr>
        <w:pStyle w:val="Compact"/>
      </w:pPr>
      <w:r>
        <w:t xml:space="preserve">documentar de forma objetiva y oportuna;</w:t>
      </w:r>
    </w:p>
    <w:p>
      <w:pPr>
        <w:numPr>
          <w:ilvl w:val="0"/>
          <w:numId w:val="1020"/>
        </w:numPr>
        <w:pStyle w:val="Compact"/>
      </w:pPr>
      <w:r>
        <w:t xml:space="preserve">informar de inmediato dispositivos perdidos, sospecha de phishing, registros enviados al destinatario equivocado o incidentes de privacidad; y</w:t>
      </w:r>
    </w:p>
    <w:p>
      <w:pPr>
        <w:numPr>
          <w:ilvl w:val="0"/>
          <w:numId w:val="1020"/>
        </w:numPr>
        <w:pStyle w:val="Compact"/>
      </w:pPr>
      <w:r>
        <w:t xml:space="preserve">hablar de usuarios solo con personas autorizadas que necesiten la información.</w:t>
      </w:r>
    </w:p>
    <w:p>
      <w:pPr>
        <w:pStyle w:val="FirstParagraph"/>
      </w:pPr>
      <w:r>
        <w:t xml:space="preserve">No copies información de usuarios en sistemas públicos de IA, aplicaciones personales de notas o herramientas no aprobadas.</w:t>
      </w:r>
    </w:p>
    <w:bookmarkEnd w:id="44"/>
    <w:bookmarkStart w:id="45" w:name="X1fa00dbe1b55f11a89f7c9d75a41dc98d6258ac"/>
    <w:p>
      <w:pPr>
        <w:pStyle w:val="Heading2"/>
      </w:pPr>
      <w:r>
        <w:t xml:space="preserve">IA responsable en el trabajo de apoyo de terapia ocupacional</w:t>
      </w:r>
    </w:p>
    <w:p>
      <w:pPr>
        <w:pStyle w:val="FirstParagraph"/>
      </w:pPr>
      <w:r>
        <w:t xml:space="preserve">La IA puede ayudar con tareas administrativas o de aprendizaje de bajo riesgo cuando lo permita la política del empleador, pero no sustituye el juicio clínico, la evaluación del terapeuta ocupacional ni la responsabilidad profesional.</w:t>
      </w:r>
    </w:p>
    <w:p>
      <w:pPr>
        <w:pStyle w:val="BodyText"/>
      </w:pPr>
      <w:r>
        <w:t xml:space="preserve">Posibles usos de bajo riesgo incluyen:</w:t>
      </w:r>
    </w:p>
    <w:p>
      <w:pPr>
        <w:numPr>
          <w:ilvl w:val="0"/>
          <w:numId w:val="1021"/>
        </w:numPr>
        <w:pStyle w:val="Compact"/>
      </w:pPr>
      <w:r>
        <w:t xml:space="preserve">crear preguntas genéricas de estudio que no contengan información de usuarios;</w:t>
      </w:r>
    </w:p>
    <w:p>
      <w:pPr>
        <w:numPr>
          <w:ilvl w:val="0"/>
          <w:numId w:val="1021"/>
        </w:numPr>
        <w:pStyle w:val="Compact"/>
      </w:pPr>
      <w:r>
        <w:t xml:space="preserve">simplificar lenguaje educativo general para revisión por el profesional correspondiente;</w:t>
      </w:r>
    </w:p>
    <w:p>
      <w:pPr>
        <w:numPr>
          <w:ilvl w:val="0"/>
          <w:numId w:val="1021"/>
        </w:numPr>
        <w:pStyle w:val="Compact"/>
      </w:pPr>
      <w:r>
        <w:t xml:space="preserve">generar ideas de actividades no específicas de usuarios para posterior revisión clínica;</w:t>
      </w:r>
    </w:p>
    <w:p>
      <w:pPr>
        <w:numPr>
          <w:ilvl w:val="0"/>
          <w:numId w:val="1021"/>
        </w:numPr>
        <w:pStyle w:val="Compact"/>
      </w:pPr>
      <w:r>
        <w:t xml:space="preserve">redactar preguntas genéricas de práctica para entrevistas;</w:t>
      </w:r>
    </w:p>
    <w:p>
      <w:pPr>
        <w:numPr>
          <w:ilvl w:val="0"/>
          <w:numId w:val="1021"/>
        </w:numPr>
        <w:pStyle w:val="Compact"/>
      </w:pPr>
      <w:r>
        <w:t xml:space="preserve">organizar un horario personal de estudio; o</w:t>
      </w:r>
    </w:p>
    <w:p>
      <w:pPr>
        <w:numPr>
          <w:ilvl w:val="0"/>
          <w:numId w:val="1021"/>
        </w:numPr>
        <w:pStyle w:val="Compact"/>
      </w:pPr>
      <w:r>
        <w:t xml:space="preserve">revisar gramática en material no confidencial.</w:t>
      </w:r>
    </w:p>
    <w:p>
      <w:pPr>
        <w:pStyle w:val="FirstParagraph"/>
      </w:pPr>
      <w:r>
        <w:t xml:space="preserve">No utilices herramientas públicas o no aprobadas de IA para:</w:t>
      </w:r>
    </w:p>
    <w:p>
      <w:pPr>
        <w:numPr>
          <w:ilvl w:val="0"/>
          <w:numId w:val="1022"/>
        </w:numPr>
        <w:pStyle w:val="Compact"/>
      </w:pPr>
      <w:r>
        <w:t xml:space="preserve">ingresar información identificable de usuarios;</w:t>
      </w:r>
    </w:p>
    <w:p>
      <w:pPr>
        <w:numPr>
          <w:ilvl w:val="0"/>
          <w:numId w:val="1022"/>
        </w:numPr>
        <w:pStyle w:val="Compact"/>
      </w:pPr>
      <w:r>
        <w:t xml:space="preserve">generar o alterar hechos clínicos;</w:t>
      </w:r>
    </w:p>
    <w:p>
      <w:pPr>
        <w:numPr>
          <w:ilvl w:val="0"/>
          <w:numId w:val="1022"/>
        </w:numPr>
        <w:pStyle w:val="Compact"/>
      </w:pPr>
      <w:r>
        <w:t xml:space="preserve">diagnosticar a una persona;</w:t>
      </w:r>
    </w:p>
    <w:p>
      <w:pPr>
        <w:numPr>
          <w:ilvl w:val="0"/>
          <w:numId w:val="1022"/>
        </w:numPr>
        <w:pStyle w:val="Compact"/>
      </w:pPr>
      <w:r>
        <w:t xml:space="preserve">seleccionar o cambiar de manera independiente objetivos de tratamiento;</w:t>
      </w:r>
    </w:p>
    <w:p>
      <w:pPr>
        <w:numPr>
          <w:ilvl w:val="0"/>
          <w:numId w:val="1022"/>
        </w:numPr>
        <w:pStyle w:val="Compact"/>
      </w:pPr>
      <w:r>
        <w:t xml:space="preserve">fabricar documentación;</w:t>
      </w:r>
    </w:p>
    <w:p>
      <w:pPr>
        <w:numPr>
          <w:ilvl w:val="0"/>
          <w:numId w:val="1022"/>
        </w:numPr>
        <w:pStyle w:val="Compact"/>
      </w:pPr>
      <w:r>
        <w:t xml:space="preserve">inventar mediciones u observaciones;</w:t>
      </w:r>
    </w:p>
    <w:p>
      <w:pPr>
        <w:numPr>
          <w:ilvl w:val="0"/>
          <w:numId w:val="1022"/>
        </w:numPr>
        <w:pStyle w:val="Compact"/>
      </w:pPr>
      <w:r>
        <w:t xml:space="preserve">ocultar errores;</w:t>
      </w:r>
    </w:p>
    <w:p>
      <w:pPr>
        <w:numPr>
          <w:ilvl w:val="0"/>
          <w:numId w:val="1022"/>
        </w:numPr>
        <w:pStyle w:val="Compact"/>
      </w:pPr>
      <w:r>
        <w:t xml:space="preserve">tomar decisiones de alta; o</w:t>
      </w:r>
    </w:p>
    <w:p>
      <w:pPr>
        <w:numPr>
          <w:ilvl w:val="0"/>
          <w:numId w:val="1022"/>
        </w:numPr>
        <w:pStyle w:val="Compact"/>
      </w:pPr>
      <w:r>
        <w:t xml:space="preserve">pasar por encima del terapeuta ocupacional, la política del empleador o la ley aplicable.</w:t>
      </w:r>
    </w:p>
    <w:p>
      <w:pPr>
        <w:pStyle w:val="FirstParagraph"/>
      </w:pPr>
      <w:r>
        <w:t xml:space="preserve">Trata la salida de IA como un borrador que puede estar equivocado. Verifica hechos, preserva la privacidad y sigue la política de tu organización.</w:t>
      </w:r>
    </w:p>
    <w:bookmarkEnd w:id="45"/>
    <w:bookmarkStart w:id="46" w:name="X1311ec4973a715c6079f4b931fb3c23008b87b9"/>
    <w:p>
      <w:pPr>
        <w:pStyle w:val="Heading2"/>
      </w:pPr>
      <w:r>
        <w:t xml:space="preserve">Detección de estafas y pausas antes de gastar</w:t>
      </w:r>
    </w:p>
    <w:p>
      <w:pPr>
        <w:pStyle w:val="FirstParagraph"/>
      </w:pPr>
      <w:r>
        <w:t xml:space="preserve">La educación en salud ya es suficientemente costosa como para que cada pago importante merezca verificación.</w:t>
      </w:r>
    </w:p>
    <w:p>
      <w:pPr>
        <w:pStyle w:val="BodyText"/>
      </w:pPr>
      <w:r>
        <w:t xml:space="preserve">Pausa antes de pagar cuando una escuela, reclutador, servicio de credenciales o proveedor de capacitación:</w:t>
      </w:r>
    </w:p>
    <w:p>
      <w:pPr>
        <w:numPr>
          <w:ilvl w:val="0"/>
          <w:numId w:val="1023"/>
        </w:numPr>
        <w:pStyle w:val="Compact"/>
      </w:pPr>
      <w:r>
        <w:t xml:space="preserve">garantice licencia, certificación, empleo, estatus migratorio o un salario específico;</w:t>
      </w:r>
    </w:p>
    <w:p>
      <w:pPr>
        <w:numPr>
          <w:ilvl w:val="0"/>
          <w:numId w:val="1023"/>
        </w:numPr>
        <w:pStyle w:val="Compact"/>
      </w:pPr>
      <w:r>
        <w:t xml:space="preserve">te presione para pagar de inmediato;</w:t>
      </w:r>
    </w:p>
    <w:p>
      <w:pPr>
        <w:numPr>
          <w:ilvl w:val="0"/>
          <w:numId w:val="1023"/>
        </w:numPr>
        <w:pStyle w:val="Compact"/>
      </w:pPr>
      <w:r>
        <w:t xml:space="preserve">afirme “acreditación nacional” sin nombrar al acreditador reconocido;</w:t>
      </w:r>
    </w:p>
    <w:p>
      <w:pPr>
        <w:numPr>
          <w:ilvl w:val="0"/>
          <w:numId w:val="1023"/>
        </w:numPr>
        <w:pStyle w:val="Compact"/>
      </w:pPr>
      <w:r>
        <w:t xml:space="preserve">diga que el programa está “alineado con ACOTE” pero no figure con el estado actual requerido;</w:t>
      </w:r>
    </w:p>
    <w:p>
      <w:pPr>
        <w:numPr>
          <w:ilvl w:val="0"/>
          <w:numId w:val="1023"/>
        </w:numPr>
        <w:pStyle w:val="Compact"/>
      </w:pPr>
      <w:r>
        <w:t xml:space="preserve">solicite matrícula mediante criptomonedas, tarjetas de regalo, transferencias a individuos o aplicaciones de pago inusuales;</w:t>
      </w:r>
    </w:p>
    <w:p>
      <w:pPr>
        <w:numPr>
          <w:ilvl w:val="0"/>
          <w:numId w:val="1023"/>
        </w:numPr>
        <w:pStyle w:val="Compact"/>
      </w:pPr>
      <w:r>
        <w:t xml:space="preserve">prometa que puedes convertirte en terapeuta ocupacional mediante un curso muy corto de asistente;</w:t>
      </w:r>
    </w:p>
    <w:p>
      <w:pPr>
        <w:numPr>
          <w:ilvl w:val="0"/>
          <w:numId w:val="1023"/>
        </w:numPr>
        <w:pStyle w:val="Compact"/>
      </w:pPr>
      <w:r>
        <w:t xml:space="preserve">ofrezca una credencial COTA falsa sin los requisitos de elegibilidad y examen de NBCOT;</w:t>
      </w:r>
    </w:p>
    <w:p>
      <w:pPr>
        <w:numPr>
          <w:ilvl w:val="0"/>
          <w:numId w:val="1023"/>
        </w:numPr>
        <w:pStyle w:val="Compact"/>
      </w:pPr>
      <w:r>
        <w:t xml:space="preserve">te pida comprar equipo o enviar dinero para recibir un empleo; o</w:t>
      </w:r>
    </w:p>
    <w:p>
      <w:pPr>
        <w:numPr>
          <w:ilvl w:val="0"/>
          <w:numId w:val="1023"/>
        </w:numPr>
        <w:pStyle w:val="Compact"/>
      </w:pPr>
      <w:r>
        <w:t xml:space="preserve">se niegue a entregar por escrito información sobre matrícula, reembolso, acreditación o credenciales.</w:t>
      </w:r>
    </w:p>
    <w:p>
      <w:pPr>
        <w:pStyle w:val="FirstParagraph"/>
      </w:pPr>
      <w:r>
        <w:t xml:space="preserve">Antes de un pago importante, verifica de forma independiente la escuela, la acreditación del programa, la vía de licencia, el costo total, la política de reembolso y las condiciones de ayuda financiera.</w:t>
      </w:r>
    </w:p>
    <w:bookmarkEnd w:id="46"/>
    <w:bookmarkStart w:id="47" w:name="elegir-un-programa--lista-de-decisión"/>
    <w:p>
      <w:pPr>
        <w:pStyle w:val="Heading2"/>
      </w:pPr>
      <w:r>
        <w:t xml:space="preserve">Elegir un programa — lista de decisión</w:t>
      </w:r>
    </w:p>
    <w:p>
      <w:pPr>
        <w:pStyle w:val="FirstParagraph"/>
      </w:pPr>
      <w:r>
        <w:t xml:space="preserve">Una buena decisión de programa debe responder:</w:t>
      </w:r>
    </w:p>
    <w:p>
      <w:pPr>
        <w:numPr>
          <w:ilvl w:val="0"/>
          <w:numId w:val="1024"/>
        </w:numPr>
        <w:pStyle w:val="Compact"/>
      </w:pPr>
      <w:r>
        <w:t xml:space="preserve">¿El programa OTA exacto está actualmente acreditado por ACOTE o tiene un estado de acreditación que respalda la vía que pretendo usar?</w:t>
      </w:r>
    </w:p>
    <w:p>
      <w:pPr>
        <w:numPr>
          <w:ilvl w:val="0"/>
          <w:numId w:val="1024"/>
        </w:numPr>
        <w:pStyle w:val="Compact"/>
      </w:pPr>
      <w:r>
        <w:t xml:space="preserve">¿Qué credencial obtendré?</w:t>
      </w:r>
    </w:p>
    <w:p>
      <w:pPr>
        <w:numPr>
          <w:ilvl w:val="0"/>
          <w:numId w:val="1024"/>
        </w:numPr>
        <w:pStyle w:val="Compact"/>
      </w:pPr>
      <w:r>
        <w:t xml:space="preserve">¿El programa satisface los requisitos educativos de la jurisdicción donde pienso solicitar licencia?</w:t>
      </w:r>
    </w:p>
    <w:p>
      <w:pPr>
        <w:numPr>
          <w:ilvl w:val="0"/>
          <w:numId w:val="1024"/>
        </w:numPr>
        <w:pStyle w:val="Compact"/>
      </w:pPr>
      <w:r>
        <w:t xml:space="preserve">¿Cuál es el costo total después de subvenciones y becas?</w:t>
      </w:r>
    </w:p>
    <w:p>
      <w:pPr>
        <w:numPr>
          <w:ilvl w:val="0"/>
          <w:numId w:val="1024"/>
        </w:numPr>
        <w:pStyle w:val="Compact"/>
      </w:pPr>
      <w:r>
        <w:t xml:space="preserve">¿Cuánta deuda necesitaría?</w:t>
      </w:r>
    </w:p>
    <w:p>
      <w:pPr>
        <w:numPr>
          <w:ilvl w:val="0"/>
          <w:numId w:val="1024"/>
        </w:numPr>
        <w:pStyle w:val="Compact"/>
      </w:pPr>
      <w:r>
        <w:t xml:space="preserve">¿Qué tan lejos pueden estar las prácticas de campo del campus o de mi hogar?</w:t>
      </w:r>
    </w:p>
    <w:p>
      <w:pPr>
        <w:numPr>
          <w:ilvl w:val="0"/>
          <w:numId w:val="1024"/>
        </w:numPr>
        <w:pStyle w:val="Compact"/>
      </w:pPr>
      <w:r>
        <w:t xml:space="preserve">¿Puedo cumplir requisitos diurnos, nocturnos, de fin de semana o de viaje?</w:t>
      </w:r>
    </w:p>
    <w:p>
      <w:pPr>
        <w:numPr>
          <w:ilvl w:val="0"/>
          <w:numId w:val="1024"/>
        </w:numPr>
        <w:pStyle w:val="Compact"/>
      </w:pPr>
      <w:r>
        <w:t xml:space="preserve">¿Cuáles son los requisitos físicos y de documentación de salud?</w:t>
      </w:r>
    </w:p>
    <w:p>
      <w:pPr>
        <w:numPr>
          <w:ilvl w:val="0"/>
          <w:numId w:val="1024"/>
        </w:numPr>
        <w:pStyle w:val="Compact"/>
      </w:pPr>
      <w:r>
        <w:t xml:space="preserve">¿Qué adaptaciones por discapacidad están disponibles?</w:t>
      </w:r>
    </w:p>
    <w:p>
      <w:pPr>
        <w:numPr>
          <w:ilvl w:val="0"/>
          <w:numId w:val="1024"/>
        </w:numPr>
        <w:pStyle w:val="Compact"/>
      </w:pPr>
      <w:r>
        <w:t xml:space="preserve">¿Cuáles son los resultados de finalización y del examen NBCOT?</w:t>
      </w:r>
    </w:p>
    <w:p>
      <w:pPr>
        <w:numPr>
          <w:ilvl w:val="0"/>
          <w:numId w:val="1024"/>
        </w:numPr>
        <w:pStyle w:val="Compact"/>
      </w:pPr>
      <w:r>
        <w:t xml:space="preserve">¿Cuál es la política de reembolso/retiro?</w:t>
      </w:r>
    </w:p>
    <w:p>
      <w:pPr>
        <w:numPr>
          <w:ilvl w:val="0"/>
          <w:numId w:val="1024"/>
        </w:numPr>
        <w:pStyle w:val="Compact"/>
      </w:pPr>
      <w:r>
        <w:t xml:space="preserve">¿Qué exigen realmente los empleadores locales?</w:t>
      </w:r>
    </w:p>
    <w:p>
      <w:pPr>
        <w:numPr>
          <w:ilvl w:val="0"/>
          <w:numId w:val="1024"/>
        </w:numPr>
        <w:pStyle w:val="Compact"/>
      </w:pPr>
      <w:r>
        <w:t xml:space="preserve">¿El salario local es razonable frente a matrícula, deuda, transporte y costo de vida?</w:t>
      </w:r>
    </w:p>
    <w:p>
      <w:pPr>
        <w:pStyle w:val="FirstParagraph"/>
      </w:pPr>
      <w:r>
        <w:t xml:space="preserve">Si estas respuestas no están claras, pausa antes de pagar.</w:t>
      </w:r>
    </w:p>
    <w:bookmarkEnd w:id="47"/>
    <w:bookmarkStart w:id="48" w:name="preguntas-para-hacer-a-un-empleador"/>
    <w:p>
      <w:pPr>
        <w:pStyle w:val="Heading2"/>
      </w:pPr>
      <w:r>
        <w:t xml:space="preserve">Preguntas para hacer a un empleador</w:t>
      </w:r>
    </w:p>
    <w:p>
      <w:pPr>
        <w:pStyle w:val="FirstParagraph"/>
      </w:pPr>
      <w:r>
        <w:t xml:space="preserve">Preguntas útiles de entrevista incluyen:</w:t>
      </w:r>
    </w:p>
    <w:p>
      <w:pPr>
        <w:numPr>
          <w:ilvl w:val="0"/>
          <w:numId w:val="1025"/>
        </w:numPr>
        <w:pStyle w:val="Compact"/>
      </w:pPr>
      <w:r>
        <w:t xml:space="preserve">¿Cómo se estructura aquí la supervisión del OTA?</w:t>
      </w:r>
    </w:p>
    <w:p>
      <w:pPr>
        <w:numPr>
          <w:ilvl w:val="0"/>
          <w:numId w:val="1025"/>
        </w:numPr>
        <w:pStyle w:val="Compact"/>
      </w:pPr>
      <w:r>
        <w:t xml:space="preserve">¿Cuál es la carga de casos típica y la expectativa de productividad?</w:t>
      </w:r>
    </w:p>
    <w:p>
      <w:pPr>
        <w:numPr>
          <w:ilvl w:val="0"/>
          <w:numId w:val="1025"/>
        </w:numPr>
        <w:pStyle w:val="Compact"/>
      </w:pPr>
      <w:r>
        <w:t xml:space="preserve">¿Qué poblaciones y diagnósticos son más comunes?</w:t>
      </w:r>
    </w:p>
    <w:p>
      <w:pPr>
        <w:numPr>
          <w:ilvl w:val="0"/>
          <w:numId w:val="1025"/>
        </w:numPr>
        <w:pStyle w:val="Compact"/>
      </w:pPr>
      <w:r>
        <w:t xml:space="preserve">¿Cuánto tiempo de documentación está incluido en el horario?</w:t>
      </w:r>
    </w:p>
    <w:p>
      <w:pPr>
        <w:numPr>
          <w:ilvl w:val="0"/>
          <w:numId w:val="1025"/>
        </w:numPr>
        <w:pStyle w:val="Compact"/>
      </w:pPr>
      <w:r>
        <w:t xml:space="preserve">¿Se requieren noches, fines de semana, festivos o viajes?</w:t>
      </w:r>
    </w:p>
    <w:p>
      <w:pPr>
        <w:numPr>
          <w:ilvl w:val="0"/>
          <w:numId w:val="1025"/>
        </w:numPr>
        <w:pStyle w:val="Compact"/>
      </w:pPr>
      <w:r>
        <w:t xml:space="preserve">¿Qué competencias de levantamiento, transferencia, alimentación, férulas o equipos se esperan?</w:t>
      </w:r>
    </w:p>
    <w:p>
      <w:pPr>
        <w:numPr>
          <w:ilvl w:val="0"/>
          <w:numId w:val="1025"/>
        </w:numPr>
        <w:pStyle w:val="Compact"/>
      </w:pPr>
      <w:r>
        <w:t xml:space="preserve">¿Qué orientación y validación de competencias se proporcionan?</w:t>
      </w:r>
    </w:p>
    <w:p>
      <w:pPr>
        <w:numPr>
          <w:ilvl w:val="0"/>
          <w:numId w:val="1025"/>
        </w:numPr>
        <w:pStyle w:val="Compact"/>
      </w:pPr>
      <w:r>
        <w:t xml:space="preserve">¿Cómo se escalan las preocupaciones urgentes de seguridad?</w:t>
      </w:r>
    </w:p>
    <w:p>
      <w:pPr>
        <w:numPr>
          <w:ilvl w:val="0"/>
          <w:numId w:val="1025"/>
        </w:numPr>
        <w:pStyle w:val="Compact"/>
      </w:pPr>
      <w:r>
        <w:t xml:space="preserve">¿Qué historia clínica electrónica o sistema de documentación se utiliza?</w:t>
      </w:r>
    </w:p>
    <w:p>
      <w:pPr>
        <w:numPr>
          <w:ilvl w:val="0"/>
          <w:numId w:val="1025"/>
        </w:numPr>
        <w:pStyle w:val="Compact"/>
      </w:pPr>
      <w:r>
        <w:t xml:space="preserve">¿Qué educación continua o ayuda de matrícula está disponible?</w:t>
      </w:r>
    </w:p>
    <w:p>
      <w:pPr>
        <w:numPr>
          <w:ilvl w:val="0"/>
          <w:numId w:val="1025"/>
        </w:numPr>
        <w:pStyle w:val="Compact"/>
      </w:pPr>
      <w:r>
        <w:t xml:space="preserve">¿Cómo protege la organización el tiempo de colaboración entre el terapeuta ocupacional y el OTA?</w:t>
      </w:r>
    </w:p>
    <w:bookmarkEnd w:id="48"/>
    <w:bookmarkStart w:id="49" w:name="Xe954bdae6eab36348dddb21733604f193da7046"/>
    <w:p>
      <w:pPr>
        <w:pStyle w:val="Heading2"/>
      </w:pPr>
      <w:r>
        <w:t xml:space="preserve">Portafolio y preparación para la búsqueda de empleo</w:t>
      </w:r>
    </w:p>
    <w:p>
      <w:pPr>
        <w:pStyle w:val="FirstParagraph"/>
      </w:pPr>
      <w:r>
        <w:t xml:space="preserve">Un portafolio de un OTA nuevo puede incluir evidencia no confidencial como:</w:t>
      </w:r>
    </w:p>
    <w:p>
      <w:pPr>
        <w:numPr>
          <w:ilvl w:val="0"/>
          <w:numId w:val="1026"/>
        </w:numPr>
        <w:pStyle w:val="Compact"/>
      </w:pPr>
      <w:r>
        <w:t xml:space="preserve">currículum y carta de presentación dirigida;</w:t>
      </w:r>
    </w:p>
    <w:p>
      <w:pPr>
        <w:numPr>
          <w:ilvl w:val="0"/>
          <w:numId w:val="1026"/>
        </w:numPr>
        <w:pStyle w:val="Compact"/>
      </w:pPr>
      <w:r>
        <w:t xml:space="preserve">detalles actuales de licencia o permiso cuando corresponda;</w:t>
      </w:r>
    </w:p>
    <w:p>
      <w:pPr>
        <w:numPr>
          <w:ilvl w:val="0"/>
          <w:numId w:val="1026"/>
        </w:numPr>
        <w:pStyle w:val="Compact"/>
      </w:pPr>
      <w:r>
        <w:t xml:space="preserve">estado de certificación COTA;</w:t>
      </w:r>
    </w:p>
    <w:p>
      <w:pPr>
        <w:numPr>
          <w:ilvl w:val="0"/>
          <w:numId w:val="1026"/>
        </w:numPr>
        <w:pStyle w:val="Compact"/>
      </w:pPr>
      <w:r>
        <w:t xml:space="preserve">documentación CPR/BLS si se requiere;</w:t>
      </w:r>
    </w:p>
    <w:p>
      <w:pPr>
        <w:numPr>
          <w:ilvl w:val="0"/>
          <w:numId w:val="1026"/>
        </w:numPr>
        <w:pStyle w:val="Compact"/>
      </w:pPr>
      <w:r>
        <w:t xml:space="preserve">resúmenes de entornos de prácticas de campo que no revelen identidad de usuarios;</w:t>
      </w:r>
    </w:p>
    <w:p>
      <w:pPr>
        <w:numPr>
          <w:ilvl w:val="0"/>
          <w:numId w:val="1026"/>
        </w:numPr>
        <w:pStyle w:val="Compact"/>
      </w:pPr>
      <w:r>
        <w:t xml:space="preserve">proyectos académicos sin información protegida;</w:t>
      </w:r>
    </w:p>
    <w:p>
      <w:pPr>
        <w:numPr>
          <w:ilvl w:val="0"/>
          <w:numId w:val="1026"/>
        </w:numPr>
        <w:pStyle w:val="Compact"/>
      </w:pPr>
      <w:r>
        <w:t xml:space="preserve">certificados de educación continua;</w:t>
      </w:r>
    </w:p>
    <w:p>
      <w:pPr>
        <w:numPr>
          <w:ilvl w:val="0"/>
          <w:numId w:val="1026"/>
        </w:numPr>
        <w:pStyle w:val="Compact"/>
      </w:pPr>
      <w:r>
        <w:t xml:space="preserve">capacitación en tecnología asistiva o equipos adaptativos;</w:t>
      </w:r>
    </w:p>
    <w:p>
      <w:pPr>
        <w:numPr>
          <w:ilvl w:val="0"/>
          <w:numId w:val="1026"/>
        </w:numPr>
        <w:pStyle w:val="Compact"/>
      </w:pPr>
      <w:r>
        <w:t xml:space="preserve">ejemplos de mejora de calidad o trabajo en equipo; y</w:t>
      </w:r>
    </w:p>
    <w:p>
      <w:pPr>
        <w:numPr>
          <w:ilvl w:val="0"/>
          <w:numId w:val="1026"/>
        </w:numPr>
        <w:pStyle w:val="Compact"/>
      </w:pPr>
      <w:r>
        <w:t xml:space="preserve">referencias que hayan aceptado ser contactadas.</w:t>
      </w:r>
    </w:p>
    <w:p>
      <w:pPr>
        <w:pStyle w:val="FirstParagraph"/>
      </w:pPr>
      <w:r>
        <w:t xml:space="preserve">Nunca incluyas información protegida de usuarios, fotografías identificables, historias clínicas, registros educativos o material confidencial del empleador en un portafolio.</w:t>
      </w:r>
    </w:p>
    <w:bookmarkEnd w:id="49"/>
    <w:bookmarkStart w:id="50" w:name="X11bdb18511de2238f2744964a22676785bf3ca5"/>
    <w:p>
      <w:pPr>
        <w:pStyle w:val="Heading2"/>
      </w:pPr>
      <w:r>
        <w:t xml:space="preserve">Lenguaje de currículum que se mantiene preciso</w:t>
      </w:r>
    </w:p>
    <w:p>
      <w:pPr>
        <w:pStyle w:val="FirstParagraph"/>
      </w:pPr>
      <w:r>
        <w:t xml:space="preserve">Utiliza afirmaciones basadas en evidencia como:</w:t>
      </w:r>
    </w:p>
    <w:p>
      <w:pPr>
        <w:numPr>
          <w:ilvl w:val="0"/>
          <w:numId w:val="1027"/>
        </w:numPr>
        <w:pStyle w:val="Compact"/>
      </w:pPr>
      <w:r>
        <w:t xml:space="preserve">“Implementé intervenciones de terapia ocupacional bajo la supervisión y el plan del terapeuta ocupacional.”</w:t>
      </w:r>
    </w:p>
    <w:p>
      <w:pPr>
        <w:numPr>
          <w:ilvl w:val="0"/>
          <w:numId w:val="1027"/>
        </w:numPr>
        <w:pStyle w:val="Compact"/>
      </w:pPr>
      <w:r>
        <w:t xml:space="preserve">“Documenté la respuesta del usuario y comuniqué el progreso y las preocupaciones de seguridad al terapeuta ocupacional supervisor.”</w:t>
      </w:r>
    </w:p>
    <w:p>
      <w:pPr>
        <w:numPr>
          <w:ilvl w:val="0"/>
          <w:numId w:val="1027"/>
        </w:numPr>
        <w:pStyle w:val="Compact"/>
      </w:pPr>
      <w:r>
        <w:t xml:space="preserve">“Apoyé actividades de la vida diaria, capacitación en equipos adaptativos y práctica de tareas funcionales dentro de planes establecidos.”</w:t>
      </w:r>
    </w:p>
    <w:p>
      <w:pPr>
        <w:numPr>
          <w:ilvl w:val="0"/>
          <w:numId w:val="1027"/>
        </w:numPr>
        <w:pStyle w:val="Compact"/>
      </w:pPr>
      <w:r>
        <w:t xml:space="preserve">“Completé prácticas de campo en pediatría, rehabilitación, escuela, enfermería especializada u otros entornos verificados.”</w:t>
      </w:r>
    </w:p>
    <w:p>
      <w:pPr>
        <w:pStyle w:val="FirstParagraph"/>
      </w:pPr>
      <w:r>
        <w:t xml:space="preserve">No afirmes que diagnosticaste usuarios, creaste planes de atención de manera independiente, tuviste una licencia que no posees o utilizaste una modalidad o técnica especializada para la cual no estabas capacitado.</w:t>
      </w:r>
    </w:p>
    <w:bookmarkEnd w:id="50"/>
    <w:bookmarkStart w:id="51" w:name="accesibilidad-y-apoyo-por-discapacidad"/>
    <w:p>
      <w:pPr>
        <w:pStyle w:val="Heading2"/>
      </w:pPr>
      <w:r>
        <w:t xml:space="preserve">Accesibilidad y apoyo por discapacidad</w:t>
      </w:r>
    </w:p>
    <w:p>
      <w:pPr>
        <w:pStyle w:val="FirstParagraph"/>
      </w:pPr>
      <w:r>
        <w:t xml:space="preserve">Los estudiantes y trabajadores con discapacidades pueden tener éxito en vías de asistente de terapia ocupacional, pero la combinación de prácticas clínicas de campo y funciones esenciales del trabajo hace importante planificar con anticipación.</w:t>
      </w:r>
    </w:p>
    <w:p>
      <w:pPr>
        <w:pStyle w:val="BodyText"/>
      </w:pPr>
      <w:r>
        <w:t xml:space="preserve">Antes de matricularte, pregunta a la institución sobre:</w:t>
      </w:r>
    </w:p>
    <w:p>
      <w:pPr>
        <w:numPr>
          <w:ilvl w:val="0"/>
          <w:numId w:val="1028"/>
        </w:numPr>
        <w:pStyle w:val="Compact"/>
      </w:pPr>
      <w:r>
        <w:t xml:space="preserve">procedimientos de servicios para discapacidad;</w:t>
      </w:r>
    </w:p>
    <w:p>
      <w:pPr>
        <w:numPr>
          <w:ilvl w:val="0"/>
          <w:numId w:val="1028"/>
        </w:numPr>
        <w:pStyle w:val="Compact"/>
      </w:pPr>
      <w:r>
        <w:t xml:space="preserve">adaptaciones de aula y laboratorio;</w:t>
      </w:r>
    </w:p>
    <w:p>
      <w:pPr>
        <w:numPr>
          <w:ilvl w:val="0"/>
          <w:numId w:val="1028"/>
        </w:numPr>
        <w:pStyle w:val="Compact"/>
      </w:pPr>
      <w:r>
        <w:t xml:space="preserve">adaptaciones para exámenes;</w:t>
      </w:r>
    </w:p>
    <w:p>
      <w:pPr>
        <w:numPr>
          <w:ilvl w:val="0"/>
          <w:numId w:val="1028"/>
        </w:numPr>
        <w:pStyle w:val="Compact"/>
      </w:pPr>
      <w:r>
        <w:t xml:space="preserve">planificación de adaptaciones para prácticas de campo;</w:t>
      </w:r>
    </w:p>
    <w:p>
      <w:pPr>
        <w:numPr>
          <w:ilvl w:val="0"/>
          <w:numId w:val="1028"/>
        </w:numPr>
        <w:pStyle w:val="Compact"/>
      </w:pPr>
      <w:r>
        <w:t xml:space="preserve">tecnología accesible y materiales del curso;</w:t>
      </w:r>
    </w:p>
    <w:p>
      <w:pPr>
        <w:numPr>
          <w:ilvl w:val="0"/>
          <w:numId w:val="1028"/>
        </w:numPr>
        <w:pStyle w:val="Compact"/>
      </w:pPr>
      <w:r>
        <w:t xml:space="preserve">requisitos de asistencia y horario;</w:t>
      </w:r>
    </w:p>
    <w:p>
      <w:pPr>
        <w:numPr>
          <w:ilvl w:val="0"/>
          <w:numId w:val="1028"/>
        </w:numPr>
        <w:pStyle w:val="Compact"/>
      </w:pPr>
      <w:r>
        <w:t xml:space="preserve">desempeño seguro de tareas clínicas esenciales; y</w:t>
      </w:r>
    </w:p>
    <w:p>
      <w:pPr>
        <w:numPr>
          <w:ilvl w:val="0"/>
          <w:numId w:val="1028"/>
        </w:numPr>
        <w:pStyle w:val="Compact"/>
      </w:pPr>
      <w:r>
        <w:t xml:space="preserve">cómo se coordinan las solicitudes de adaptación con los centros de prácticas.</w:t>
      </w:r>
    </w:p>
    <w:p>
      <w:pPr>
        <w:pStyle w:val="FirstParagraph"/>
      </w:pPr>
      <w:r>
        <w:t xml:space="preserve">NBCOT también publica procedimientos de adaptaciones para exámenes. Solicita con anticipación y sigue los requisitos vigentes de documentación.</w:t>
      </w:r>
    </w:p>
    <w:p>
      <w:pPr>
        <w:pStyle w:val="BodyText"/>
      </w:pPr>
      <w:r>
        <w:t xml:space="preserve">Una adaptación no elimina competencias esenciales legítimas ni requisitos de seguridad del paciente, pero escuelas y empleadores pueden tener obligaciones de proporcionar adaptaciones razonables conforme a la ley aplicable.</w:t>
      </w:r>
    </w:p>
    <w:bookmarkEnd w:id="51"/>
    <w:bookmarkStart w:id="67" w:name="X2fd9a1c551be7a9f23f57933351729a787cb25f"/>
    <w:p>
      <w:pPr>
        <w:pStyle w:val="Heading2"/>
      </w:pPr>
      <w:r>
        <w:t xml:space="preserve">Lista de fuentes — verifica antes de decisiones importantes</w:t>
      </w:r>
    </w:p>
    <w:p>
      <w:pPr>
        <w:pStyle w:val="FirstParagraph"/>
      </w:pPr>
      <w:r>
        <w:rPr>
          <w:bCs/>
          <w:b/>
        </w:rPr>
        <w:t xml:space="preserve">Estados Unidos</w:t>
      </w:r>
    </w:p>
    <w:p>
      <w:pPr>
        <w:numPr>
          <w:ilvl w:val="0"/>
          <w:numId w:val="1029"/>
        </w:numPr>
        <w:pStyle w:val="Compact"/>
      </w:pPr>
      <w:r>
        <w:t xml:space="preserve">U.S. Bureau of Labor Statistics — Occupational Therapy Assistants and Aides:</w:t>
      </w:r>
      <w:r>
        <w:t xml:space="preserve"> </w:t>
      </w:r>
      <w:hyperlink r:id="rId52">
        <w:hyperlink r:id="rId52">
          <w:r>
            <w:rPr>
              <w:rStyle w:val="Hyperlink"/>
            </w:rPr>
            <w:t xml:space="preserve">Source link</w:t>
          </w:r>
        </w:hyperlink>
      </w:hyperlink>
    </w:p>
    <w:p>
      <w:pPr>
        <w:numPr>
          <w:ilvl w:val="0"/>
          <w:numId w:val="1029"/>
        </w:numPr>
        <w:pStyle w:val="Compact"/>
      </w:pPr>
      <w:r>
        <w:t xml:space="preserve">ACOTE — accredited programs and accreditation information:</w:t>
      </w:r>
      <w:r>
        <w:t xml:space="preserve"> </w:t>
      </w:r>
      <w:hyperlink r:id="rId53">
        <w:r>
          <w:rPr>
            <w:rStyle w:val="Hyperlink"/>
          </w:rPr>
          <w:t xml:space="preserve">https://acoteonline.org/all-schools/</w:t>
        </w:r>
      </w:hyperlink>
    </w:p>
    <w:p>
      <w:pPr>
        <w:numPr>
          <w:ilvl w:val="0"/>
          <w:numId w:val="1029"/>
        </w:numPr>
        <w:pStyle w:val="Compact"/>
      </w:pPr>
      <w:r>
        <w:t xml:space="preserve">ACOTE — current standards:</w:t>
      </w:r>
      <w:r>
        <w:t xml:space="preserve"> </w:t>
      </w:r>
      <w:hyperlink r:id="rId54">
        <w:hyperlink r:id="rId54">
          <w:r>
            <w:rPr>
              <w:rStyle w:val="Hyperlink"/>
            </w:rPr>
            <w:t xml:space="preserve">Source link</w:t>
          </w:r>
        </w:hyperlink>
      </w:hyperlink>
    </w:p>
    <w:p>
      <w:pPr>
        <w:numPr>
          <w:ilvl w:val="0"/>
          <w:numId w:val="1029"/>
        </w:numPr>
        <w:pStyle w:val="Compact"/>
      </w:pPr>
      <w:r>
        <w:t xml:space="preserve">NBCOT — certification pathway:</w:t>
      </w:r>
      <w:r>
        <w:t xml:space="preserve"> </w:t>
      </w:r>
      <w:hyperlink r:id="rId55">
        <w:r>
          <w:rPr>
            <w:rStyle w:val="Hyperlink"/>
          </w:rPr>
          <w:t xml:space="preserve">https://www.nbcot.org/get-certified</w:t>
        </w:r>
      </w:hyperlink>
    </w:p>
    <w:p>
      <w:pPr>
        <w:numPr>
          <w:ilvl w:val="0"/>
          <w:numId w:val="1029"/>
        </w:numPr>
        <w:pStyle w:val="Compact"/>
      </w:pPr>
      <w:r>
        <w:t xml:space="preserve">NBCOT — eligibility:</w:t>
      </w:r>
      <w:r>
        <w:t xml:space="preserve"> </w:t>
      </w:r>
      <w:hyperlink r:id="rId56">
        <w:hyperlink r:id="rId56">
          <w:r>
            <w:rPr>
              <w:rStyle w:val="Hyperlink"/>
            </w:rPr>
            <w:t xml:space="preserve">Source link</w:t>
          </w:r>
        </w:hyperlink>
      </w:hyperlink>
    </w:p>
    <w:p>
      <w:pPr>
        <w:numPr>
          <w:ilvl w:val="0"/>
          <w:numId w:val="1029"/>
        </w:numPr>
        <w:pStyle w:val="Compact"/>
      </w:pPr>
      <w:r>
        <w:t xml:space="preserve">NBCOT — OTR/COTA role explanation:</w:t>
      </w:r>
      <w:r>
        <w:t xml:space="preserve"> </w:t>
      </w:r>
      <w:hyperlink r:id="rId57">
        <w:hyperlink r:id="rId57">
          <w:r>
            <w:rPr>
              <w:rStyle w:val="Hyperlink"/>
            </w:rPr>
            <w:t xml:space="preserve">Source link</w:t>
          </w:r>
        </w:hyperlink>
      </w:hyperlink>
    </w:p>
    <w:p>
      <w:pPr>
        <w:numPr>
          <w:ilvl w:val="0"/>
          <w:numId w:val="1029"/>
        </w:numPr>
        <w:pStyle w:val="Compact"/>
      </w:pPr>
      <w:r>
        <w:t xml:space="preserve">Federal Student Aid:</w:t>
      </w:r>
      <w:r>
        <w:t xml:space="preserve"> </w:t>
      </w:r>
      <w:hyperlink r:id="rId58">
        <w:r>
          <w:rPr>
            <w:rStyle w:val="Hyperlink"/>
          </w:rPr>
          <w:t xml:space="preserve">https://studentaid.gov/</w:t>
        </w:r>
      </w:hyperlink>
    </w:p>
    <w:p>
      <w:pPr>
        <w:numPr>
          <w:ilvl w:val="0"/>
          <w:numId w:val="1029"/>
        </w:numPr>
        <w:pStyle w:val="Compact"/>
      </w:pPr>
      <w:r>
        <w:t xml:space="preserve">U.S. Department of Labor WIOA guidance:</w:t>
      </w:r>
      <w:r>
        <w:t xml:space="preserve"> </w:t>
      </w:r>
      <w:hyperlink r:id="rId59">
        <w:hyperlink r:id="rId59">
          <w:r>
            <w:rPr>
              <w:rStyle w:val="Hyperlink"/>
            </w:rPr>
            <w:t xml:space="preserve">Source link</w:t>
          </w:r>
        </w:hyperlink>
      </w:hyperlink>
    </w:p>
    <w:p>
      <w:pPr>
        <w:pStyle w:val="FirstParagraph"/>
      </w:pPr>
      <w:r>
        <w:rPr>
          <w:bCs/>
          <w:b/>
        </w:rPr>
        <w:t xml:space="preserve">Canadá</w:t>
      </w:r>
    </w:p>
    <w:p>
      <w:pPr>
        <w:numPr>
          <w:ilvl w:val="0"/>
          <w:numId w:val="1030"/>
        </w:numPr>
        <w:pStyle w:val="Compact"/>
      </w:pPr>
      <w:r>
        <w:t xml:space="preserve">Government of Canada Job Bank — Occupational Therapy Assistant / NOC 32109:</w:t>
      </w:r>
      <w:r>
        <w:t xml:space="preserve"> </w:t>
      </w:r>
      <w:hyperlink r:id="rId60">
        <w:hyperlink r:id="rId60">
          <w:r>
            <w:rPr>
              <w:rStyle w:val="Hyperlink"/>
            </w:rPr>
            <w:t xml:space="preserve">Source link</w:t>
          </w:r>
        </w:hyperlink>
      </w:hyperlink>
    </w:p>
    <w:p>
      <w:pPr>
        <w:numPr>
          <w:ilvl w:val="0"/>
          <w:numId w:val="1030"/>
        </w:numPr>
        <w:pStyle w:val="Compact"/>
      </w:pPr>
      <w:r>
        <w:t xml:space="preserve">Job Bank wages:</w:t>
      </w:r>
      <w:r>
        <w:t xml:space="preserve"> </w:t>
      </w:r>
      <w:hyperlink r:id="rId61">
        <w:hyperlink r:id="rId61">
          <w:r>
            <w:rPr>
              <w:rStyle w:val="Hyperlink"/>
            </w:rPr>
            <w:t xml:space="preserve">Source link</w:t>
          </w:r>
        </w:hyperlink>
      </w:hyperlink>
    </w:p>
    <w:p>
      <w:pPr>
        <w:numPr>
          <w:ilvl w:val="0"/>
          <w:numId w:val="1030"/>
        </w:numPr>
        <w:pStyle w:val="Compact"/>
      </w:pPr>
      <w:r>
        <w:t xml:space="preserve">Canada Student Aid:</w:t>
      </w:r>
      <w:r>
        <w:t xml:space="preserve"> </w:t>
      </w:r>
      <w:hyperlink r:id="rId62">
        <w:hyperlink r:id="rId62">
          <w:r>
            <w:rPr>
              <w:rStyle w:val="Hyperlink"/>
            </w:rPr>
            <w:t xml:space="preserve">Source link</w:t>
          </w:r>
        </w:hyperlink>
      </w:hyperlink>
    </w:p>
    <w:p>
      <w:pPr>
        <w:pStyle w:val="FirstParagraph"/>
      </w:pPr>
      <w:r>
        <w:rPr>
          <w:bCs/>
          <w:b/>
        </w:rPr>
        <w:t xml:space="preserve">Colombia / América Latina</w:t>
      </w:r>
    </w:p>
    <w:p>
      <w:pPr>
        <w:numPr>
          <w:ilvl w:val="0"/>
          <w:numId w:val="1031"/>
        </w:numPr>
        <w:pStyle w:val="Compact"/>
      </w:pPr>
      <w:r>
        <w:t xml:space="preserve">Colombia Ley 949 de 2005 — SUIN-Juriscol:</w:t>
      </w:r>
      <w:r>
        <w:t xml:space="preserve"> </w:t>
      </w:r>
      <w:hyperlink r:id="rId63">
        <w:hyperlink r:id="rId63">
          <w:r>
            <w:rPr>
              <w:rStyle w:val="Hyperlink"/>
            </w:rPr>
            <w:t xml:space="preserve">Source link</w:t>
          </w:r>
        </w:hyperlink>
      </w:hyperlink>
    </w:p>
    <w:p>
      <w:pPr>
        <w:numPr>
          <w:ilvl w:val="0"/>
          <w:numId w:val="1031"/>
        </w:numPr>
        <w:pStyle w:val="Compact"/>
      </w:pPr>
      <w:r>
        <w:t xml:space="preserve">SENA:</w:t>
      </w:r>
      <w:r>
        <w:t xml:space="preserve"> </w:t>
      </w:r>
      <w:hyperlink r:id="rId64">
        <w:r>
          <w:rPr>
            <w:rStyle w:val="Hyperlink"/>
          </w:rPr>
          <w:t xml:space="preserve">https://www.sena.edu.co/</w:t>
        </w:r>
      </w:hyperlink>
    </w:p>
    <w:p>
      <w:pPr>
        <w:numPr>
          <w:ilvl w:val="0"/>
          <w:numId w:val="1031"/>
        </w:numPr>
        <w:pStyle w:val="Compact"/>
      </w:pPr>
      <w:r>
        <w:t xml:space="preserve">Ministerio de Educación Nacional:</w:t>
      </w:r>
      <w:r>
        <w:t xml:space="preserve"> </w:t>
      </w:r>
      <w:hyperlink r:id="rId65">
        <w:r>
          <w:rPr>
            <w:rStyle w:val="Hyperlink"/>
          </w:rPr>
          <w:t xml:space="preserve">https://www.mineducacion.gov.co/</w:t>
        </w:r>
      </w:hyperlink>
    </w:p>
    <w:p>
      <w:pPr>
        <w:pStyle w:val="FirstParagraph"/>
      </w:pPr>
      <w:r>
        <w:rPr>
          <w:bCs/>
          <w:b/>
        </w:rPr>
        <w:t xml:space="preserve">Suplemento salarial privado</w:t>
      </w:r>
    </w:p>
    <w:p>
      <w:pPr>
        <w:numPr>
          <w:ilvl w:val="0"/>
          <w:numId w:val="1032"/>
        </w:numPr>
        <w:pStyle w:val="Compact"/>
      </w:pPr>
      <w:r>
        <w:t xml:space="preserve">Salary.com — Occupational Therapy Assistant Salary, updated August 1, 2026:</w:t>
      </w:r>
      <w:r>
        <w:t xml:space="preserve"> </w:t>
      </w:r>
      <w:hyperlink r:id="rId66">
        <w:hyperlink r:id="rId66">
          <w:r>
            <w:rPr>
              <w:rStyle w:val="Hyperlink"/>
            </w:rPr>
            <w:t xml:space="preserve">Source link</w:t>
          </w:r>
        </w:hyperlink>
      </w:hyperlink>
    </w:p>
    <w:bookmarkEnd w:id="67"/>
    <w:bookmarkStart w:id="68" w:name="comprobación-final-de-realidad"/>
    <w:p>
      <w:pPr>
        <w:pStyle w:val="Heading2"/>
      </w:pPr>
      <w:r>
        <w:t xml:space="preserve">Comprobación final de realidad</w:t>
      </w:r>
    </w:p>
    <w:p>
      <w:pPr>
        <w:pStyle w:val="FirstParagraph"/>
      </w:pPr>
      <w:r>
        <w:t xml:space="preserve">El trabajo de asistente de terapia ocupacional puede brindar servicio directo significativo, una fuerte demanda proyectada en Estados Unidos y múltiples entornos de práctica. También implica una responsabilidad considerable. Puedes trabajar con personas lesionadas, médicamente frágiles, con deterioro cognitivo, emocionalmente angustiadas, que están desarrollando nuevas habilidades o adaptándose a una discapacidad.</w:t>
      </w:r>
    </w:p>
    <w:p>
      <w:pPr>
        <w:pStyle w:val="BodyText"/>
      </w:pPr>
      <w:r>
        <w:t xml:space="preserve">La vía más segura no es el anuncio más rápido. Verifica acreditación, elegibilidad para certificación, licencia, alcance, prácticas de campo, costo total, financiamiento, exigencias físicas y condiciones laborales locales antes de comprometerte.</w:t>
      </w:r>
    </w:p>
    <w:p>
      <w:pPr>
        <w:pStyle w:val="BodyText"/>
      </w:pPr>
      <w:r>
        <w:t xml:space="preserve">Esta guía proporciona información general de educación y planificación profesional. No garantiza admisión, graduación, certificación, licencia, reconocimiento de credenciales, financiamiento, empleo, salario, promoción, estatus migratorio ni ningún otro resultado. No constituye asesoría médica, legal, financiera ni regulatoria.</w:t>
      </w:r>
    </w:p>
    <w:p>
      <w:pPr>
        <w:pStyle w:val="BodyText"/>
      </w:pPr>
      <w:r>
        <w:t xml:space="preserve">El proyecto no afirma certificación humana independiente, certificación profesional de traducción, revisión clínica, revisión legal, certificación de accesibilidad, acreditación, aprobación de licencia ni resultados garantizados salvo que dicha revisión se documente de manera separada y explícita.</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acoteonline.org/accreditation-explained/standards/" TargetMode="External" /><Relationship Type="http://schemas.openxmlformats.org/officeDocument/2006/relationships/hyperlink" Id="rId53" Target="https://acoteonline.org/all-schools/" TargetMode="External" /><Relationship Type="http://schemas.openxmlformats.org/officeDocument/2006/relationships/hyperlink" Id="rId58" Target="https://studentaid.gov/" TargetMode="External" /><Relationship Type="http://schemas.openxmlformats.org/officeDocument/2006/relationships/hyperlink" Id="rId52" Target="https://www.bls.gov/ooh/healthcare/occupational-therapy-assistants-and-aides.htm" TargetMode="External" /><Relationship Type="http://schemas.openxmlformats.org/officeDocument/2006/relationships/hyperlink" Id="rId62" Target="https://www.canada.ca/en/services/benefits/education/student-aid.html" TargetMode="External" /><Relationship Type="http://schemas.openxmlformats.org/officeDocument/2006/relationships/hyperlink" Id="rId59" Target="https://www.dol.gov/agencies/eta/advisories/training-and-employment-guidance-letter-no-08-19" TargetMode="External" /><Relationship Type="http://schemas.openxmlformats.org/officeDocument/2006/relationships/hyperlink" Id="rId60" Target="https://www.jobbank.gc.ca/marketreport/summary-occupation/25666/ca" TargetMode="External" /><Relationship Type="http://schemas.openxmlformats.org/officeDocument/2006/relationships/hyperlink" Id="rId61" Target="https://www.jobbank.gc.ca/marketreport/wages-occupation/25666/ca" TargetMode="External" /><Relationship Type="http://schemas.openxmlformats.org/officeDocument/2006/relationships/hyperlink" Id="rId65" Target="https://www.mineducacion.gov.co/" TargetMode="External" /><Relationship Type="http://schemas.openxmlformats.org/officeDocument/2006/relationships/hyperlink" Id="rId55" Target="https://www.nbcot.org/get-certified" TargetMode="External" /><Relationship Type="http://schemas.openxmlformats.org/officeDocument/2006/relationships/hyperlink" Id="rId56" Target="https://www.nbcot.org/get-certified/eligibility" TargetMode="External" /><Relationship Type="http://schemas.openxmlformats.org/officeDocument/2006/relationships/hyperlink" Id="rId57" Target="https://www.nbcot.org/occupational-therapy/what-is-an-otr-or-cota" TargetMode="External" /><Relationship Type="http://schemas.openxmlformats.org/officeDocument/2006/relationships/hyperlink" Id="rId66" Target="https://www.salary.com/research/salary/listing/occupational-therapy-assistant-salary" TargetMode="External" /><Relationship Type="http://schemas.openxmlformats.org/officeDocument/2006/relationships/hyperlink" Id="rId64" Target="https://www.sena.edu.co/" TargetMode="External" /><Relationship Type="http://schemas.openxmlformats.org/officeDocument/2006/relationships/hyperlink" Id="rId63" Target="https://www.suin-juriscol.gov.co/viewDocument.asp?id=1671650" TargetMode="External" /></Relationships>
</file>

<file path=word/_rels/footnotes.xml.rels><?xml version="1.0" encoding="UTF-8"?><Relationships xmlns="http://schemas.openxmlformats.org/package/2006/relationships"><Relationship Type="http://schemas.openxmlformats.org/officeDocument/2006/relationships/hyperlink" Id="rId54" Target="https://acoteonline.org/accreditation-explained/standards/" TargetMode="External" /><Relationship Type="http://schemas.openxmlformats.org/officeDocument/2006/relationships/hyperlink" Id="rId53" Target="https://acoteonline.org/all-schools/" TargetMode="External" /><Relationship Type="http://schemas.openxmlformats.org/officeDocument/2006/relationships/hyperlink" Id="rId58" Target="https://studentaid.gov/" TargetMode="External" /><Relationship Type="http://schemas.openxmlformats.org/officeDocument/2006/relationships/hyperlink" Id="rId52" Target="https://www.bls.gov/ooh/healthcare/occupational-therapy-assistants-and-aides.htm" TargetMode="External" /><Relationship Type="http://schemas.openxmlformats.org/officeDocument/2006/relationships/hyperlink" Id="rId62" Target="https://www.canada.ca/en/services/benefits/education/student-aid.html" TargetMode="External" /><Relationship Type="http://schemas.openxmlformats.org/officeDocument/2006/relationships/hyperlink" Id="rId59" Target="https://www.dol.gov/agencies/eta/advisories/training-and-employment-guidance-letter-no-08-19" TargetMode="External" /><Relationship Type="http://schemas.openxmlformats.org/officeDocument/2006/relationships/hyperlink" Id="rId60" Target="https://www.jobbank.gc.ca/marketreport/summary-occupation/25666/ca" TargetMode="External" /><Relationship Type="http://schemas.openxmlformats.org/officeDocument/2006/relationships/hyperlink" Id="rId61" Target="https://www.jobbank.gc.ca/marketreport/wages-occupation/25666/ca" TargetMode="External" /><Relationship Type="http://schemas.openxmlformats.org/officeDocument/2006/relationships/hyperlink" Id="rId65" Target="https://www.mineducacion.gov.co/" TargetMode="External" /><Relationship Type="http://schemas.openxmlformats.org/officeDocument/2006/relationships/hyperlink" Id="rId55" Target="https://www.nbcot.org/get-certified" TargetMode="External" /><Relationship Type="http://schemas.openxmlformats.org/officeDocument/2006/relationships/hyperlink" Id="rId56" Target="https://www.nbcot.org/get-certified/eligibility" TargetMode="External" /><Relationship Type="http://schemas.openxmlformats.org/officeDocument/2006/relationships/hyperlink" Id="rId57" Target="https://www.nbcot.org/occupational-therapy/what-is-an-otr-or-cota" TargetMode="External" /><Relationship Type="http://schemas.openxmlformats.org/officeDocument/2006/relationships/hyperlink" Id="rId66" Target="https://www.salary.com/research/salary/listing/occupational-therapy-assistant-salary" TargetMode="External" /><Relationship Type="http://schemas.openxmlformats.org/officeDocument/2006/relationships/hyperlink" Id="rId64" Target="https://www.sena.edu.co/" TargetMode="External" /><Relationship Type="http://schemas.openxmlformats.org/officeDocument/2006/relationships/hyperlink" Id="rId63" Target="https://www.suin-juriscol.gov.co/viewDocument.asp?id=16716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2026-08-20T01:39:56Z</dcterms:created>
  <dcterms:modified xsi:type="dcterms:W3CDTF">2026-08-20T01:39:56Z</dcterms:modified>
</cp:coreProperties>
</file>

<file path=docProps/custom.xml><?xml version="1.0" encoding="utf-8"?>
<Properties xmlns="http://schemas.openxmlformats.org/officeDocument/2006/custom-properties" xmlns:vt="http://schemas.openxmlformats.org/officeDocument/2006/docPropsVTypes"/>
</file>