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Xa0acafccb1d20bbdc216d4363d09814445d20cf"/>
    <w:p>
      <w:pPr>
        <w:pStyle w:val="Heading1"/>
      </w:pPr>
      <w:r>
        <w:t xml:space="preserve">Guía de Oportunidades para Toda la Vida 82 — Técnico de soporte informático y mesa de ayuda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2.0, maestro de trabajo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neutro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Fuente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2310072e0cdc2fd48e4a37a57106b37bcf51bd84</w:t>
      </w:r>
      <w:r>
        <w:br/>
      </w:r>
      <w:r>
        <w:rPr>
          <w:bCs/>
          <w:b/>
        </w:rPr>
        <w:t xml:space="preserve">Referencia principal de EE. UU.:</w:t>
      </w:r>
      <w:r>
        <w:t xml:space="preserve"> </w:t>
      </w:r>
      <w:r>
        <w:t xml:space="preserve">O*NET-SOC 15-1232.00 — Computer User Support Specialists</w:t>
      </w:r>
      <w:r>
        <w:br/>
      </w:r>
      <w:r>
        <w:rPr>
          <w:bCs/>
          <w:b/>
        </w:rPr>
        <w:t xml:space="preserve">Comparación de Canadá:</w:t>
      </w:r>
      <w:r>
        <w:t xml:space="preserve"> </w:t>
      </w:r>
      <w:r>
        <w:t xml:space="preserve">NOC 22221 — User support technicians</w:t>
      </w:r>
      <w:r>
        <w:br/>
      </w:r>
      <w:r>
        <w:rPr>
          <w:bCs/>
          <w:b/>
        </w:rPr>
        <w:t xml:space="preserve">Comparación de Colombia:</w:t>
      </w:r>
      <w:r>
        <w:t xml:space="preserve"> </w:t>
      </w:r>
      <w:r>
        <w:t xml:space="preserve">CUOC 35121 — ocupaciones de soporte a usuarios y mesa de ayuda TIC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2026-08-21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Las personas que trabajan en soporte informático y mesa de ayuda ayudan a otras personas a usar la tecnología de forma segura y productiva. Diagnostican problemas, explican soluciones, configuran dispositivos y aplicaciones autorizados, restauran acceso dentro de su autoridad, documentan lo ocurrido y escalan los casos que requieren a otro equipo o responsable.</w:t>
      </w:r>
    </w:p>
    <w:p>
      <w:pPr>
        <w:pStyle w:val="BodyText"/>
      </w:pPr>
      <w:r>
        <w:t xml:space="preserve">El trabajo puede hacerse en una mesa de atención, por teléfono, chat, correo electrónico, sistema de tickets, sesión remota o directamente frente al dispositivo. Los títulos cambian: técnico de mesa de ayuda, analista de service desk, especialista de soporte TI, técnico de soporte de escritorio, técnico de computadores, soporte a usuarios o soporte técnico.</w:t>
      </w:r>
    </w:p>
    <w:p>
      <w:pPr>
        <w:pStyle w:val="BodyText"/>
      </w:pPr>
      <w:r>
        <w:t xml:space="preserve">Esta guía usa</w:t>
      </w:r>
      <w:r>
        <w:t xml:space="preserve"> </w:t>
      </w:r>
      <w:r>
        <w:rPr>
          <w:bCs/>
          <w:b/>
        </w:rPr>
        <w:t xml:space="preserve">O*NET-SOC 15-1232.00 — Computer User Support Specialists</w:t>
      </w:r>
      <w:r>
        <w:t xml:space="preserve"> </w:t>
      </w:r>
      <w:r>
        <w:t xml:space="preserve">como referencia principal de Estados Unidos. O*NET describe un rol que responde preguntas, investiga problemas de hardware o software, instala y configura equipos, realiza reparaciones menores, consulta documentación técnica y verifica el funcionamiento de sistemas. La ocupación está en</w:t>
      </w:r>
      <w:r>
        <w:t xml:space="preserve"> </w:t>
      </w:r>
      <w:r>
        <w:rPr>
          <w:bCs/>
          <w:b/>
        </w:rPr>
        <w:t xml:space="preserve">Job Zone Three — Medium Preparation Needed</w:t>
      </w:r>
      <w:r>
        <w:t xml:space="preserve">.</w:t>
      </w:r>
    </w:p>
    <w:p>
      <w:pPr>
        <w:pStyle w:val="BodyText"/>
      </w:pPr>
      <w:r>
        <w:t xml:space="preserve">El soporte no es solo “arreglar computadores”. Un buen soporte protege identidad, acceso, datos, disponibilidad, confianza y continuidad del trabajo. Una solución rápida que crea un problema de seguridad, privacidad, accesibilidad o control de cambios no es una buena solución.</w:t>
      </w:r>
    </w:p>
    <w:bookmarkEnd w:id="20"/>
    <w:bookmarkStart w:id="21" w:name="Xceac216b5ec94f9a275d25a82cb85025d69a8db"/>
    <w:p>
      <w:pPr>
        <w:pStyle w:val="Heading2"/>
      </w:pPr>
      <w:r>
        <w:t xml:space="preserve">Por qué todavía puede ser una oportunidad</w:t>
      </w:r>
    </w:p>
    <w:p>
      <w:pPr>
        <w:pStyle w:val="FirstParagraph"/>
      </w:pPr>
      <w:r>
        <w:t xml:space="preserve">La proyección oficial de Estados Unidos muestra una disminución del empleo total entre 2024 y 2034. Esta guía no promete crecimiento ilimitado del trabajo básico y repetitivo de mesa de ayuda. Sin embargo, O*NET/BLS proyecta</w:t>
      </w:r>
      <w:r>
        <w:t xml:space="preserve"> </w:t>
      </w:r>
      <w:r>
        <w:rPr>
          <w:bCs/>
          <w:b/>
        </w:rPr>
        <w:t xml:space="preserve">40,800 vacantes anuales</w:t>
      </w:r>
      <w:r>
        <w:t xml:space="preserve"> </w:t>
      </w:r>
      <w:r>
        <w:t xml:space="preserve">durante ese periodo porque las vacantes incluyen reemplazos, no solo crecimiento neto.</w:t>
      </w:r>
    </w:p>
    <w:p>
      <w:pPr>
        <w:pStyle w:val="BodyText"/>
      </w:pPr>
      <w:r>
        <w:t xml:space="preserve">Además, soporte puede ser una puerta de entrada hacia:</w:t>
      </w:r>
    </w:p>
    <w:p>
      <w:pPr>
        <w:numPr>
          <w:ilvl w:val="0"/>
          <w:numId w:val="1001"/>
        </w:numPr>
        <w:pStyle w:val="Compact"/>
      </w:pPr>
      <w:r>
        <w:t xml:space="preserve">soporte de endpoints y escritorio;</w:t>
      </w:r>
    </w:p>
    <w:p>
      <w:pPr>
        <w:numPr>
          <w:ilvl w:val="0"/>
          <w:numId w:val="1001"/>
        </w:numPr>
        <w:pStyle w:val="Compact"/>
      </w:pPr>
      <w:r>
        <w:t xml:space="preserve">soporte de redes;</w:t>
      </w:r>
    </w:p>
    <w:p>
      <w:pPr>
        <w:numPr>
          <w:ilvl w:val="0"/>
          <w:numId w:val="1001"/>
        </w:numPr>
        <w:pStyle w:val="Compact"/>
      </w:pPr>
      <w:r>
        <w:t xml:space="preserve">soporte de nube;</w:t>
      </w:r>
    </w:p>
    <w:p>
      <w:pPr>
        <w:numPr>
          <w:ilvl w:val="0"/>
          <w:numId w:val="1001"/>
        </w:numPr>
        <w:pStyle w:val="Compact"/>
      </w:pPr>
      <w:r>
        <w:t xml:space="preserve">identidad y gestión de accesos;</w:t>
      </w:r>
    </w:p>
    <w:p>
      <w:pPr>
        <w:numPr>
          <w:ilvl w:val="0"/>
          <w:numId w:val="1001"/>
        </w:numPr>
        <w:pStyle w:val="Compact"/>
      </w:pPr>
      <w:r>
        <w:t xml:space="preserve">ciberseguridad;</w:t>
      </w:r>
    </w:p>
    <w:p>
      <w:pPr>
        <w:numPr>
          <w:ilvl w:val="0"/>
          <w:numId w:val="1001"/>
        </w:numPr>
        <w:pStyle w:val="Compact"/>
      </w:pPr>
      <w:r>
        <w:t xml:space="preserve">administración de sistemas;</w:t>
      </w:r>
    </w:p>
    <w:p>
      <w:pPr>
        <w:numPr>
          <w:ilvl w:val="0"/>
          <w:numId w:val="1001"/>
        </w:numPr>
        <w:pStyle w:val="Compact"/>
      </w:pPr>
      <w:r>
        <w:t xml:space="preserve">gestión de servicios TI;</w:t>
      </w:r>
    </w:p>
    <w:p>
      <w:pPr>
        <w:numPr>
          <w:ilvl w:val="0"/>
          <w:numId w:val="1001"/>
        </w:numPr>
        <w:pStyle w:val="Compact"/>
      </w:pPr>
      <w:r>
        <w:t xml:space="preserve">soporte de aplicaciones;</w:t>
      </w:r>
    </w:p>
    <w:p>
      <w:pPr>
        <w:numPr>
          <w:ilvl w:val="0"/>
          <w:numId w:val="1001"/>
        </w:numPr>
        <w:pStyle w:val="Compact"/>
      </w:pPr>
      <w:r>
        <w:t xml:space="preserve">formación técnica.</w:t>
      </w:r>
    </w:p>
    <w:p>
      <w:pPr>
        <w:pStyle w:val="FirstParagraph"/>
      </w:pPr>
      <w:r>
        <w:t xml:space="preserve">La estrategia más resistente a automatización es desarrollar habilidades transferibles: diagnóstico preciso, escucha activa, verificación de identidad, remediación segura, documentación, contexto de dispositivos y aplicaciones, escalamiento, accesibilidad, seguridad, análisis de patrones y aprendizaje rápido de nuevas plataformas.</w:t>
      </w:r>
    </w:p>
    <w:bookmarkEnd w:id="21"/>
    <w:bookmarkStart w:id="27" w:name="Xe08cd02207de82caeffb8f635c2135d6d81380a"/>
    <w:p>
      <w:pPr>
        <w:pStyle w:val="Heading2"/>
      </w:pPr>
      <w:r>
        <w:t xml:space="preserve">Mesa de ayuda, soporte de escritorio, redes, administración y seguridad son roles distintos</w:t>
      </w:r>
    </w:p>
    <w:bookmarkStart w:id="22" w:name="mesa-de-ayuda-o-service-desk"/>
    <w:p>
      <w:pPr>
        <w:pStyle w:val="Heading3"/>
      </w:pPr>
      <w:r>
        <w:t xml:space="preserve">Mesa de ayuda o service desk</w:t>
      </w:r>
    </w:p>
    <w:p>
      <w:pPr>
        <w:pStyle w:val="FirstParagraph"/>
      </w:pPr>
      <w:r>
        <w:t xml:space="preserve">Suele enfocarse en recepción, clasificación, problemas comunes, flujos autorizados de acceso, diagnóstico inicial, artículos de conocimiento, documentación, comunicación y escalamiento.</w:t>
      </w:r>
    </w:p>
    <w:bookmarkEnd w:id="22"/>
    <w:bookmarkStart w:id="23" w:name="soporte-de-escritorio-o-endpoint"/>
    <w:p>
      <w:pPr>
        <w:pStyle w:val="Heading3"/>
      </w:pPr>
      <w:r>
        <w:t xml:space="preserve">Soporte de escritorio o endpoint</w:t>
      </w:r>
    </w:p>
    <w:p>
      <w:pPr>
        <w:pStyle w:val="FirstParagraph"/>
      </w:pPr>
      <w:r>
        <w:t xml:space="preserve">Puede incluir despliegue de estaciones, instalación autorizada de software, configuración de sistema operativo, periféricos, inscripción de dispositivos, mantenimiento y soporte remoto o presencial más profundo.</w:t>
      </w:r>
    </w:p>
    <w:bookmarkEnd w:id="23"/>
    <w:bookmarkStart w:id="24" w:name="soporte-de-redes"/>
    <w:p>
      <w:pPr>
        <w:pStyle w:val="Heading3"/>
      </w:pPr>
      <w:r>
        <w:t xml:space="preserve">Soporte de redes</w:t>
      </w:r>
    </w:p>
    <w:p>
      <w:pPr>
        <w:pStyle w:val="FirstParagraph"/>
      </w:pPr>
      <w:r>
        <w:t xml:space="preserve">Puede trabajar con Wi-Fi, switches, VPN, DNS, DHCP, cableado, monitoreo y problemas de conectividad según la autoridad asignada. La Guía 83 trata esta área por separado.</w:t>
      </w:r>
    </w:p>
    <w:bookmarkEnd w:id="24"/>
    <w:bookmarkStart w:id="25" w:name="X9def353d93b0997db6904d7697be8332bd48c1c"/>
    <w:p>
      <w:pPr>
        <w:pStyle w:val="Heading3"/>
      </w:pPr>
      <w:r>
        <w:t xml:space="preserve">Administración de sistemas, nube o identidad</w:t>
      </w:r>
    </w:p>
    <w:p>
      <w:pPr>
        <w:pStyle w:val="FirstParagraph"/>
      </w:pPr>
      <w:r>
        <w:t xml:space="preserve">Puede tener privilegios sobre servidores, tenants de nube, directorios, políticas o aplicaciones empresariales. Tener acceso técnico a una consola no significa tener autorización para hacer cualquier cambio.</w:t>
      </w:r>
    </w:p>
    <w:bookmarkEnd w:id="25"/>
    <w:bookmarkStart w:id="26" w:name="ciberseguridad"/>
    <w:p>
      <w:pPr>
        <w:pStyle w:val="Heading3"/>
      </w:pPr>
      <w:r>
        <w:t xml:space="preserve">Ciberseguridad</w:t>
      </w:r>
    </w:p>
    <w:p>
      <w:pPr>
        <w:pStyle w:val="FirstParagraph"/>
      </w:pPr>
      <w:r>
        <w:t xml:space="preserve">Los equipos de seguridad pueden ser responsables de respuesta a incidentes, investigación de amenazas, arquitectura, políticas de acceso y excepciones. La mesa de ayuda suele detectar señales tempranas, pero debe preservar evidencia y escalar en lugar de improvisar una investigación fuera de su función.</w:t>
      </w:r>
    </w:p>
    <w:bookmarkEnd w:id="26"/>
    <w:bookmarkEnd w:id="27"/>
    <w:bookmarkStart w:id="28" w:name="límites-de-autoridad-profesional"/>
    <w:p>
      <w:pPr>
        <w:pStyle w:val="Heading2"/>
      </w:pPr>
      <w:r>
        <w:t xml:space="preserve">Límites de autoridad profesional</w:t>
      </w:r>
    </w:p>
    <w:p>
      <w:pPr>
        <w:pStyle w:val="FirstParagraph"/>
      </w:pPr>
      <w:r>
        <w:t xml:space="preserve">Un cargo de soporte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autoriza automáticamente a una persona para:</w:t>
      </w:r>
    </w:p>
    <w:p>
      <w:pPr>
        <w:numPr>
          <w:ilvl w:val="0"/>
          <w:numId w:val="1002"/>
        </w:numPr>
        <w:pStyle w:val="Compact"/>
      </w:pPr>
      <w:r>
        <w:t xml:space="preserve">restablecer o desbloquear una cuenta sin la verificación de identidad exigida;</w:t>
      </w:r>
    </w:p>
    <w:p>
      <w:pPr>
        <w:numPr>
          <w:ilvl w:val="0"/>
          <w:numId w:val="1002"/>
        </w:numPr>
        <w:pStyle w:val="Compact"/>
      </w:pPr>
      <w:r>
        <w:t xml:space="preserve">omitir MFA;</w:t>
      </w:r>
    </w:p>
    <w:p>
      <w:pPr>
        <w:numPr>
          <w:ilvl w:val="0"/>
          <w:numId w:val="1002"/>
        </w:numPr>
        <w:pStyle w:val="Compact"/>
      </w:pPr>
      <w:r>
        <w:t xml:space="preserve">desactivar protección endpoint para “hacer funcionar” una aplicación;</w:t>
      </w:r>
    </w:p>
    <w:p>
      <w:pPr>
        <w:numPr>
          <w:ilvl w:val="0"/>
          <w:numId w:val="1002"/>
        </w:numPr>
        <w:pStyle w:val="Compact"/>
      </w:pPr>
      <w:r>
        <w:t xml:space="preserve">otorgar privilegios locales, de dominio, nube, base de datos o aplicación sin aprobación;</w:t>
      </w:r>
    </w:p>
    <w:p>
      <w:pPr>
        <w:numPr>
          <w:ilvl w:val="0"/>
          <w:numId w:val="1002"/>
        </w:numPr>
        <w:pStyle w:val="Compact"/>
      </w:pPr>
      <w:r>
        <w:t xml:space="preserve">cambiar políticas de firewall, redes, identidad, seguridad, retención o privacidad por cuenta propia;</w:t>
      </w:r>
    </w:p>
    <w:p>
      <w:pPr>
        <w:numPr>
          <w:ilvl w:val="0"/>
          <w:numId w:val="1002"/>
        </w:numPr>
        <w:pStyle w:val="Compact"/>
      </w:pPr>
      <w:r>
        <w:t xml:space="preserve">copiar archivos del usuario a almacenamiento personal;</w:t>
      </w:r>
    </w:p>
    <w:p>
      <w:pPr>
        <w:numPr>
          <w:ilvl w:val="0"/>
          <w:numId w:val="1002"/>
        </w:numPr>
        <w:pStyle w:val="Compact"/>
      </w:pPr>
      <w:r>
        <w:t xml:space="preserve">revisar información no relacionada solo porque existe acceso técnico;</w:t>
      </w:r>
    </w:p>
    <w:p>
      <w:pPr>
        <w:numPr>
          <w:ilvl w:val="0"/>
          <w:numId w:val="1002"/>
        </w:numPr>
        <w:pStyle w:val="Compact"/>
      </w:pPr>
      <w:r>
        <w:t xml:space="preserve">pedir una contraseña cuando la política lo prohíbe;</w:t>
      </w:r>
    </w:p>
    <w:p>
      <w:pPr>
        <w:numPr>
          <w:ilvl w:val="0"/>
          <w:numId w:val="1002"/>
        </w:numPr>
        <w:pStyle w:val="Compact"/>
      </w:pPr>
      <w:r>
        <w:t xml:space="preserve">guardar contraseñas, tokens o códigos de recuperación en tickets;</w:t>
      </w:r>
    </w:p>
    <w:p>
      <w:pPr>
        <w:numPr>
          <w:ilvl w:val="0"/>
          <w:numId w:val="1002"/>
        </w:numPr>
        <w:pStyle w:val="Compact"/>
      </w:pPr>
      <w:r>
        <w:t xml:space="preserve">usar herramientas remotas no aprobadas;</w:t>
      </w:r>
    </w:p>
    <w:p>
      <w:pPr>
        <w:numPr>
          <w:ilvl w:val="0"/>
          <w:numId w:val="1002"/>
        </w:numPr>
        <w:pStyle w:val="Compact"/>
      </w:pPr>
      <w:r>
        <w:t xml:space="preserve">instalar software no autorizado o sin licencia;</w:t>
      </w:r>
    </w:p>
    <w:p>
      <w:pPr>
        <w:numPr>
          <w:ilvl w:val="0"/>
          <w:numId w:val="1002"/>
        </w:numPr>
        <w:pStyle w:val="Compact"/>
      </w:pPr>
      <w:r>
        <w:t xml:space="preserve">realizar cambios productivos fuera de su autoridad;</w:t>
      </w:r>
    </w:p>
    <w:p>
      <w:pPr>
        <w:numPr>
          <w:ilvl w:val="0"/>
          <w:numId w:val="1002"/>
        </w:numPr>
        <w:pStyle w:val="Compact"/>
      </w:pPr>
      <w:r>
        <w:t xml:space="preserve">borrar, reinstalar o reemplazar un dispositivo sin revisar respaldo, autorización y retención;</w:t>
      </w:r>
    </w:p>
    <w:p>
      <w:pPr>
        <w:numPr>
          <w:ilvl w:val="0"/>
          <w:numId w:val="1002"/>
        </w:numPr>
        <w:pStyle w:val="Compact"/>
      </w:pPr>
      <w:r>
        <w:t xml:space="preserve">ocultar errores, incidentes, exposición de datos o cambios fallidos;</w:t>
      </w:r>
    </w:p>
    <w:p>
      <w:pPr>
        <w:numPr>
          <w:ilvl w:val="0"/>
          <w:numId w:val="1002"/>
        </w:numPr>
        <w:pStyle w:val="Compact"/>
      </w:pPr>
      <w:r>
        <w:t xml:space="preserve">subir logs, credenciales, capturas o configuraciones internas a una IA no aprobada;</w:t>
      </w:r>
    </w:p>
    <w:p>
      <w:pPr>
        <w:numPr>
          <w:ilvl w:val="0"/>
          <w:numId w:val="1002"/>
        </w:numPr>
        <w:pStyle w:val="Compact"/>
      </w:pPr>
      <w:r>
        <w:t xml:space="preserve">tratar una recomendación de IA como autoridad técnica sin verificación.</w:t>
      </w:r>
    </w:p>
    <w:p>
      <w:pPr>
        <w:pStyle w:val="FirstParagraph"/>
      </w:pPr>
      <w:r>
        <w:t xml:space="preserve">Cuando la autoridad no esté clara, deténgase y escale. Saber cómo hacer algo no es lo mismo que estar autorizado para hacerlo.</w:t>
      </w:r>
    </w:p>
    <w:bookmarkEnd w:id="28"/>
    <w:bookmarkStart w:id="29" w:name="responsabilidades-habituales"/>
    <w:p>
      <w:pPr>
        <w:pStyle w:val="Heading2"/>
      </w:pPr>
      <w:r>
        <w:t xml:space="preserve">Responsabilidades habituales</w:t>
      </w:r>
    </w:p>
    <w:p>
      <w:pPr>
        <w:pStyle w:val="FirstParagraph"/>
      </w:pPr>
      <w:r>
        <w:t xml:space="preserve">Según el empleador y el nivel, una persona puede:</w:t>
      </w:r>
    </w:p>
    <w:p>
      <w:pPr>
        <w:numPr>
          <w:ilvl w:val="0"/>
          <w:numId w:val="1003"/>
        </w:numPr>
        <w:pStyle w:val="Compact"/>
      </w:pPr>
      <w:r>
        <w:t xml:space="preserve">recibir incidentes y solicitudes;</w:t>
      </w:r>
    </w:p>
    <w:p>
      <w:pPr>
        <w:numPr>
          <w:ilvl w:val="0"/>
          <w:numId w:val="1003"/>
        </w:numPr>
        <w:pStyle w:val="Compact"/>
      </w:pPr>
      <w:r>
        <w:t xml:space="preserve">identificar usuario, dispositivo, aplicación, ubicación e impacto;</w:t>
      </w:r>
    </w:p>
    <w:p>
      <w:pPr>
        <w:numPr>
          <w:ilvl w:val="0"/>
          <w:numId w:val="1003"/>
        </w:numPr>
        <w:pStyle w:val="Compact"/>
      </w:pPr>
      <w:r>
        <w:t xml:space="preserve">reproducir o aclarar el síntoma;</w:t>
      </w:r>
    </w:p>
    <w:p>
      <w:pPr>
        <w:numPr>
          <w:ilvl w:val="0"/>
          <w:numId w:val="1003"/>
        </w:numPr>
        <w:pStyle w:val="Compact"/>
      </w:pPr>
      <w:r>
        <w:t xml:space="preserve">formular preguntas de diagnóstico;</w:t>
      </w:r>
    </w:p>
    <w:p>
      <w:pPr>
        <w:numPr>
          <w:ilvl w:val="0"/>
          <w:numId w:val="1003"/>
        </w:numPr>
        <w:pStyle w:val="Compact"/>
      </w:pPr>
      <w:r>
        <w:t xml:space="preserve">comprobar interrupciones conocidas y ventanas de mantenimiento;</w:t>
      </w:r>
    </w:p>
    <w:p>
      <w:pPr>
        <w:numPr>
          <w:ilvl w:val="0"/>
          <w:numId w:val="1003"/>
        </w:numPr>
        <w:pStyle w:val="Compact"/>
      </w:pPr>
      <w:r>
        <w:t xml:space="preserve">revisar logs o diagnósticos autorizados;</w:t>
      </w:r>
    </w:p>
    <w:p>
      <w:pPr>
        <w:numPr>
          <w:ilvl w:val="0"/>
          <w:numId w:val="1003"/>
        </w:numPr>
        <w:pStyle w:val="Compact"/>
      </w:pPr>
      <w:r>
        <w:t xml:space="preserve">comprobar red, cuenta, almacenamiento, actualizaciones y aplicaciones;</w:t>
      </w:r>
    </w:p>
    <w:p>
      <w:pPr>
        <w:numPr>
          <w:ilvl w:val="0"/>
          <w:numId w:val="1003"/>
        </w:numPr>
        <w:pStyle w:val="Compact"/>
      </w:pPr>
      <w:r>
        <w:t xml:space="preserve">restablecer credenciales mediante proceso aprobado;</w:t>
      </w:r>
    </w:p>
    <w:p>
      <w:pPr>
        <w:numPr>
          <w:ilvl w:val="0"/>
          <w:numId w:val="1003"/>
        </w:numPr>
        <w:pStyle w:val="Compact"/>
      </w:pPr>
      <w:r>
        <w:t xml:space="preserve">apoyar inscripción o recuperación de MFA según política;</w:t>
      </w:r>
    </w:p>
    <w:p>
      <w:pPr>
        <w:numPr>
          <w:ilvl w:val="0"/>
          <w:numId w:val="1003"/>
        </w:numPr>
        <w:pStyle w:val="Compact"/>
      </w:pPr>
      <w:r>
        <w:t xml:space="preserve">configurar equipos y aplicaciones autorizados;</w:t>
      </w:r>
    </w:p>
    <w:p>
      <w:pPr>
        <w:numPr>
          <w:ilvl w:val="0"/>
          <w:numId w:val="1003"/>
        </w:numPr>
        <w:pStyle w:val="Compact"/>
      </w:pPr>
      <w:r>
        <w:t xml:space="preserve">instalar software autorizado;</w:t>
      </w:r>
    </w:p>
    <w:p>
      <w:pPr>
        <w:numPr>
          <w:ilvl w:val="0"/>
          <w:numId w:val="1003"/>
        </w:numPr>
        <w:pStyle w:val="Compact"/>
      </w:pPr>
      <w:r>
        <w:t xml:space="preserve">conectar impresoras y periféricos;</w:t>
      </w:r>
    </w:p>
    <w:p>
      <w:pPr>
        <w:numPr>
          <w:ilvl w:val="0"/>
          <w:numId w:val="1003"/>
        </w:numPr>
        <w:pStyle w:val="Compact"/>
      </w:pPr>
      <w:r>
        <w:t xml:space="preserve">apoyar correo, colaboración, navegadores y aplicaciones de negocio;</w:t>
      </w:r>
    </w:p>
    <w:p>
      <w:pPr>
        <w:numPr>
          <w:ilvl w:val="0"/>
          <w:numId w:val="1003"/>
        </w:numPr>
        <w:pStyle w:val="Compact"/>
      </w:pPr>
      <w:r>
        <w:t xml:space="preserve">apoyar Windows, macOS, Linux, iOS, Android u otras plataformas asignadas;</w:t>
      </w:r>
    </w:p>
    <w:p>
      <w:pPr>
        <w:numPr>
          <w:ilvl w:val="0"/>
          <w:numId w:val="1003"/>
        </w:numPr>
        <w:pStyle w:val="Compact"/>
      </w:pPr>
      <w:r>
        <w:t xml:space="preserve">asistir con VPN y acceso remoto;</w:t>
      </w:r>
    </w:p>
    <w:p>
      <w:pPr>
        <w:numPr>
          <w:ilvl w:val="0"/>
          <w:numId w:val="1003"/>
        </w:numPr>
        <w:pStyle w:val="Compact"/>
      </w:pPr>
      <w:r>
        <w:t xml:space="preserve">realizar reparaciones menores;</w:t>
      </w:r>
    </w:p>
    <w:p>
      <w:pPr>
        <w:numPr>
          <w:ilvl w:val="0"/>
          <w:numId w:val="1003"/>
        </w:numPr>
        <w:pStyle w:val="Compact"/>
      </w:pPr>
      <w:r>
        <w:t xml:space="preserve">documentar hallazgos, acciones y resultados;</w:t>
      </w:r>
    </w:p>
    <w:p>
      <w:pPr>
        <w:numPr>
          <w:ilvl w:val="0"/>
          <w:numId w:val="1003"/>
        </w:numPr>
        <w:pStyle w:val="Compact"/>
      </w:pPr>
      <w:r>
        <w:t xml:space="preserve">usar y mejorar bases de conocimiento;</w:t>
      </w:r>
    </w:p>
    <w:p>
      <w:pPr>
        <w:numPr>
          <w:ilvl w:val="0"/>
          <w:numId w:val="1003"/>
        </w:numPr>
        <w:pStyle w:val="Compact"/>
      </w:pPr>
      <w:r>
        <w:t xml:space="preserve">comunicar estado y expectativas;</w:t>
      </w:r>
    </w:p>
    <w:p>
      <w:pPr>
        <w:numPr>
          <w:ilvl w:val="0"/>
          <w:numId w:val="1003"/>
        </w:numPr>
        <w:pStyle w:val="Compact"/>
      </w:pPr>
      <w:r>
        <w:t xml:space="preserve">escalar con evidencia útil;</w:t>
      </w:r>
    </w:p>
    <w:p>
      <w:pPr>
        <w:numPr>
          <w:ilvl w:val="0"/>
          <w:numId w:val="1003"/>
        </w:numPr>
        <w:pStyle w:val="Compact"/>
      </w:pPr>
      <w:r>
        <w:t xml:space="preserve">confirmar restauración antes de cerrar;</w:t>
      </w:r>
    </w:p>
    <w:p>
      <w:pPr>
        <w:numPr>
          <w:ilvl w:val="0"/>
          <w:numId w:val="1003"/>
        </w:numPr>
        <w:pStyle w:val="Compact"/>
      </w:pPr>
      <w:r>
        <w:t xml:space="preserve">identificar patrones repetitivos para gestión de problemas.</w:t>
      </w:r>
    </w:p>
    <w:bookmarkEnd w:id="29"/>
    <w:bookmarkStart w:id="37" w:name="método-repetible-de-diagnóstico"/>
    <w:p>
      <w:pPr>
        <w:pStyle w:val="Heading2"/>
      </w:pPr>
      <w:r>
        <w:t xml:space="preserve">Método repetible de diagnóstico</w:t>
      </w:r>
    </w:p>
    <w:bookmarkStart w:id="30" w:name="X7570ad2da79a2ac403ec690d3a069445b246dfa"/>
    <w:p>
      <w:pPr>
        <w:pStyle w:val="Heading3"/>
      </w:pPr>
      <w:r>
        <w:t xml:space="preserve">1. Confirmar solicitud e impacto</w:t>
      </w:r>
    </w:p>
    <w:p>
      <w:pPr>
        <w:pStyle w:val="FirstParagraph"/>
      </w:pPr>
      <w:r>
        <w:t xml:space="preserve">Determine quién está afectado, qué intenta hacer, qué ocurre en realidad, cuándo comenzó, si afecta a una o muchas personas, si es intermitente, qué cambió, qué dispositivo/sistema/aplicación/red/cuenta intervienen y cuál es el impacto de negocio.</w:t>
      </w:r>
    </w:p>
    <w:p>
      <w:pPr>
        <w:pStyle w:val="BodyText"/>
      </w:pPr>
      <w:r>
        <w:t xml:space="preserve">No acepte automáticamente el primer diagnóstico del usuario. “No hay internet” puede ser DNS, Wi-Fi, VPN, navegador, autenticación, una aplicación específica o una caída general.</w:t>
      </w:r>
    </w:p>
    <w:bookmarkEnd w:id="30"/>
    <w:bookmarkStart w:id="31" w:name="Xfac44ca2cb422ea5082a9fc4787e8992ec49c6e"/>
    <w:p>
      <w:pPr>
        <w:pStyle w:val="Heading3"/>
      </w:pPr>
      <w:r>
        <w:t xml:space="preserve">2. Revisar alcance y condiciones conocidas</w:t>
      </w:r>
    </w:p>
    <w:p>
      <w:pPr>
        <w:pStyle w:val="FirstParagraph"/>
      </w:pPr>
      <w:r>
        <w:t xml:space="preserve">Antes de modificar algo, revise estado del servicio, incidentes conocidos, mantenimiento, cambios recientes y si otras personas pueden reproducir el problema.</w:t>
      </w:r>
    </w:p>
    <w:bookmarkEnd w:id="31"/>
    <w:bookmarkStart w:id="32" w:name="X02c50fc956761fbbaa4364c4bca5e570e936f4f"/>
    <w:p>
      <w:pPr>
        <w:pStyle w:val="Heading3"/>
      </w:pPr>
      <w:r>
        <w:t xml:space="preserve">3. Establecer una línea base segura</w:t>
      </w:r>
    </w:p>
    <w:p>
      <w:pPr>
        <w:pStyle w:val="FirstParagraph"/>
      </w:pPr>
      <w:r>
        <w:t xml:space="preserve">Recoja solo información necesaria y autorizada: mensaje exacto de error, hora, activo, versión, estado de conexión, diagnóstico aprobado y acciones ya intentadas.</w:t>
      </w:r>
    </w:p>
    <w:p>
      <w:pPr>
        <w:pStyle w:val="BodyText"/>
      </w:pPr>
      <w:r>
        <w:t xml:space="preserve">Proteja la información. Capturas y logs pueden contener nombres, correos, tokens, hostnames internos, datos de clientes, salud, finanzas o seguridad.</w:t>
      </w:r>
    </w:p>
    <w:bookmarkEnd w:id="32"/>
    <w:bookmarkStart w:id="33" w:name="Xa0a59725858398db673166e9d077e9df9914706"/>
    <w:p>
      <w:pPr>
        <w:pStyle w:val="Heading3"/>
      </w:pPr>
      <w:r>
        <w:t xml:space="preserve">4. Probar una hipótesis a la vez</w:t>
      </w:r>
    </w:p>
    <w:p>
      <w:pPr>
        <w:pStyle w:val="FirstParagraph"/>
      </w:pPr>
      <w:r>
        <w:t xml:space="preserve">Empiece con comprobaciones de bajo riesgo y alto valor de información. No cambie cinco variables a la vez y luego adivine cuál resolvió el caso.</w:t>
      </w:r>
    </w:p>
    <w:bookmarkEnd w:id="33"/>
    <w:bookmarkStart w:id="34" w:name="X73edfe2c5f8615ce23a1ca4a89cf55d766fe44d"/>
    <w:p>
      <w:pPr>
        <w:pStyle w:val="Heading3"/>
      </w:pPr>
      <w:r>
        <w:t xml:space="preserve">5. Aplicar solo una remediación aprobada</w:t>
      </w:r>
    </w:p>
    <w:p>
      <w:pPr>
        <w:pStyle w:val="FirstParagraph"/>
      </w:pPr>
      <w:r>
        <w:t xml:space="preserve">Use procedimientos documentados, scripts autorizados, software estándar y cambios dentro de su autoridad. Si se necesita privilegio superior, cambio de red, excepción de seguridad, base de datos o despliegue productivo, escale.</w:t>
      </w:r>
    </w:p>
    <w:bookmarkEnd w:id="34"/>
    <w:bookmarkStart w:id="35" w:name="X10e40edca2f9cb0bdf69fe5c7a23747dda45cd6"/>
    <w:p>
      <w:pPr>
        <w:pStyle w:val="Heading3"/>
      </w:pPr>
      <w:r>
        <w:t xml:space="preserve">6. Verificar restauración</w:t>
      </w:r>
    </w:p>
    <w:p>
      <w:pPr>
        <w:pStyle w:val="FirstParagraph"/>
      </w:pPr>
      <w:r>
        <w:t xml:space="preserve">No basta con que desaparezca un error. Repita la tarea original y confirme que el resultado esperado funciona y que los controles de seguridad siguen activos.</w:t>
      </w:r>
    </w:p>
    <w:bookmarkEnd w:id="35"/>
    <w:bookmarkStart w:id="36" w:name="Xe373c76e0a3df1de33c6ece1f322f66ed18cbfb"/>
    <w:p>
      <w:pPr>
        <w:pStyle w:val="Heading3"/>
      </w:pPr>
      <w:r>
        <w:t xml:space="preserve">7. Documentar y cerrar</w:t>
      </w:r>
    </w:p>
    <w:p>
      <w:pPr>
        <w:pStyle w:val="FirstParagraph"/>
      </w:pPr>
      <w:r>
        <w:t xml:space="preserve">Un buen cierre registra síntoma e impacto, entorno, hallazgos, acción, resultado, seguimiento y cualquier ticket de escalamiento. Evite cierres vagos como “resuelto” sin contexto.</w:t>
      </w:r>
    </w:p>
    <w:bookmarkEnd w:id="36"/>
    <w:bookmarkEnd w:id="37"/>
    <w:bookmarkStart w:id="38" w:name="Xb09a04bed628b269b78ed9a7d1d21315f055bf6"/>
    <w:p>
      <w:pPr>
        <w:pStyle w:val="Heading2"/>
      </w:pPr>
      <w:r>
        <w:t xml:space="preserve">Calidad de tickets y gestión de servicios</w:t>
      </w:r>
    </w:p>
    <w:p>
      <w:pPr>
        <w:pStyle w:val="FirstParagraph"/>
      </w:pPr>
      <w:r>
        <w:t xml:space="preserve">Los tickets son registros operativos. Un ticket útil contiene título claro, usuario o servicio afectado según política, impacto, categoría, problema, tiempos importantes, diagnóstico, evidencia segura, escalamiento y resolución validada.</w:t>
      </w:r>
    </w:p>
    <w:p>
      <w:pPr>
        <w:pStyle w:val="BodyText"/>
      </w:pPr>
      <w:r>
        <w:t xml:space="preserve">Nunca pegue contraseñas, llaves privadas, tokens, datos completos de tarjetas ni información personal innecesaria.</w:t>
      </w:r>
    </w:p>
    <w:p>
      <w:pPr>
        <w:pStyle w:val="BodyText"/>
      </w:pPr>
      <w:r>
        <w:t xml:space="preserve">Distinga: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incidente:</w:t>
      </w:r>
      <w:r>
        <w:t xml:space="preserve"> </w:t>
      </w:r>
      <w:r>
        <w:t xml:space="preserve">interrupción o degradación de un servicio;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solicitud de servicio:</w:t>
      </w:r>
      <w:r>
        <w:t xml:space="preserve"> </w:t>
      </w:r>
      <w:r>
        <w:t xml:space="preserve">petición estándar, por ejemplo software o acceso aprobado;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causa subyacente o patrón recurrente;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modificación autorizada del entorno.</w:t>
      </w:r>
    </w:p>
    <w:bookmarkEnd w:id="38"/>
    <w:bookmarkStart w:id="39" w:name="identidad-cuentas-contraseñas-y-mfa"/>
    <w:p>
      <w:pPr>
        <w:pStyle w:val="Heading2"/>
      </w:pPr>
      <w:r>
        <w:t xml:space="preserve">Identidad, cuentas, contraseñas y MFA</w:t>
      </w:r>
    </w:p>
    <w:p>
      <w:pPr>
        <w:pStyle w:val="FirstParagraph"/>
      </w:pPr>
      <w:r>
        <w:t xml:space="preserve">Los restablecimientos de cuenta son objetivos frecuentes de ingeniería social.</w:t>
      </w:r>
    </w:p>
    <w:p>
      <w:pPr>
        <w:pStyle w:val="BodyText"/>
      </w:pPr>
      <w:r>
        <w:t xml:space="preserve">Antes de una acción sensible, siga el procedimiento de verificación de identidad. No invente una verificación más débil porque alguien diga que es urgente o que es un ejecutivo.</w:t>
      </w:r>
    </w:p>
    <w:p>
      <w:pPr>
        <w:pStyle w:val="BodyText"/>
      </w:pPr>
      <w:r>
        <w:t xml:space="preserve">Use flujos aprobados para restablecimiento de contraseña, desbloqueo, recuperación de MFA, cambio de dispositivo, modificaciones de nombre/cuenta, acceso y usuarios transferidos o terminados.</w:t>
      </w:r>
    </w:p>
    <w:p>
      <w:pPr>
        <w:pStyle w:val="BodyText"/>
      </w:pPr>
      <w:r>
        <w:t xml:space="preserve">Señales de alerta incluyen presión para omitir controles, urgencia extraña, solicitud de secreto, cambio a un canal no aprobado, MFA más privilegio, herramienta remota no estándar, identidad inconsistente o petición de acceso de otra persona.</w:t>
      </w:r>
    </w:p>
    <w:p>
      <w:pPr>
        <w:pStyle w:val="BodyText"/>
      </w:pPr>
      <w:r>
        <w:t xml:space="preserve">CISA Secure Our World destaca prevención de phishing, contraseñas/gestores, MFA y actualizaciones. El soporte debe reforzar esos controles, no evitarlos.</w:t>
      </w:r>
    </w:p>
    <w:bookmarkEnd w:id="39"/>
    <w:bookmarkStart w:id="40" w:name="soporte-remoto"/>
    <w:p>
      <w:pPr>
        <w:pStyle w:val="Heading2"/>
      </w:pPr>
      <w:r>
        <w:t xml:space="preserve">Soporte remoto</w:t>
      </w:r>
    </w:p>
    <w:p>
      <w:pPr>
        <w:pStyle w:val="FirstParagraph"/>
      </w:pPr>
      <w:r>
        <w:t xml:space="preserve">Use solo herramientas aprobadas. Verifique usuario y solicitud, explique la acción, obtenga consentimiento cuando corresponda, pida cerrar información no relacionada y utilice el mínimo privilegio.</w:t>
      </w:r>
    </w:p>
    <w:p>
      <w:pPr>
        <w:pStyle w:val="BodyText"/>
      </w:pPr>
      <w:r>
        <w:t xml:space="preserve">Durante la sesión no explore archivos ajenos al problema, no copie datos sin necesidad y no deje sesiones privilegiadas abiertas. Al terminar, desconecte, documente y verifique el resultado.</w:t>
      </w:r>
    </w:p>
    <w:bookmarkEnd w:id="40"/>
    <w:bookmarkStart w:id="41" w:name="hardware-y-endpoints"/>
    <w:p>
      <w:pPr>
        <w:pStyle w:val="Heading2"/>
      </w:pPr>
      <w:r>
        <w:t xml:space="preserve">Hardware y endpoints</w:t>
      </w:r>
    </w:p>
    <w:p>
      <w:pPr>
        <w:pStyle w:val="FirstParagraph"/>
      </w:pPr>
      <w:r>
        <w:t xml:space="preserve">El soporte puede incluir estaciones de trabajo, monitores, docks, teclados, cámaras, impresoras, memoria/almacenamiento, reparación menor, sistema operativo, inscripción de dispositivos, parches, drivers, firmware e inventario.</w:t>
      </w:r>
    </w:p>
    <w:p>
      <w:pPr>
        <w:pStyle w:val="BodyText"/>
      </w:pPr>
      <w:r>
        <w:t xml:space="preserve">Use prácticas de seguridad física y electrostática. Baterías hinchadas, fuentes dañadas, líquidos u otros riesgos deben seguir el proceso de seguridad y disposición del empleador.</w:t>
      </w:r>
    </w:p>
    <w:p>
      <w:pPr>
        <w:pStyle w:val="BodyText"/>
      </w:pPr>
      <w:r>
        <w:t xml:space="preserve">Antes de reinstalar o reemplazar almacenamiento, confirme respaldo, cifrado, retención y autorización.</w:t>
      </w:r>
    </w:p>
    <w:bookmarkEnd w:id="41"/>
    <w:bookmarkStart w:id="42" w:name="sistemas-operativos-y-aplicaciones"/>
    <w:p>
      <w:pPr>
        <w:pStyle w:val="Heading2"/>
      </w:pPr>
      <w:r>
        <w:t xml:space="preserve">Sistemas operativos y aplicaciones</w:t>
      </w:r>
    </w:p>
    <w:p>
      <w:pPr>
        <w:pStyle w:val="FirstParagraph"/>
      </w:pPr>
      <w:r>
        <w:t xml:space="preserve">Aprenda conceptos transferibles: usuarios, grupos, permisos, perfiles, archivos, almacenamiento, procesos, servicios, actualizaciones, drivers, logs, instalación de aplicaciones, navegador, inicio de sesión y línea de comandos básica.</w:t>
      </w:r>
    </w:p>
    <w:p>
      <w:pPr>
        <w:pStyle w:val="BodyText"/>
      </w:pPr>
      <w:r>
        <w:t xml:space="preserve">Las señales de mercado de O*NET incluyen Microsoft Office, Active Directory, ServiceNow, macOS, Linux, Excel, Outlook, Azure, Windows, SQL, firewall e iOS. Son señales del mercado, no una lista obligatoria para todos los empleadores.</w:t>
      </w:r>
    </w:p>
    <w:bookmarkEnd w:id="42"/>
    <w:bookmarkStart w:id="43" w:name="redes-básicas-para-mesa-de-ayuda"/>
    <w:p>
      <w:pPr>
        <w:pStyle w:val="Heading2"/>
      </w:pPr>
      <w:r>
        <w:t xml:space="preserve">Redes básicas para mesa de ayuda</w:t>
      </w:r>
    </w:p>
    <w:p>
      <w:pPr>
        <w:pStyle w:val="FirstParagraph"/>
      </w:pPr>
      <w:r>
        <w:t xml:space="preserve">Comprenda conexión cableada/inalámbrica, dirección IP, gateway, DNS, DHCP, VPN, latencia, pérdida de paquetes y diferencia entre falla local, de red o de aplicación.</w:t>
      </w:r>
    </w:p>
    <w:p>
      <w:pPr>
        <w:pStyle w:val="BodyText"/>
      </w:pPr>
      <w:r>
        <w:t xml:space="preserve">Debe poder recoger evidencia útil para el equipo de redes sin hacer cambios no autorizados.</w:t>
      </w:r>
    </w:p>
    <w:bookmarkEnd w:id="43"/>
    <w:bookmarkStart w:id="44" w:name="impresoras-y-periféricos"/>
    <w:p>
      <w:pPr>
        <w:pStyle w:val="Heading2"/>
      </w:pPr>
      <w:r>
        <w:t xml:space="preserve">Impresoras y periféricos</w:t>
      </w:r>
    </w:p>
    <w:p>
      <w:pPr>
        <w:pStyle w:val="FirstParagraph"/>
      </w:pPr>
      <w:r>
        <w:t xml:space="preserve">Compruebe alimentación, conectividad, cola, impresora predeterminada, driver, servidor de impresión, red, consumibles, permisos y aplicación. No reinstale drivers repetidamente sin aislar primero el nivel de falla.</w:t>
      </w:r>
    </w:p>
    <w:bookmarkEnd w:id="44"/>
    <w:bookmarkStart w:id="45" w:name="base-de-conocimiento-y-documentación"/>
    <w:p>
      <w:pPr>
        <w:pStyle w:val="Heading2"/>
      </w:pPr>
      <w:r>
        <w:t xml:space="preserve">Base de conocimiento y documentación</w:t>
      </w:r>
    </w:p>
    <w:p>
      <w:pPr>
        <w:pStyle w:val="FirstParagraph"/>
      </w:pPr>
      <w:r>
        <w:t xml:space="preserve">Un artículo útil incluye síntoma u objetivo, entorno, requisitos previos, diagnóstico seguro, resolución aprobada, resultado esperado, criterio de escalamiento y responsable/fecha de revisión.</w:t>
      </w:r>
    </w:p>
    <w:p>
      <w:pPr>
        <w:pStyle w:val="BodyText"/>
      </w:pPr>
      <w:r>
        <w:t xml:space="preserve">Una improvisación que funcionó una vez no debe convertirse automáticamente en procedimiento estándar.</w:t>
      </w:r>
    </w:p>
    <w:bookmarkEnd w:id="45"/>
    <w:bookmarkStart w:id="46" w:name="escalar-es-una-habilidad"/>
    <w:p>
      <w:pPr>
        <w:pStyle w:val="Heading2"/>
      </w:pPr>
      <w:r>
        <w:t xml:space="preserve">Escalar es una habilidad</w:t>
      </w:r>
    </w:p>
    <w:p>
      <w:pPr>
        <w:pStyle w:val="FirstParagraph"/>
      </w:pPr>
      <w:r>
        <w:t xml:space="preserve">Escale cuando falte autoridad, el impacto sea amplio o crítico, haya sospecha de compromiso o exposición de datos, se necesite un cambio de red/firewall/base de datos/producción, falle un procedimiento aprobado, exista riesgo de pérdida de datos o el caso alcance un umbral de SLA/incidente.</w:t>
      </w:r>
    </w:p>
    <w:p>
      <w:pPr>
        <w:pStyle w:val="BodyText"/>
      </w:pPr>
      <w:r>
        <w:t xml:space="preserve">Una buena escalación incluye problema, impacto, entorno, tiempos, acciones, evidencia y motivo concreto.</w:t>
      </w:r>
    </w:p>
    <w:bookmarkEnd w:id="46"/>
    <w:bookmarkStart w:id="47" w:name="ciberseguridad-en-soporte"/>
    <w:p>
      <w:pPr>
        <w:pStyle w:val="Heading2"/>
      </w:pPr>
      <w:r>
        <w:t xml:space="preserve">Ciberseguridad en soporte</w:t>
      </w:r>
    </w:p>
    <w:p>
      <w:pPr>
        <w:pStyle w:val="FirstParagraph"/>
      </w:pPr>
      <w:r>
        <w:t xml:space="preserve">Proteja sus propias credenciales y cuentas privilegiadas, use MFA, no comparta cuentas, bloquee la estación, use gestores aprobados, verifique restablecimientos, reporte phishing/compromiso, mantenga herramientas actualizadas y no desactive controles de seguridad por comodidad.</w:t>
      </w:r>
    </w:p>
    <w:p>
      <w:pPr>
        <w:pStyle w:val="BodyText"/>
      </w:pPr>
      <w:r>
        <w:t xml:space="preserve">La mesa de ayuda puede recolectar evidencia inicial, pero no debe exceder su autoridad de respuesta a incidentes ni tomar decisiones legales o de privacidad por cuenta propia.</w:t>
      </w:r>
    </w:p>
    <w:bookmarkEnd w:id="47"/>
    <w:bookmarkStart w:id="48" w:name="privacidad-y-confidencialidad"/>
    <w:p>
      <w:pPr>
        <w:pStyle w:val="Heading2"/>
      </w:pPr>
      <w:r>
        <w:t xml:space="preserve">Privacidad y confidencialidad</w:t>
      </w:r>
    </w:p>
    <w:p>
      <w:pPr>
        <w:pStyle w:val="FirstParagraph"/>
      </w:pPr>
      <w:r>
        <w:t xml:space="preserve">El soporte puede ver información de empleados, clientes, estudiantes, pacientes, finanzas, RR. HH., asuntos legales o ingeniería. Use solo la información mínima necesaria.</w:t>
      </w:r>
    </w:p>
    <w:p>
      <w:pPr>
        <w:pStyle w:val="BodyText"/>
      </w:pPr>
      <w:r>
        <w:t xml:space="preserve">No lea correos o documentos no relacionados, no guarde capturas más tiempo del permitido, no mueva evidencia a almacenamiento personal, no publique logs internos y no use datos reales en un portafolio público.</w:t>
      </w:r>
    </w:p>
    <w:p>
      <w:pPr>
        <w:pStyle w:val="BodyText"/>
      </w:pPr>
      <w:r>
        <w:t xml:space="preserve">Acceso técnico no equivale a permiso de negocio.</w:t>
      </w:r>
    </w:p>
    <w:bookmarkEnd w:id="48"/>
    <w:bookmarkStart w:id="49" w:name="accesibilidad-y-soporte-inclusivo"/>
    <w:p>
      <w:pPr>
        <w:pStyle w:val="Heading2"/>
      </w:pPr>
      <w:r>
        <w:t xml:space="preserve">Accesibilidad y soporte inclusivo</w:t>
      </w:r>
    </w:p>
    <w:p>
      <w:pPr>
        <w:pStyle w:val="FirstParagraph"/>
      </w:pPr>
      <w:r>
        <w:t xml:space="preserve">No desactive lectores de pantalla, magnificación, subtítulos, alto contraste, navegación por teclado, entrada por voz, dispositivos alternativos o escalado de texto solo porque sean desconocidos.</w:t>
      </w:r>
    </w:p>
    <w:p>
      <w:pPr>
        <w:pStyle w:val="BodyText"/>
      </w:pPr>
      <w:r>
        <w:t xml:space="preserve">Pregunte qué necesita la persona antes de modificar ajustes de accesibilidad. Escale defectos de compatibilidad al equipo responsable.</w:t>
      </w:r>
    </w:p>
    <w:p>
      <w:pPr>
        <w:pStyle w:val="BodyText"/>
      </w:pPr>
      <w:r>
        <w:t xml:space="preserve">Section508.gov y WCAG 2.2 son referencias útiles; no convierten al técnico en certificador de accesibilidad.</w:t>
      </w:r>
    </w:p>
    <w:bookmarkEnd w:id="49"/>
    <w:bookmarkStart w:id="50" w:name="ia-responsable-en-soporte"/>
    <w:p>
      <w:pPr>
        <w:pStyle w:val="Heading2"/>
      </w:pPr>
      <w:r>
        <w:t xml:space="preserve">IA responsable en soporte</w:t>
      </w:r>
    </w:p>
    <w:p>
      <w:pPr>
        <w:pStyle w:val="FirstParagraph"/>
      </w:pPr>
      <w:r>
        <w:t xml:space="preserve">La IA aprobada puede ayudar con preguntas de diagnóstico, resúmenes de tickets no sensibles, borradores de conocimiento, explicaciones de errores públicos o planes de prueba.</w:t>
      </w:r>
    </w:p>
    <w:p>
      <w:pPr>
        <w:pStyle w:val="BodyText"/>
      </w:pPr>
      <w:r>
        <w:t xml:space="preserve">También puede inventar comandos, causas o soluciones inseguras. Antes de usar una recomendación, verifique plataforma, versión, efecto, reversibilidad, autoridad, privacidad/seguridad y proceso de cambio.</w:t>
      </w:r>
    </w:p>
    <w:p>
      <w:pPr>
        <w:pStyle w:val="BodyText"/>
      </w:pPr>
      <w:r>
        <w:t xml:space="preserve">Nunca cargue contraseñas, tokens, llaves, códigos de recuperación, datos privados, logs propietarios, capturas confidenciales, arquitectura interna, evidencia de incidentes o código protegido en una IA no aprobada.</w:t>
      </w:r>
    </w:p>
    <w:p>
      <w:pPr>
        <w:pStyle w:val="BodyText"/>
      </w:pPr>
      <w:r>
        <w:t xml:space="preserve">NIST AI RMF y el perfil de IA generativa son referencias voluntarias de gestión de riesgo, no sustitutos de los controles de soporte, seguridad, privacidad o cambios.</w:t>
      </w:r>
    </w:p>
    <w:bookmarkEnd w:id="50"/>
    <w:bookmarkStart w:id="51" w:name="comunicación-que-importa"/>
    <w:p>
      <w:pPr>
        <w:pStyle w:val="Heading2"/>
      </w:pPr>
      <w:r>
        <w:t xml:space="preserve">Comunicación que importa</w:t>
      </w:r>
    </w:p>
    <w:p>
      <w:pPr>
        <w:pStyle w:val="FirstParagraph"/>
      </w:pPr>
      <w:r>
        <w:t xml:space="preserve">Escuche activamente, use lenguaje claro, trate al usuario con respeto, explique expectativas sin prometer tiempos que no controla y ofrezca instrucciones que la persona pueda utilizar.</w:t>
      </w:r>
    </w:p>
    <w:bookmarkEnd w:id="51"/>
    <w:bookmarkStart w:id="52" w:name="familias-de-herramientas"/>
    <w:p>
      <w:pPr>
        <w:pStyle w:val="Heading2"/>
      </w:pPr>
      <w:r>
        <w:t xml:space="preserve">Familias de herramientas</w:t>
      </w:r>
    </w:p>
    <w:p>
      <w:pPr>
        <w:pStyle w:val="FirstParagraph"/>
      </w:pPr>
      <w:r>
        <w:t xml:space="preserve">Aprenda conceptos de:</w:t>
      </w:r>
    </w:p>
    <w:p>
      <w:pPr>
        <w:numPr>
          <w:ilvl w:val="0"/>
          <w:numId w:val="1005"/>
        </w:numPr>
        <w:pStyle w:val="Compact"/>
      </w:pPr>
      <w:r>
        <w:t xml:space="preserve">ticketing/ITSM;</w:t>
      </w:r>
    </w:p>
    <w:p>
      <w:pPr>
        <w:numPr>
          <w:ilvl w:val="0"/>
          <w:numId w:val="1005"/>
        </w:numPr>
        <w:pStyle w:val="Compact"/>
      </w:pPr>
      <w:r>
        <w:t xml:space="preserve">soporte remoto;</w:t>
      </w:r>
    </w:p>
    <w:p>
      <w:pPr>
        <w:numPr>
          <w:ilvl w:val="0"/>
          <w:numId w:val="1005"/>
        </w:numPr>
        <w:pStyle w:val="Compact"/>
      </w:pPr>
      <w:r>
        <w:t xml:space="preserve">gestión de endpoints;</w:t>
      </w:r>
    </w:p>
    <w:p>
      <w:pPr>
        <w:numPr>
          <w:ilvl w:val="0"/>
          <w:numId w:val="1005"/>
        </w:numPr>
        <w:pStyle w:val="Compact"/>
      </w:pPr>
      <w:r>
        <w:t xml:space="preserve">directorio e identidad;</w:t>
      </w:r>
    </w:p>
    <w:p>
      <w:pPr>
        <w:numPr>
          <w:ilvl w:val="0"/>
          <w:numId w:val="1005"/>
        </w:numPr>
        <w:pStyle w:val="Compact"/>
      </w:pPr>
      <w:r>
        <w:t xml:space="preserve">sistemas operativos;</w:t>
      </w:r>
    </w:p>
    <w:p>
      <w:pPr>
        <w:numPr>
          <w:ilvl w:val="0"/>
          <w:numId w:val="1005"/>
        </w:numPr>
        <w:pStyle w:val="Compact"/>
      </w:pPr>
      <w:r>
        <w:t xml:space="preserve">productividad y colaboración;</w:t>
      </w:r>
    </w:p>
    <w:p>
      <w:pPr>
        <w:numPr>
          <w:ilvl w:val="0"/>
          <w:numId w:val="1005"/>
        </w:numPr>
        <w:pStyle w:val="Compact"/>
      </w:pPr>
      <w:r>
        <w:t xml:space="preserve">bases de conocimiento;</w:t>
      </w:r>
    </w:p>
    <w:p>
      <w:pPr>
        <w:numPr>
          <w:ilvl w:val="0"/>
          <w:numId w:val="1005"/>
        </w:numPr>
        <w:pStyle w:val="Compact"/>
      </w:pPr>
      <w:r>
        <w:t xml:space="preserve">inventario;</w:t>
      </w:r>
    </w:p>
    <w:p>
      <w:pPr>
        <w:numPr>
          <w:ilvl w:val="0"/>
          <w:numId w:val="1005"/>
        </w:numPr>
        <w:pStyle w:val="Compact"/>
      </w:pPr>
      <w:r>
        <w:t xml:space="preserve">diagnóstico de red;</w:t>
      </w:r>
    </w:p>
    <w:p>
      <w:pPr>
        <w:numPr>
          <w:ilvl w:val="0"/>
          <w:numId w:val="1005"/>
        </w:numPr>
        <w:pStyle w:val="Compact"/>
      </w:pPr>
      <w:r>
        <w:t xml:space="preserve">estado de seguridad endpoint;</w:t>
      </w:r>
    </w:p>
    <w:p>
      <w:pPr>
        <w:numPr>
          <w:ilvl w:val="0"/>
          <w:numId w:val="1005"/>
        </w:numPr>
        <w:pStyle w:val="Compact"/>
      </w:pPr>
      <w:r>
        <w:t xml:space="preserve">scripting/automatización en un nivel apropiado.</w:t>
      </w:r>
    </w:p>
    <w:bookmarkEnd w:id="52"/>
    <w:bookmarkStart w:id="53" w:name="educación-y-capacitación--estados-unidos"/>
    <w:p>
      <w:pPr>
        <w:pStyle w:val="Heading2"/>
      </w:pPr>
      <w:r>
        <w:t xml:space="preserve">Educación y capacitación — Estados Unidos</w:t>
      </w:r>
    </w:p>
    <w:p>
      <w:pPr>
        <w:pStyle w:val="FirstParagraph"/>
      </w:pPr>
      <w:r>
        <w:t xml:space="preserve">O*NET ubica la ocupación en Job Zone Three. Las rutas pueden incluir formación técnica, certificados, associate degrees, títulos universitarios, certificaciones de proveedores, aprendizaje en el trabajo o experiencia.</w:t>
      </w:r>
    </w:p>
    <w:p>
      <w:pPr>
        <w:pStyle w:val="BodyText"/>
      </w:pPr>
      <w:r>
        <w:t xml:space="preserve">CareerOneStop permite buscar programas elegibles WIOA y capacitación local. No suponga que un programa será financiado para usted; confirme elegibilidad y proveedor con el American Job Center correspondiente.</w:t>
      </w:r>
    </w:p>
    <w:bookmarkEnd w:id="53"/>
    <w:bookmarkStart w:id="55" w:name="salario-y-proyección--estados-unidos"/>
    <w:p>
      <w:pPr>
        <w:pStyle w:val="Heading2"/>
      </w:pPr>
      <w:r>
        <w:t xml:space="preserve">Salario y proyección — Estados Unidos</w:t>
      </w:r>
    </w:p>
    <w:p>
      <w:pPr>
        <w:pStyle w:val="FirstParagraph"/>
      </w:pPr>
      <w:r>
        <w:t xml:space="preserve">O*NET/BLS 2025 para</w:t>
      </w:r>
      <w:r>
        <w:t xml:space="preserve"> </w:t>
      </w:r>
      <w:r>
        <w:rPr>
          <w:bCs/>
          <w:b/>
        </w:rPr>
        <w:t xml:space="preserve">15-1232.00</w:t>
      </w:r>
      <w:r>
        <w:t xml:space="preserve"> </w:t>
      </w:r>
      <w:r>
        <w:t xml:space="preserve">reporta:</w:t>
      </w:r>
    </w:p>
    <w:p>
      <w:pPr>
        <w:numPr>
          <w:ilvl w:val="0"/>
          <w:numId w:val="1006"/>
        </w:numPr>
        <w:pStyle w:val="Compact"/>
      </w:pPr>
      <w:r>
        <w:t xml:space="preserve">10.º percentil:</w:t>
      </w:r>
      <w:r>
        <w:t xml:space="preserve"> </w:t>
      </w:r>
      <w:r>
        <w:rPr>
          <w:bCs/>
          <w:b/>
        </w:rPr>
        <w:t xml:space="preserve">$40,980/año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$19.70/hora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25.º percentil:</w:t>
      </w:r>
      <w:r>
        <w:t xml:space="preserve"> </w:t>
      </w:r>
      <w:r>
        <w:rPr>
          <w:bCs/>
          <w:b/>
        </w:rPr>
        <w:t xml:space="preserve">$49,000/año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$23.56/hora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mediana:</w:t>
      </w:r>
      <w:r>
        <w:t xml:space="preserve"> </w:t>
      </w:r>
      <w:r>
        <w:rPr>
          <w:bCs/>
          <w:b/>
        </w:rPr>
        <w:t xml:space="preserve">$61,860/año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$29.74/hora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75.º percentil:</w:t>
      </w:r>
      <w:r>
        <w:t xml:space="preserve"> </w:t>
      </w:r>
      <w:r>
        <w:rPr>
          <w:bCs/>
          <w:b/>
        </w:rPr>
        <w:t xml:space="preserve">$79,040/año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$38.00/hora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90.º percentil:</w:t>
      </w:r>
      <w:r>
        <w:t xml:space="preserve"> </w:t>
      </w:r>
      <w:r>
        <w:rPr>
          <w:bCs/>
          <w:b/>
        </w:rPr>
        <w:t xml:space="preserve">$100,540/año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$48.34/hora</w:t>
      </w:r>
      <w:r>
        <w:t xml:space="preserve">.</w:t>
      </w:r>
    </w:p>
    <w:p>
      <w:pPr>
        <w:pStyle w:val="FirstParagraph"/>
      </w:pPr>
      <w:r>
        <w:t xml:space="preserve">Proyección 2024–2034: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729,500</w:t>
      </w:r>
      <w:r>
        <w:t xml:space="preserve"> </w:t>
      </w:r>
      <w:r>
        <w:t xml:space="preserve">empleos en 2024;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702,500</w:t>
      </w:r>
      <w:r>
        <w:t xml:space="preserve"> </w:t>
      </w:r>
      <w:r>
        <w:t xml:space="preserve">proyectados en 2034;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-4%</w:t>
      </w:r>
      <w:r>
        <w:t xml:space="preserve"> </w:t>
      </w:r>
      <w:r>
        <w:t xml:space="preserve">de crecimiento proyectado;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40,800</w:t>
      </w:r>
      <w:r>
        <w:t xml:space="preserve"> </w:t>
      </w:r>
      <w:r>
        <w:t xml:space="preserve">vacantes anuales proyectadas.</w:t>
      </w:r>
    </w:p>
    <w:p>
      <w:pPr>
        <w:pStyle w:val="FirstParagraph"/>
      </w:pPr>
      <w:r>
        <w:t xml:space="preserve">La disminución es importante y debe incorporarse a la estrategia de carrera.</w:t>
      </w:r>
    </w:p>
    <w:bookmarkStart w:id="54" w:name="contexto-no-gubernamental-de-ee-uu"/>
    <w:p>
      <w:pPr>
        <w:pStyle w:val="Heading3"/>
      </w:pPr>
      <w:r>
        <w:t xml:space="preserve">Contexto no gubernamental de EE. UU.</w:t>
      </w:r>
    </w:p>
    <w:p>
      <w:pPr>
        <w:pStyle w:val="FirstParagraph"/>
      </w:pPr>
      <w:r>
        <w:t xml:space="preserve">Indeed reportó aproximadamente</w:t>
      </w:r>
      <w:r>
        <w:t xml:space="preserve"> </w:t>
      </w:r>
      <w:r>
        <w:rPr>
          <w:bCs/>
          <w:b/>
        </w:rPr>
        <w:t xml:space="preserve">$23.59/hora</w:t>
      </w:r>
      <w:r>
        <w:t xml:space="preserve"> </w:t>
      </w:r>
      <w:r>
        <w:t xml:space="preserve">de salario base promedio para Helpdesk Technician, con rango mostrado de aproximadamente</w:t>
      </w:r>
      <w:r>
        <w:t xml:space="preserve"> </w:t>
      </w:r>
      <w:r>
        <w:rPr>
          <w:bCs/>
          <w:b/>
        </w:rPr>
        <w:t xml:space="preserve">$16.86–$33.00/hora</w:t>
      </w:r>
      <w:r>
        <w:t xml:space="preserve">, basado en alrededor de</w:t>
      </w:r>
      <w:r>
        <w:t xml:space="preserve"> </w:t>
      </w:r>
      <w:r>
        <w:rPr>
          <w:bCs/>
          <w:b/>
        </w:rPr>
        <w:t xml:space="preserve">2.7k salarios</w:t>
      </w:r>
      <w:r>
        <w:t xml:space="preserve"> </w:t>
      </w:r>
      <w:r>
        <w:t xml:space="preserve">de ofertas durante los</w:t>
      </w:r>
      <w:r>
        <w:t xml:space="preserve"> </w:t>
      </w:r>
      <w:r>
        <w:rPr>
          <w:bCs/>
          <w:b/>
        </w:rPr>
        <w:t xml:space="preserve">36 meses</w:t>
      </w:r>
      <w:r>
        <w:t xml:space="preserve"> </w:t>
      </w:r>
      <w:r>
        <w:t xml:space="preserve">anteriores y actualizado el</w:t>
      </w:r>
      <w:r>
        <w:t xml:space="preserve"> </w:t>
      </w:r>
      <w:r>
        <w:rPr>
          <w:bCs/>
          <w:b/>
        </w:rPr>
        <w:t xml:space="preserve">3 de agosto de 2026</w:t>
      </w:r>
      <w:r>
        <w:t xml:space="preserve">.</w:t>
      </w:r>
    </w:p>
    <w:p>
      <w:pPr>
        <w:pStyle w:val="BodyText"/>
      </w:pPr>
      <w:r>
        <w:t xml:space="preserve">Es contexto no gubernamental y no sustituye las estadísticas oficiales O*NET/BLS ni garantiza una oferta.</w:t>
      </w:r>
    </w:p>
    <w:bookmarkEnd w:id="54"/>
    <w:bookmarkEnd w:id="55"/>
    <w:bookmarkStart w:id="56" w:name="ruta-de-canadá"/>
    <w:p>
      <w:pPr>
        <w:pStyle w:val="Heading2"/>
      </w:pPr>
      <w:r>
        <w:t xml:space="preserve">Ruta de Canadá</w:t>
      </w:r>
    </w:p>
    <w:p>
      <w:pPr>
        <w:pStyle w:val="FirstParagraph"/>
      </w:pPr>
      <w:r>
        <w:t xml:space="preserve">Job Bank identifica</w:t>
      </w:r>
      <w:r>
        <w:t xml:space="preserve"> </w:t>
      </w:r>
      <w:r>
        <w:rPr>
          <w:bCs/>
          <w:b/>
        </w:rPr>
        <w:t xml:space="preserve">NOC 22221 — User support technicians</w:t>
      </w:r>
      <w:r>
        <w:t xml:space="preserve">. Los requisitos típicos incluyen un programa universitario/colegial en ciencias de la computación, programación o administración de redes, o cursos relacionados. Algunos empleadores pueden exigir formación o certificación de proveedores.</w:t>
      </w:r>
    </w:p>
    <w:p>
      <w:pPr>
        <w:pStyle w:val="BodyText"/>
      </w:pPr>
      <w:r>
        <w:t xml:space="preserve">Salarios nacionales actuales: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C$20.50/hora</w:t>
      </w:r>
      <w:r>
        <w:t xml:space="preserve"> </w:t>
      </w:r>
      <w:r>
        <w:t xml:space="preserve">bajo;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C$31.47/hora</w:t>
      </w:r>
      <w:r>
        <w:t xml:space="preserve"> </w:t>
      </w:r>
      <w:r>
        <w:t xml:space="preserve">mediana;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C$49.00/hora</w:t>
      </w:r>
      <w:r>
        <w:t xml:space="preserve"> </w:t>
      </w:r>
      <w:r>
        <w:t xml:space="preserve">alto.</w:t>
      </w:r>
    </w:p>
    <w:p>
      <w:pPr>
        <w:pStyle w:val="FirstParagraph"/>
      </w:pPr>
      <w:r>
        <w:t xml:space="preserve">Canada.ca ofrece un portal para localizar capacitación, ayuda estudiantil y mejora de habilidades. La elegibilidad varía.</w:t>
      </w:r>
    </w:p>
    <w:bookmarkEnd w:id="56"/>
    <w:bookmarkStart w:id="58" w:name="ruta-de-colombia"/>
    <w:p>
      <w:pPr>
        <w:pStyle w:val="Heading2"/>
      </w:pPr>
      <w:r>
        <w:t xml:space="preserve">Ruta de Colombia</w:t>
      </w:r>
    </w:p>
    <w:p>
      <w:pPr>
        <w:pStyle w:val="FirstParagraph"/>
      </w:pPr>
      <w:r>
        <w:t xml:space="preserve">OCUPACOL</w:t>
      </w:r>
      <w:r>
        <w:t xml:space="preserve"> </w:t>
      </w:r>
      <w:r>
        <w:rPr>
          <w:bCs/>
          <w:b/>
        </w:rPr>
        <w:t xml:space="preserve">CUOC 35121</w:t>
      </w:r>
      <w:r>
        <w:t xml:space="preserve"> </w:t>
      </w:r>
      <w:r>
        <w:t xml:space="preserve">es una correspondencia directa. Incluye instalación de equipos, manejo de incidentes informáticos, mantenimiento, reparación, soporte TI, instrucción a usuarios y registro de operaciones/problemas/correctivos.</w:t>
      </w:r>
    </w:p>
    <w:p>
      <w:pPr>
        <w:pStyle w:val="BodyText"/>
      </w:pPr>
      <w:r>
        <w:t xml:space="preserve">Denominaciones incluyen</w:t>
      </w:r>
      <w:r>
        <w:t xml:space="preserve"> </w:t>
      </w:r>
      <w:r>
        <w:rPr>
          <w:rStyle w:val="VerbatimChar"/>
        </w:rPr>
        <w:t xml:space="preserve">Analista de computadores mesa de ayuda</w:t>
      </w:r>
      <w:r>
        <w:t xml:space="preserve">,</w:t>
      </w:r>
      <w:r>
        <w:t xml:space="preserve"> </w:t>
      </w:r>
      <w:r>
        <w:rPr>
          <w:rStyle w:val="VerbatimChar"/>
        </w:rPr>
        <w:t xml:space="preserve">Técnico de servicios informáticos a 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Técnico de soporte informático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Técnico en asistencia y soporte de tecnologías de la información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Técnico soporte mesa de ayuda (help desk)</w:t>
      </w:r>
      <w:r>
        <w:t xml:space="preserve">.</w:t>
      </w:r>
    </w:p>
    <w:bookmarkStart w:id="57" w:name="sena"/>
    <w:p>
      <w:pPr>
        <w:pStyle w:val="Heading3"/>
      </w:pPr>
      <w:r>
        <w:t xml:space="preserve">SENA</w:t>
      </w:r>
    </w:p>
    <w:p>
      <w:pPr>
        <w:pStyle w:val="FirstParagraph"/>
      </w:pPr>
      <w:r>
        <w:t xml:space="preserve">Rutas actuales en 2026 incluyen</w:t>
      </w:r>
      <w:r>
        <w:t xml:space="preserve"> </w:t>
      </w:r>
      <w:r>
        <w:rPr>
          <w:bCs/>
          <w:b/>
        </w:rPr>
        <w:t xml:space="preserve">Sistemas Teleinformáticos</w:t>
      </w:r>
      <w:r>
        <w:t xml:space="preserve">,</w:t>
      </w:r>
      <w:r>
        <w:t xml:space="preserve"> </w:t>
      </w:r>
      <w:r>
        <w:rPr>
          <w:bCs/>
          <w:b/>
        </w:rPr>
        <w:t xml:space="preserve">Instalación de Redes de Computadores</w:t>
      </w:r>
      <w:r>
        <w:t xml:space="preserve"> </w:t>
      </w:r>
      <w:r>
        <w:t xml:space="preserve">y, en algunas convocatorias regionales,</w:t>
      </w:r>
      <w:r>
        <w:t xml:space="preserve"> </w:t>
      </w:r>
      <w:r>
        <w:rPr>
          <w:bCs/>
          <w:b/>
        </w:rPr>
        <w:t xml:space="preserve">Mantenimiento de equipos de cómputo</w:t>
      </w:r>
      <w:r>
        <w:t xml:space="preserve">. La oferta, sede, cohorte, modalidad y cupos cambian; confirme Betowa antes de tomar una decisión.</w:t>
      </w:r>
    </w:p>
    <w:bookmarkEnd w:id="57"/>
    <w:bookmarkEnd w:id="58"/>
    <w:bookmarkStart w:id="59" w:name="américa-latina-y-el-caribe"/>
    <w:p>
      <w:pPr>
        <w:pStyle w:val="Heading2"/>
      </w:pPr>
      <w:r>
        <w:t xml:space="preserve">América Latina y el Caribe</w:t>
      </w:r>
    </w:p>
    <w:p>
      <w:pPr>
        <w:pStyle w:val="FirstParagraph"/>
      </w:pPr>
      <w:r>
        <w:t xml:space="preserve">OIT/Cinterfor sirve para identificar instituciones nacionales de formación profesional. Después, verifique catálogo, costo, modalidad, elegibilidad y credencial directamente con la institución responsable.</w:t>
      </w:r>
    </w:p>
    <w:bookmarkEnd w:id="59"/>
    <w:bookmarkStart w:id="60" w:name="portafolio-sin-exponer-sistemas-reales"/>
    <w:p>
      <w:pPr>
        <w:pStyle w:val="Heading2"/>
      </w:pPr>
      <w:r>
        <w:t xml:space="preserve">Portafolio sin exponer sistemas reales</w:t>
      </w:r>
    </w:p>
    <w:p>
      <w:pPr>
        <w:pStyle w:val="FirstParagraph"/>
      </w:pPr>
      <w:r>
        <w:t xml:space="preserve">Use laboratorio, máquinas virtuales, datos sintéticos y escenarios ficticios. Puede mostrar un árbol de diagnóstico, ticket sintético, artículo de conocimiento, checklist de onboarding, flujo de verificación para restablecimiento, hoja de diagnóstico de red, plantilla de escalación o script de laboratorio.</w:t>
      </w:r>
    </w:p>
    <w:p>
      <w:pPr>
        <w:pStyle w:val="BodyText"/>
      </w:pPr>
      <w:r>
        <w:t xml:space="preserve">Nunca publique nombres reales, correos, hostnames/IP internos, credenciales, tokens, mapas de red, incidentes reales, tickets internos o datos de clientes/empleados.</w:t>
      </w:r>
    </w:p>
    <w:bookmarkEnd w:id="60"/>
    <w:bookmarkStart w:id="67" w:name="plan-práctico-de-30-días"/>
    <w:p>
      <w:pPr>
        <w:pStyle w:val="Heading2"/>
      </w:pPr>
      <w:r>
        <w:t xml:space="preserve">Plan práctico de 30 días</w:t>
      </w:r>
    </w:p>
    <w:bookmarkStart w:id="61" w:name="días-15"/>
    <w:p>
      <w:pPr>
        <w:pStyle w:val="Heading3"/>
      </w:pPr>
      <w:r>
        <w:t xml:space="preserve">Días 1–5</w:t>
      </w:r>
    </w:p>
    <w:p>
      <w:pPr>
        <w:pStyle w:val="FirstParagraph"/>
      </w:pPr>
      <w:r>
        <w:t xml:space="preserve">Aprenda ciclo de tickets, triage, hardware/SO básico, verificación de identidad y cree tickets sintéticos.</w:t>
      </w:r>
    </w:p>
    <w:bookmarkEnd w:id="61"/>
    <w:bookmarkStart w:id="62" w:name="días-610"/>
    <w:p>
      <w:pPr>
        <w:pStyle w:val="Heading3"/>
      </w:pPr>
      <w:r>
        <w:t xml:space="preserve">Días 6–10</w:t>
      </w:r>
    </w:p>
    <w:p>
      <w:pPr>
        <w:pStyle w:val="FirstParagraph"/>
      </w:pPr>
      <w:r>
        <w:t xml:space="preserve">Practique reproducir → aislar → probar → verificar en un laboratorio o VM y documente cada cambio.</w:t>
      </w:r>
    </w:p>
    <w:bookmarkEnd w:id="62"/>
    <w:bookmarkStart w:id="63" w:name="días-1115"/>
    <w:p>
      <w:pPr>
        <w:pStyle w:val="Heading3"/>
      </w:pPr>
      <w:r>
        <w:t xml:space="preserve">Días 11–15</w:t>
      </w:r>
    </w:p>
    <w:p>
      <w:pPr>
        <w:pStyle w:val="FirstParagraph"/>
      </w:pPr>
      <w:r>
        <w:t xml:space="preserve">Aprenda IP, gateway, DNS, DHCP, Wi-Fi, VPN, usuarios/grupos/permisos, MFA e ingeniería social.</w:t>
      </w:r>
    </w:p>
    <w:bookmarkEnd w:id="63"/>
    <w:bookmarkStart w:id="64" w:name="días-1620"/>
    <w:p>
      <w:pPr>
        <w:pStyle w:val="Heading3"/>
      </w:pPr>
      <w:r>
        <w:t xml:space="preserve">Días 16–20</w:t>
      </w:r>
    </w:p>
    <w:p>
      <w:pPr>
        <w:pStyle w:val="FirstParagraph"/>
      </w:pPr>
      <w:r>
        <w:t xml:space="preserve">Explore ticketing, cree dos artículos de conocimiento, una escalación segura y practique soporte remoto con datos ficticios.</w:t>
      </w:r>
    </w:p>
    <w:bookmarkEnd w:id="64"/>
    <w:bookmarkStart w:id="65" w:name="días-2125"/>
    <w:p>
      <w:pPr>
        <w:pStyle w:val="Heading3"/>
      </w:pPr>
      <w:r>
        <w:t xml:space="preserve">Días 21–25</w:t>
      </w:r>
    </w:p>
    <w:p>
      <w:pPr>
        <w:pStyle w:val="FirstParagraph"/>
      </w:pPr>
      <w:r>
        <w:t xml:space="preserve">Revise CISA Secure Our World, riesgos de restablecimiento/MFA y configuraciones de accesibilidad.</w:t>
      </w:r>
    </w:p>
    <w:bookmarkEnd w:id="65"/>
    <w:bookmarkStart w:id="66" w:name="días-2630"/>
    <w:p>
      <w:pPr>
        <w:pStyle w:val="Heading3"/>
      </w:pPr>
      <w:r>
        <w:t xml:space="preserve">Días 26–30</w:t>
      </w:r>
    </w:p>
    <w:p>
      <w:pPr>
        <w:pStyle w:val="FirstParagraph"/>
      </w:pPr>
      <w:r>
        <w:t xml:space="preserve">Finalice tres a cinco artefactos sintéticos, prepare el CV y busque help desk, service desk, desktop support, user support, IT support y technical support.</w:t>
      </w:r>
    </w:p>
    <w:bookmarkEnd w:id="66"/>
    <w:bookmarkEnd w:id="67"/>
    <w:bookmarkStart w:id="68" w:name="preparación-para-entrevistas"/>
    <w:p>
      <w:pPr>
        <w:pStyle w:val="Heading2"/>
      </w:pPr>
      <w:r>
        <w:t xml:space="preserve">Preparación para entrevistas</w:t>
      </w:r>
    </w:p>
    <w:p>
      <w:pPr>
        <w:pStyle w:val="FirstParagraph"/>
      </w:pPr>
      <w:r>
        <w:t xml:space="preserve">Explique el proceso, no solo herramientas. Para “no hay internet”, empiece por alcance y evidencia. Para un ejecutivo que pide saltar MFA, mantenga el proceso de verificación. Si no conoce la respuesta, consulte documentación aprobada, pruebe con seguridad y escale. Si una IA recomienda un comando desconocido, no lo ejecute a ciegas. Si un arreglo requiere desactivar seguridad, no lo trate como cierre satisfactorio sin autoridad y control.</w:t>
      </w:r>
    </w:p>
    <w:bookmarkEnd w:id="68"/>
    <w:bookmarkStart w:id="69" w:name="preguntas-antes-de-pagar-capacitación"/>
    <w:p>
      <w:pPr>
        <w:pStyle w:val="Heading2"/>
      </w:pPr>
      <w:r>
        <w:t xml:space="preserve">Preguntas antes de pagar capacitación</w:t>
      </w:r>
    </w:p>
    <w:p>
      <w:pPr>
        <w:numPr>
          <w:ilvl w:val="0"/>
          <w:numId w:val="1009"/>
        </w:numPr>
        <w:pStyle w:val="Compact"/>
      </w:pPr>
      <w:r>
        <w:t xml:space="preserve">¿Incluye práctica real de diagnóstico?</w:t>
      </w:r>
    </w:p>
    <w:p>
      <w:pPr>
        <w:numPr>
          <w:ilvl w:val="0"/>
          <w:numId w:val="1009"/>
        </w:numPr>
        <w:pStyle w:val="Compact"/>
      </w:pPr>
      <w:r>
        <w:t xml:space="preserve">¿Se practica documentación y escalamiento?</w:t>
      </w:r>
    </w:p>
    <w:p>
      <w:pPr>
        <w:numPr>
          <w:ilvl w:val="0"/>
          <w:numId w:val="1009"/>
        </w:numPr>
        <w:pStyle w:val="Compact"/>
      </w:pPr>
      <w:r>
        <w:t xml:space="preserve">¿Cubre identidad, MFA y riesgos de ingeniería social?</w:t>
      </w:r>
    </w:p>
    <w:p>
      <w:pPr>
        <w:numPr>
          <w:ilvl w:val="0"/>
          <w:numId w:val="1009"/>
        </w:numPr>
        <w:pStyle w:val="Compact"/>
      </w:pPr>
      <w:r>
        <w:t xml:space="preserve">¿Incluye sistemas operativos y redes básicas?</w:t>
      </w:r>
    </w:p>
    <w:p>
      <w:pPr>
        <w:numPr>
          <w:ilvl w:val="0"/>
          <w:numId w:val="1009"/>
        </w:numPr>
        <w:pStyle w:val="Compact"/>
      </w:pPr>
      <w:r>
        <w:t xml:space="preserve">¿Incluye laboratorios?</w:t>
      </w:r>
    </w:p>
    <w:p>
      <w:pPr>
        <w:numPr>
          <w:ilvl w:val="0"/>
          <w:numId w:val="1009"/>
        </w:numPr>
        <w:pStyle w:val="Compact"/>
      </w:pPr>
      <w:r>
        <w:t xml:space="preserve">¿Los exámenes de certificación cuestan aparte?</w:t>
      </w:r>
    </w:p>
    <w:p>
      <w:pPr>
        <w:numPr>
          <w:ilvl w:val="0"/>
          <w:numId w:val="1009"/>
        </w:numPr>
        <w:pStyle w:val="Compact"/>
      </w:pPr>
      <w:r>
        <w:t xml:space="preserve">¿Existe realmente práctica laboral?</w:t>
      </w:r>
    </w:p>
    <w:p>
      <w:pPr>
        <w:numPr>
          <w:ilvl w:val="0"/>
          <w:numId w:val="1009"/>
        </w:numPr>
        <w:pStyle w:val="Compact"/>
      </w:pPr>
      <w:r>
        <w:t xml:space="preserve">¿El proveedor es elegible para el financiamiento que espera usar?</w:t>
      </w:r>
    </w:p>
    <w:p>
      <w:pPr>
        <w:numPr>
          <w:ilvl w:val="0"/>
          <w:numId w:val="1009"/>
        </w:numPr>
        <w:pStyle w:val="Compact"/>
      </w:pPr>
      <w:r>
        <w:t xml:space="preserve">¿Qué evidencia respalda afirmaciones de empleo o salario?</w:t>
      </w:r>
    </w:p>
    <w:bookmarkEnd w:id="69"/>
    <w:bookmarkStart w:id="93" w:name="Xe7271093d7cea6000477b0cc60517aeffe3fbce"/>
    <w:p>
      <w:pPr>
        <w:pStyle w:val="Heading2"/>
      </w:pPr>
      <w:r>
        <w:t xml:space="preserve">Fuentes para verificar antes de decisiones importantes</w:t>
      </w:r>
    </w:p>
    <w:p>
      <w:pPr>
        <w:numPr>
          <w:ilvl w:val="0"/>
          <w:numId w:val="1010"/>
        </w:numPr>
        <w:pStyle w:val="Compact"/>
      </w:pPr>
      <w:r>
        <w:t xml:space="preserve">O*NET Computer User Support Specialists summary:</w:t>
      </w:r>
      <w:r>
        <w:t xml:space="preserve"> </w:t>
      </w:r>
      <w:hyperlink r:id="rId70">
        <w:hyperlink r:id="rId7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O*NET detailed profile:</w:t>
      </w:r>
      <w:r>
        <w:t xml:space="preserve"> </w:t>
      </w: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O*NET Job Zone:</w:t>
      </w:r>
      <w:r>
        <w:t xml:space="preserve"> </w:t>
      </w: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O*NET/BLS national wages:</w:t>
      </w:r>
      <w:r>
        <w:t xml:space="preserve"> </w:t>
      </w: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O*NET/BLS employment trends:</w:t>
      </w:r>
      <w:r>
        <w:t xml:space="preserve"> </w:t>
      </w: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O*NET employer-posting software signals:</w:t>
      </w:r>
      <w:r>
        <w:t xml:space="preserve"> </w:t>
      </w: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Indeed Helpdesk Technician salary context: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CareerOneStop WIOA training locator:</w:t>
      </w:r>
      <w:r>
        <w:t xml:space="preserve"> </w:t>
      </w: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CareerOneStop training finder:</w:t>
      </w:r>
      <w:r>
        <w:t xml:space="preserve"> </w:t>
      </w: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Canada Job Bank NOC 22221 summary:</w:t>
      </w:r>
      <w:r>
        <w:t xml:space="preserve"> </w:t>
      </w: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Canada Job Bank requirements:</w:t>
      </w:r>
      <w:r>
        <w:t xml:space="preserve"> </w:t>
      </w: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Canada Job Bank national wages: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Canada jobs/training gateway:</w:t>
      </w:r>
      <w:r>
        <w:t xml:space="preserve"> </w:t>
      </w:r>
      <w:hyperlink r:id="rId82">
        <w:hyperlink r:id="rId8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Colombia OCUPACOL CUOC 35121:</w:t>
      </w:r>
      <w:r>
        <w:t xml:space="preserve"> </w:t>
      </w: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SENA Sistemas Teleinformáticos:</w:t>
      </w:r>
      <w:r>
        <w:t xml:space="preserve"> </w:t>
      </w: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SENA Instalación de Redes de Computadores:</w:t>
      </w:r>
      <w:r>
        <w:t xml:space="preserve"> </w:t>
      </w: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SENA current 2026 offer information:</w:t>
      </w:r>
      <w:r>
        <w:t xml:space="preserve"> </w:t>
      </w: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OIT/Cinterfor vocational-training institutions:</w:t>
      </w:r>
      <w:r>
        <w:t xml:space="preserve"> </w:t>
      </w:r>
      <w:hyperlink r:id="rId87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10"/>
        </w:numPr>
        <w:pStyle w:val="Compact"/>
      </w:pPr>
      <w:r>
        <w:t xml:space="preserve">CISA Secure Our World:</w:t>
      </w:r>
      <w:r>
        <w:t xml:space="preserve"> </w:t>
      </w:r>
      <w:hyperlink r:id="rId88">
        <w:r>
          <w:rPr>
            <w:rStyle w:val="Hyperlink"/>
          </w:rPr>
          <w:t xml:space="preserve">https://www.cisa.gov/secure-our-world</w:t>
        </w:r>
      </w:hyperlink>
    </w:p>
    <w:p>
      <w:pPr>
        <w:numPr>
          <w:ilvl w:val="0"/>
          <w:numId w:val="1010"/>
        </w:numPr>
        <w:pStyle w:val="Compact"/>
      </w:pPr>
      <w:r>
        <w:t xml:space="preserve">Section508.gov:</w:t>
      </w:r>
      <w:r>
        <w:t xml:space="preserve"> </w:t>
      </w:r>
      <w:hyperlink r:id="rId89">
        <w:r>
          <w:rPr>
            <w:rStyle w:val="Hyperlink"/>
          </w:rPr>
          <w:t xml:space="preserve">https://www.section508.gov/</w:t>
        </w:r>
      </w:hyperlink>
    </w:p>
    <w:p>
      <w:pPr>
        <w:numPr>
          <w:ilvl w:val="0"/>
          <w:numId w:val="1010"/>
        </w:numPr>
        <w:pStyle w:val="Compact"/>
      </w:pPr>
      <w:r>
        <w:t xml:space="preserve">WCAG 2.2:</w:t>
      </w:r>
      <w:r>
        <w:t xml:space="preserve"> </w:t>
      </w:r>
      <w:hyperlink r:id="rId90">
        <w:r>
          <w:rPr>
            <w:rStyle w:val="Hyperlink"/>
          </w:rPr>
          <w:t xml:space="preserve">https://www.w3.org/TR/WCAG22/</w:t>
        </w:r>
      </w:hyperlink>
    </w:p>
    <w:p>
      <w:pPr>
        <w:numPr>
          <w:ilvl w:val="0"/>
          <w:numId w:val="1010"/>
        </w:numPr>
        <w:pStyle w:val="Compact"/>
      </w:pPr>
      <w:r>
        <w:t xml:space="preserve">NIST AI Risk Management Framework:</w:t>
      </w:r>
      <w:r>
        <w:t xml:space="preserve"> </w:t>
      </w:r>
      <w:hyperlink r:id="rId91">
        <w:hyperlink r:id="rId9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0"/>
        </w:numPr>
        <w:pStyle w:val="Compact"/>
      </w:pPr>
      <w:r>
        <w:t xml:space="preserve">NIST Generative AI Profile:</w:t>
      </w:r>
      <w:r>
        <w:t xml:space="preserve"> </w:t>
      </w:r>
      <w:hyperlink r:id="rId92">
        <w:hyperlink r:id="rId92">
          <w:r>
            <w:rPr>
              <w:rStyle w:val="Hyperlink"/>
            </w:rPr>
            <w:t xml:space="preserve">Source link</w:t>
          </w:r>
        </w:hyperlink>
      </w:hyperlink>
    </w:p>
    <w:bookmarkEnd w:id="93"/>
    <w:bookmarkStart w:id="94" w:name="comprobación-final-de-realidad"/>
    <w:p>
      <w:pPr>
        <w:pStyle w:val="Heading2"/>
      </w:pPr>
      <w:r>
        <w:t xml:space="preserve">Comprobación final de realidad</w:t>
      </w:r>
    </w:p>
    <w:p>
      <w:pPr>
        <w:pStyle w:val="FirstParagraph"/>
      </w:pPr>
      <w:r>
        <w:t xml:space="preserve">El soporte informático puede ser una entrada práctica al sector, pero ninguna capacitación, certificación, portafolio o herramienta de IA garantiza empleo o salario. La proyección de empleo total en Estados Unidos es descendente, así que desarrolle habilidades transferibles más allá de scripts repetitivos: diagnóstico, identidad y acceso seguros, endpoints y nube, redes, documentación, accesibilidad, comunicación y automatización responsable.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Límite de aseguramiento:</w:t>
      </w:r>
      <w:r>
        <w:t xml:space="preserve"> </w:t>
      </w:r>
      <w:r>
        <w:t xml:space="preserve">esta guía usa revisión controlada de fuentes actuales y QA editorial/técnico interno. No constituye certificación humana independiente, traducción profesional certificada, certificación de accesibilidad o ciberseguridad, revisión legal/de privacidad, certificación de proveedor, acreditación de formación, aprobación de financiamiento ni garantía de empleo o ingresos.</w:t>
      </w:r>
    </w:p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5" Target="https://betowa.sena.edu.co/oferta/instalacion-de-redes-de-computadores?programId=132975&amp;modality=P" TargetMode="External" /><Relationship Type="http://schemas.openxmlformats.org/officeDocument/2006/relationships/hyperlink" Id="rId84" Target="https://betowa.sena.edu.co/oferta/sistemas-teleinformaticos?programId=198816&amp;modality=P" TargetMode="External" /><Relationship Type="http://schemas.openxmlformats.org/officeDocument/2006/relationships/hyperlink" Id="rId86" Target="https://historico.sena.edu.co/es-co/Noticias/Paginas/noticia.aspx?IdNoticia=9274" TargetMode="External" /><Relationship Type="http://schemas.openxmlformats.org/officeDocument/2006/relationships/hyperlink" Id="rId83" Target="https://ocupacol.mintrabajo.gov.co/Profile/OccupationalProfile/35121" TargetMode="External" /><Relationship Type="http://schemas.openxmlformats.org/officeDocument/2006/relationships/hyperlink" Id="rId82" Target="https://www.canada.ca/en/services/jobs/training.html" TargetMode="External" /><Relationship Type="http://schemas.openxmlformats.org/officeDocument/2006/relationships/hyperlink" Id="rId78" Target="https://www.careeronestop.org/FindTraining/find-training.aspx" TargetMode="External" /><Relationship Type="http://schemas.openxmlformats.org/officeDocument/2006/relationships/hyperlink" Id="rId77" Target="https://www.careeronestop.org/LocalHelp/EmploymentAndTraining/find-WIOA-training-programs.aspx" TargetMode="External" /><Relationship Type="http://schemas.openxmlformats.org/officeDocument/2006/relationships/hyperlink" Id="rId88" Target="https://www.cisa.gov/secure-our-world" TargetMode="External" /><Relationship Type="http://schemas.openxmlformats.org/officeDocument/2006/relationships/hyperlink" Id="rId76" Target="https://www.indeed.com/career/helpdesk-technician/salaries" TargetMode="External" /><Relationship Type="http://schemas.openxmlformats.org/officeDocument/2006/relationships/hyperlink" Id="rId80" Target="https://www.jobbank.gc.ca/marketreport/requirements/296677/ca" TargetMode="External" /><Relationship Type="http://schemas.openxmlformats.org/officeDocument/2006/relationships/hyperlink" Id="rId79" Target="https://www.jobbank.gc.ca/marketreport/summary-occupation/3772/ca" TargetMode="External" /><Relationship Type="http://schemas.openxmlformats.org/officeDocument/2006/relationships/hyperlink" Id="rId81" Target="https://www.jobbank.gc.ca/wagereport/occupation/296730" TargetMode="External" /><Relationship Type="http://schemas.openxmlformats.org/officeDocument/2006/relationships/hyperlink" Id="rId91" Target="https://www.nist.gov/itl/ai-risk-management-framework" TargetMode="External" /><Relationship Type="http://schemas.openxmlformats.org/officeDocument/2006/relationships/hyperlink" Id="rId92" Target="https://www.nist.gov/publications/artificial-intelligence-risk-management-framework-generative-artificial-intelligence" TargetMode="External" /><Relationship Type="http://schemas.openxmlformats.org/officeDocument/2006/relationships/hyperlink" Id="rId87" Target="https://www.oitcinterfor.org/statsfp/paises" TargetMode="External" /><Relationship Type="http://schemas.openxmlformats.org/officeDocument/2006/relationships/hyperlink" Id="rId75" Target="https://www.onetonline.org/link/demand/15-1232.00" TargetMode="External" /><Relationship Type="http://schemas.openxmlformats.org/officeDocument/2006/relationships/hyperlink" Id="rId71" Target="https://www.onetonline.org/link/details/15-1232.00" TargetMode="External" /><Relationship Type="http://schemas.openxmlformats.org/officeDocument/2006/relationships/hyperlink" Id="rId74" Target="https://www.onetonline.org/link/localtrends/15-1232.00" TargetMode="External" /><Relationship Type="http://schemas.openxmlformats.org/officeDocument/2006/relationships/hyperlink" Id="rId73" Target="https://www.onetonline.org/link/localwages/15-1232.00" TargetMode="External" /><Relationship Type="http://schemas.openxmlformats.org/officeDocument/2006/relationships/hyperlink" Id="rId70" Target="https://www.onetonline.org/link/summary/15-1232.00" TargetMode="External" /><Relationship Type="http://schemas.openxmlformats.org/officeDocument/2006/relationships/hyperlink" Id="rId72" Target="https://www.onetonline.org/skills/zone/15-1232.00" TargetMode="External" /><Relationship Type="http://schemas.openxmlformats.org/officeDocument/2006/relationships/hyperlink" Id="rId89" Target="https://www.section508.gov/" TargetMode="External" /><Relationship Type="http://schemas.openxmlformats.org/officeDocument/2006/relationships/hyperlink" Id="rId90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betowa.sena.edu.co/oferta/instalacion-de-redes-de-computadores?programId=132975&amp;modality=P" TargetMode="External" /><Relationship Type="http://schemas.openxmlformats.org/officeDocument/2006/relationships/hyperlink" Id="rId84" Target="https://betowa.sena.edu.co/oferta/sistemas-teleinformaticos?programId=198816&amp;modality=P" TargetMode="External" /><Relationship Type="http://schemas.openxmlformats.org/officeDocument/2006/relationships/hyperlink" Id="rId86" Target="https://historico.sena.edu.co/es-co/Noticias/Paginas/noticia.aspx?IdNoticia=9274" TargetMode="External" /><Relationship Type="http://schemas.openxmlformats.org/officeDocument/2006/relationships/hyperlink" Id="rId83" Target="https://ocupacol.mintrabajo.gov.co/Profile/OccupationalProfile/35121" TargetMode="External" /><Relationship Type="http://schemas.openxmlformats.org/officeDocument/2006/relationships/hyperlink" Id="rId82" Target="https://www.canada.ca/en/services/jobs/training.html" TargetMode="External" /><Relationship Type="http://schemas.openxmlformats.org/officeDocument/2006/relationships/hyperlink" Id="rId78" Target="https://www.careeronestop.org/FindTraining/find-training.aspx" TargetMode="External" /><Relationship Type="http://schemas.openxmlformats.org/officeDocument/2006/relationships/hyperlink" Id="rId77" Target="https://www.careeronestop.org/LocalHelp/EmploymentAndTraining/find-WIOA-training-programs.aspx" TargetMode="External" /><Relationship Type="http://schemas.openxmlformats.org/officeDocument/2006/relationships/hyperlink" Id="rId88" Target="https://www.cisa.gov/secure-our-world" TargetMode="External" /><Relationship Type="http://schemas.openxmlformats.org/officeDocument/2006/relationships/hyperlink" Id="rId76" Target="https://www.indeed.com/career/helpdesk-technician/salaries" TargetMode="External" /><Relationship Type="http://schemas.openxmlformats.org/officeDocument/2006/relationships/hyperlink" Id="rId80" Target="https://www.jobbank.gc.ca/marketreport/requirements/296677/ca" TargetMode="External" /><Relationship Type="http://schemas.openxmlformats.org/officeDocument/2006/relationships/hyperlink" Id="rId79" Target="https://www.jobbank.gc.ca/marketreport/summary-occupation/3772/ca" TargetMode="External" /><Relationship Type="http://schemas.openxmlformats.org/officeDocument/2006/relationships/hyperlink" Id="rId81" Target="https://www.jobbank.gc.ca/wagereport/occupation/296730" TargetMode="External" /><Relationship Type="http://schemas.openxmlformats.org/officeDocument/2006/relationships/hyperlink" Id="rId91" Target="https://www.nist.gov/itl/ai-risk-management-framework" TargetMode="External" /><Relationship Type="http://schemas.openxmlformats.org/officeDocument/2006/relationships/hyperlink" Id="rId92" Target="https://www.nist.gov/publications/artificial-intelligence-risk-management-framework-generative-artificial-intelligence" TargetMode="External" /><Relationship Type="http://schemas.openxmlformats.org/officeDocument/2006/relationships/hyperlink" Id="rId87" Target="https://www.oitcinterfor.org/statsfp/paises" TargetMode="External" /><Relationship Type="http://schemas.openxmlformats.org/officeDocument/2006/relationships/hyperlink" Id="rId75" Target="https://www.onetonline.org/link/demand/15-1232.00" TargetMode="External" /><Relationship Type="http://schemas.openxmlformats.org/officeDocument/2006/relationships/hyperlink" Id="rId71" Target="https://www.onetonline.org/link/details/15-1232.00" TargetMode="External" /><Relationship Type="http://schemas.openxmlformats.org/officeDocument/2006/relationships/hyperlink" Id="rId74" Target="https://www.onetonline.org/link/localtrends/15-1232.00" TargetMode="External" /><Relationship Type="http://schemas.openxmlformats.org/officeDocument/2006/relationships/hyperlink" Id="rId73" Target="https://www.onetonline.org/link/localwages/15-1232.00" TargetMode="External" /><Relationship Type="http://schemas.openxmlformats.org/officeDocument/2006/relationships/hyperlink" Id="rId70" Target="https://www.onetonline.org/link/summary/15-1232.00" TargetMode="External" /><Relationship Type="http://schemas.openxmlformats.org/officeDocument/2006/relationships/hyperlink" Id="rId72" Target="https://www.onetonline.org/skills/zone/15-1232.00" TargetMode="External" /><Relationship Type="http://schemas.openxmlformats.org/officeDocument/2006/relationships/hyperlink" Id="rId89" Target="https://www.section508.gov/" TargetMode="External" /><Relationship Type="http://schemas.openxmlformats.org/officeDocument/2006/relationships/hyperlink" Id="rId90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2026-08-22T03:22:01Z</dcterms:created>
  <dcterms:modified xsi:type="dcterms:W3CDTF">2026-08-22T03:22:01Z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