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ESPECIALISTA EM APOIO ENTRE PARES</w:t>
      </w:r>
    </w:p>
    <w:p>
      <w:pPr>
        <w:jc w:val="center"/>
      </w:pPr>
      <w: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especialista em apoio entre pares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Especialistas em apoio entre pares usam experiência vivida de recuperação, saúde mental, uso de substâncias ou outras jornadas para oferecer esperança, apoio não clínico, defesa de direitos e conexão com recursos.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especialista em apoio entre pares.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Especialistas em apoio entre pares usam experiência vivida de recuperação, saúde mental, uso de substâncias ou outras jornadas para oferecer esperança, apoio não clínico, defesa de direitos e conexão com recursos.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Construir relações baseadas em respeito, escolha e reciprocidade.</w:t>
      </w:r>
    </w:p>
    <w:p>
      <w:pPr>
        <w:pStyle w:val="ListBullet"/>
      </w:pPr>
      <w:r>
        <w:t>Compartilhar experiência vivida de forma intencional e apropriada.</w:t>
      </w:r>
    </w:p>
    <w:p>
      <w:pPr>
        <w:pStyle w:val="ListBullet"/>
      </w:pPr>
      <w:r>
        <w:t>Apoiar metas de recuperação definidas pela própria pessoa.</w:t>
      </w:r>
    </w:p>
    <w:p>
      <w:pPr>
        <w:pStyle w:val="ListBullet"/>
      </w:pPr>
      <w:r>
        <w:t>Facilitar grupos, navegação e conexão com serviços.</w:t>
      </w:r>
    </w:p>
    <w:p>
      <w:pPr>
        <w:pStyle w:val="ListBullet"/>
      </w:pPr>
      <w:r>
        <w:t>Reconhecer riscos e seguir protocolos de crise.</w:t>
      </w:r>
    </w:p>
    <w:p>
      <w:pPr>
        <w:pStyle w:val="ListBullet"/>
      </w:pPr>
      <w:r>
        <w:t>Documentar serviços sem linguagem estigmatizante.</w:t>
      </w:r>
    </w:p>
    <w:p>
      <w:pPr>
        <w:pStyle w:val="ListBullet"/>
      </w:pPr>
      <w:r>
        <w:t>Manter limites, supervisão e autocuidado.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Construir relações baseadas em respeito, escolha e reciprocidade.</w:t>
      </w:r>
    </w:p>
    <w:p>
      <w:pPr>
        <w:pStyle w:val="ListBullet"/>
      </w:pPr>
      <w:r>
        <w:t>Compartilhar experiência vivida de forma intencional e apropriada.</w:t>
      </w:r>
    </w:p>
    <w:p>
      <w:pPr>
        <w:pStyle w:val="ListBullet"/>
      </w:pPr>
      <w:r>
        <w:t>Apoiar metas de recuperação definidas pela própria pessoa.</w:t>
      </w:r>
    </w:p>
    <w:p>
      <w:pPr>
        <w:pStyle w:val="ListBullet"/>
      </w:pPr>
      <w:r>
        <w:t>Facilitar grupos, navegação e conexão com serviços.</w:t>
      </w:r>
    </w:p>
    <w:p>
      <w:pPr>
        <w:pStyle w:val="ListBullet"/>
      </w:pPr>
      <w:r>
        <w:t>Reconhecer riscos e seguir protocolos de crise.</w:t>
      </w:r>
    </w:p>
    <w:p>
      <w:pPr>
        <w:pStyle w:val="ListBullet"/>
      </w:pPr>
      <w:r>
        <w:t>Documentar serviços sem linguagem estigmatizante.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Planos de recuperação e bem-estar.</w:t>
      </w:r>
    </w:p>
    <w:p>
      <w:pPr>
        <w:pStyle w:val="ListBullet"/>
      </w:pPr>
      <w:r>
        <w:t>Diretórios de recursos e sistemas de encaminhamento.</w:t>
      </w:r>
    </w:p>
    <w:p>
      <w:pPr>
        <w:pStyle w:val="ListBullet"/>
      </w:pPr>
      <w:r>
        <w:t>Registros de contato e documentação de serviços.</w:t>
      </w:r>
    </w:p>
    <w:p>
      <w:pPr>
        <w:pStyle w:val="ListBullet"/>
      </w:pPr>
      <w:r>
        <w:t>Planos de crise e segurança.</w:t>
      </w:r>
    </w:p>
    <w:p>
      <w:pPr>
        <w:pStyle w:val="ListBullet"/>
      </w:pPr>
      <w:r>
        <w:t>Materiais de grupo e educação em direitos.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atuar como terapeuta, médico, conselheiro jurídico ou gestor financeiro.</w:t>
      </w:r>
    </w:p>
    <w:p>
      <w:pPr>
        <w:pStyle w:val="ListBullet"/>
      </w:pPr>
      <w:r>
        <w:t>Não impor a própria história ou caminho de recuperação.</w:t>
      </w:r>
    </w:p>
    <w:p>
      <w:pPr>
        <w:pStyle w:val="ListBullet"/>
      </w:pPr>
      <w:r>
        <w:t>Não prometer confidencialidade absoluta quando a lei exige relato.</w:t>
      </w:r>
    </w:p>
    <w:p>
      <w:pPr>
        <w:pStyle w:val="ListBullet"/>
      </w:pPr>
      <w:r>
        <w:t>Não manter relações duplas, financeiras ou íntimas inadequadas.</w:t>
      </w:r>
    </w:p>
    <w:p>
      <w:pPr>
        <w:pStyle w:val="ListBullet"/>
      </w:pPr>
      <w:r>
        <w:t>Escalar risco imediato, exploração, abuso e conflitos de limite.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Pesquise salários locais por título, porque 'peer specialist', 'recovery coach' e funções similares podem ter faixas diferentes.</w:t>
      </w:r>
    </w:p>
    <w:p>
      <w:r>
        <w:t>Considere financiamento por Medicaid, contratos, organizações sem fins lucrativos e programas públicos, além de estabilidade e supervisão.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Muitos estados exigem curso, horas de experiência, exame, supervisão e renovação. Outros deixam a exigência ao empregador.</w:t>
      </w:r>
    </w:p>
    <w:p>
      <w:r>
        <w:t>Verifique a entidade certificadora reconhecida, elegibilidade por experiência vivida, antecedentes e portabilidade entre estados.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prática clínica,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pacientes, clientes, empregados, estudantes, fornecedores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Voluntário ou apoiador de pares em formação.</w:t>
      </w:r>
    </w:p>
    <w:p>
      <w:pPr>
        <w:pStyle w:val="ListBullet"/>
      </w:pPr>
      <w:r>
        <w:t>Especialista certificado em apoio entre pares.</w:t>
      </w:r>
    </w:p>
    <w:p>
      <w:pPr>
        <w:pStyle w:val="ListBullet"/>
      </w:pPr>
      <w:r>
        <w:t>Especialista sênior, facilitador ou supervisor de pares.</w:t>
      </w:r>
    </w:p>
    <w:p>
      <w:pPr>
        <w:pStyle w:val="ListBullet"/>
      </w:pPr>
      <w:r>
        <w:t>Coordenador de programa, formador ou função adjacente com educação adicional.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https://www.samhsa.gov/brss-tacs/recovery-support-tools/peers</w:t>
      </w:r>
    </w:p>
    <w:p>
      <w:pPr>
        <w:pStyle w:val="ListBullet"/>
      </w:pPr>
      <w:r>
        <w:t>https://www.bls.gov/ooh/community-and-social-service/social-and-human-service-assistants.htm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Especialista em Apoio entre Pares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