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Oportunidades para Toda la Vida 14</w:t>
      </w:r>
    </w:p>
    <w:p>
      <w:pPr>
        <w:jc w:val="center"/>
      </w:pPr>
      <w:r>
        <w:rPr>
          <w:b/>
          <w:sz w:val="36"/>
        </w:rPr>
        <w:t>Representante de Servicios al Paciente y Coordinador de Consultorio Médico</w:t>
      </w:r>
    </w:p>
    <w:p>
      <w:pPr>
        <w:jc w:val="center"/>
      </w:pPr>
      <w:r>
        <w:t>Edición en español latinoamericano | Versión 1.0 | Julio de 2026</w:t>
      </w:r>
    </w:p>
    <w:p>
      <w:pPr>
        <w:jc w:val="center"/>
      </w:pPr>
      <w:r>
        <w:t>Creada y dirigida por Alberto “Al” Leiva</w:t>
      </w:r>
    </w:p>
    <w:p>
      <w:pPr>
        <w:pStyle w:val="Heading1"/>
      </w:pPr>
      <w:r>
        <w:t>Aviso importante</w:t>
      </w:r>
    </w:p>
    <w:p>
      <w:r>
        <w:t>Esta guía ofrece información educativa general para explorar una carrera. No garantiza empleo, ingresos, admisión, certificación, financiación, promoción ni ningún otro resultado. Los requisitos de privacidad, seguros, facturación, licencias, consentimiento, seguridad del paciente y documentación cambian según el país, la región, el sistema de salud y el empleador. Esta función no autoriza a diagnosticar, interpretar resultados clínicos ni ofrecer consejos médicos.</w:t>
      </w:r>
    </w:p>
    <w:p>
      <w:pPr>
        <w:pStyle w:val="Heading1"/>
      </w:pPr>
      <w:r>
        <w:t>1. ¿En qué consiste este trabajo?</w:t>
      </w:r>
    </w:p>
    <w:p>
      <w:r>
        <w:t>Los representantes de servicios al paciente y coordinadores de consultorio médico ayudan a que pacientes, familias, profesionales y áreas administrativas se comuniquen y coordinen correctamente. Programan citas, verifican información, organizan documentos y explican procesos administrativos sin sustituir al personal clínico.</w:t>
      </w:r>
    </w:p>
    <w:p>
      <w:pPr>
        <w:pStyle w:val="ListBullet"/>
      </w:pPr>
      <w:r>
        <w:t>Recibir pacientes y confirmar identidad, datos de contacto y motivo administrativo de la visita.</w:t>
      </w:r>
    </w:p>
    <w:p>
      <w:pPr>
        <w:pStyle w:val="ListBullet"/>
      </w:pPr>
      <w:r>
        <w:t>Programar, reprogramar y confirmar citas, procedimientos o estudios.</w:t>
      </w:r>
    </w:p>
    <w:p>
      <w:pPr>
        <w:pStyle w:val="ListBullet"/>
      </w:pPr>
      <w:r>
        <w:t>Registrar referencias, autorizaciones, cobertura y documentos requeridos.</w:t>
      </w:r>
    </w:p>
    <w:p>
      <w:pPr>
        <w:pStyle w:val="ListBullet"/>
      </w:pPr>
      <w:r>
        <w:t>Explicar formularios, políticas, horarios, costos estimados y próximos pasos administrativos.</w:t>
      </w:r>
    </w:p>
    <w:p>
      <w:pPr>
        <w:pStyle w:val="ListBullet"/>
      </w:pPr>
      <w:r>
        <w:t>Coordinar comunicaciones con personal clínico, facturación, farmacia, laboratorio y otras oficinas.</w:t>
      </w:r>
    </w:p>
    <w:p>
      <w:pPr>
        <w:pStyle w:val="ListBullet"/>
      </w:pPr>
      <w:r>
        <w:t>Mantener expedientes, listas de trabajo, mensajes y documentación con precisión.</w:t>
      </w:r>
    </w:p>
    <w:p>
      <w:pPr>
        <w:pStyle w:val="ListBullet"/>
      </w:pPr>
      <w:r>
        <w:t>Reconocer señales de urgencia administrativa o clínica y seguir el protocolo de escalamiento.</w:t>
      </w:r>
    </w:p>
    <w:p>
      <w:pPr>
        <w:pStyle w:val="ListBullet"/>
      </w:pPr>
      <w:r>
        <w:t>Proteger información de salud y utilizar solamente sistemas autorizados.</w:t>
      </w:r>
    </w:p>
    <w:p>
      <w:pPr>
        <w:pStyle w:val="Heading1"/>
      </w:pPr>
      <w:r>
        <w:t>2. Títulos y entornos relacionados</w:t>
      </w:r>
    </w:p>
    <w:p>
      <w:pPr>
        <w:pStyle w:val="ListBullet"/>
      </w:pPr>
      <w:r>
        <w:t>Representante de servicios al paciente</w:t>
      </w:r>
    </w:p>
    <w:p>
      <w:pPr>
        <w:pStyle w:val="ListBullet"/>
      </w:pPr>
      <w:r>
        <w:t>Coordinador de consultorio médico</w:t>
      </w:r>
    </w:p>
    <w:p>
      <w:pPr>
        <w:pStyle w:val="ListBullet"/>
      </w:pPr>
      <w:r>
        <w:t>Recepcionista médico</w:t>
      </w:r>
    </w:p>
    <w:p>
      <w:pPr>
        <w:pStyle w:val="ListBullet"/>
      </w:pPr>
      <w:r>
        <w:t>Asistente de acceso al paciente</w:t>
      </w:r>
    </w:p>
    <w:p>
      <w:pPr>
        <w:pStyle w:val="ListBullet"/>
      </w:pPr>
      <w:r>
        <w:t>Coordinador de citas</w:t>
      </w:r>
    </w:p>
    <w:p>
      <w:pPr>
        <w:pStyle w:val="ListBullet"/>
      </w:pPr>
      <w:r>
        <w:t>Asistente de admisiones</w:t>
      </w:r>
    </w:p>
    <w:p>
      <w:pPr>
        <w:pStyle w:val="ListBullet"/>
      </w:pPr>
      <w:r>
        <w:t>Especialista de referencias y autorizaciones</w:t>
      </w:r>
    </w:p>
    <w:p>
      <w:pPr>
        <w:pStyle w:val="ListBullet"/>
      </w:pPr>
      <w:r>
        <w:t>Asistente administrativo de clínica</w:t>
      </w:r>
    </w:p>
    <w:p>
      <w:pPr>
        <w:pStyle w:val="ListBullet"/>
      </w:pPr>
      <w:r>
        <w:t>Representante de servicio al paciente en hospitales, laboratorios o centros de diagnóstico</w:t>
      </w:r>
    </w:p>
    <w:p>
      <w:r>
        <w:t>Hay oportunidades en consultorios, clínicas, hospitales, centros de diagnóstico, laboratorios, salud mental, rehabilitación, odontología, telemedicina y redes de seguros. Algunas tareas pueden ser remotas, pero muchos puestos requieren presencia física, manejo de pacientes y horarios extendidos.</w:t>
      </w:r>
    </w:p>
    <w:p>
      <w:pPr>
        <w:pStyle w:val="Heading1"/>
      </w:pPr>
      <w:r>
        <w:t>3. Competencias esenciales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Competencia</w:t>
            </w:r>
          </w:p>
        </w:tc>
        <w:tc>
          <w:tcPr>
            <w:tcW w:type="dxa" w:w="3312"/>
          </w:tcPr>
          <w:p>
            <w:r>
              <w:t>Aplicación práctica</w:t>
            </w:r>
          </w:p>
        </w:tc>
        <w:tc>
          <w:tcPr>
            <w:tcW w:type="dxa" w:w="3312"/>
          </w:tcPr>
          <w:p>
            <w:r>
              <w:t>Evidencia ética</w:t>
            </w:r>
          </w:p>
        </w:tc>
        <w:trPr>
          <w:tblHeader/>
        </w:trPr>
      </w:tr>
      <w:tr>
        <w:tc>
          <w:tcPr>
            <w:tcW w:type="dxa" w:w="3312"/>
          </w:tcPr>
          <w:p>
            <w:r>
              <w:t>Comunicación</w:t>
            </w:r>
          </w:p>
        </w:tc>
        <w:tc>
          <w:tcPr>
            <w:tcW w:type="dxa" w:w="3312"/>
          </w:tcPr>
          <w:p>
            <w:r>
              <w:t>Explicar procesos administrativos con claridad y respeto.</w:t>
            </w:r>
          </w:p>
        </w:tc>
        <w:tc>
          <w:tcPr>
            <w:tcW w:type="dxa" w:w="3312"/>
          </w:tcPr>
          <w:p>
            <w:r>
              <w:t>Guion ficticio de atención.</w:t>
            </w:r>
          </w:p>
        </w:tc>
      </w:tr>
      <w:tr>
        <w:tc>
          <w:tcPr>
            <w:tcW w:type="dxa" w:w="3312"/>
          </w:tcPr>
          <w:p>
            <w:r>
              <w:t>Atención al detalle</w:t>
            </w:r>
          </w:p>
        </w:tc>
        <w:tc>
          <w:tcPr>
            <w:tcW w:type="dxa" w:w="3312"/>
          </w:tcPr>
          <w:p>
            <w:r>
              <w:t>Confirmar identidad, fechas, órdenes, cobertura y mensajes.</w:t>
            </w:r>
          </w:p>
        </w:tc>
        <w:tc>
          <w:tcPr>
            <w:tcW w:type="dxa" w:w="3312"/>
          </w:tcPr>
          <w:p>
            <w:r>
              <w:t>Checklist simulado.</w:t>
            </w:r>
          </w:p>
        </w:tc>
      </w:tr>
      <w:tr>
        <w:tc>
          <w:tcPr>
            <w:tcW w:type="dxa" w:w="3312"/>
          </w:tcPr>
          <w:p>
            <w:r>
              <w:t>Privacidad</w:t>
            </w:r>
          </w:p>
        </w:tc>
        <w:tc>
          <w:tcPr>
            <w:tcW w:type="dxa" w:w="3312"/>
          </w:tcPr>
          <w:p>
            <w:r>
              <w:t>Aplicar mínimo acceso y canales autorizados.</w:t>
            </w:r>
          </w:p>
        </w:tc>
        <w:tc>
          <w:tcPr>
            <w:tcW w:type="dxa" w:w="3312"/>
          </w:tcPr>
          <w:p>
            <w:r>
              <w:t>Matriz ficticia de permisos.</w:t>
            </w:r>
          </w:p>
        </w:tc>
      </w:tr>
      <w:tr>
        <w:tc>
          <w:tcPr>
            <w:tcW w:type="dxa" w:w="3312"/>
          </w:tcPr>
          <w:p>
            <w:r>
              <w:t>Organización</w:t>
            </w:r>
          </w:p>
        </w:tc>
        <w:tc>
          <w:tcPr>
            <w:tcW w:type="dxa" w:w="3312"/>
          </w:tcPr>
          <w:p>
            <w:r>
              <w:t>Coordinar citas, documentos, llamadas y pendientes.</w:t>
            </w:r>
          </w:p>
        </w:tc>
        <w:tc>
          <w:tcPr>
            <w:tcW w:type="dxa" w:w="3312"/>
          </w:tcPr>
          <w:p>
            <w:r>
              <w:t>Agenda y lista de seguimiento simuladas.</w:t>
            </w:r>
          </w:p>
        </w:tc>
      </w:tr>
      <w:tr>
        <w:tc>
          <w:tcPr>
            <w:tcW w:type="dxa" w:w="3312"/>
          </w:tcPr>
          <w:p>
            <w:r>
              <w:t>Empatía con límites</w:t>
            </w:r>
          </w:p>
        </w:tc>
        <w:tc>
          <w:tcPr>
            <w:tcW w:type="dxa" w:w="3312"/>
          </w:tcPr>
          <w:p>
            <w:r>
              <w:t>Reconocer preocupación sin diagnosticar ni prometer resultados.</w:t>
            </w:r>
          </w:p>
        </w:tc>
        <w:tc>
          <w:tcPr>
            <w:tcW w:type="dxa" w:w="3312"/>
          </w:tcPr>
          <w:p>
            <w:r>
              <w:t>Respuesta ficticia de servicio.</w:t>
            </w:r>
          </w:p>
        </w:tc>
      </w:tr>
      <w:tr>
        <w:tc>
          <w:tcPr>
            <w:tcW w:type="dxa" w:w="3312"/>
          </w:tcPr>
          <w:p>
            <w:r>
              <w:t>Escalamiento</w:t>
            </w:r>
          </w:p>
        </w:tc>
        <w:tc>
          <w:tcPr>
            <w:tcW w:type="dxa" w:w="3312"/>
          </w:tcPr>
          <w:p>
            <w:r>
              <w:t>Identificar qué debe ir a enfermería, médico, facturación o supervisor.</w:t>
            </w:r>
          </w:p>
        </w:tc>
        <w:tc>
          <w:tcPr>
            <w:tcW w:type="dxa" w:w="3312"/>
          </w:tcPr>
          <w:p>
            <w:r>
              <w:t>Flujo simulado.</w:t>
            </w:r>
          </w:p>
        </w:tc>
      </w:tr>
      <w:tr>
        <w:tc>
          <w:tcPr>
            <w:tcW w:type="dxa" w:w="3312"/>
          </w:tcPr>
          <w:p>
            <w:r>
              <w:t>Calidad de datos</w:t>
            </w:r>
          </w:p>
        </w:tc>
        <w:tc>
          <w:tcPr>
            <w:tcW w:type="dxa" w:w="3312"/>
          </w:tcPr>
          <w:p>
            <w:r>
              <w:t>Registrar información completa, legible y oportuna.</w:t>
            </w:r>
          </w:p>
        </w:tc>
        <w:tc>
          <w:tcPr>
            <w:tcW w:type="dxa" w:w="3312"/>
          </w:tcPr>
          <w:p>
            <w:r>
              <w:t>Ejemplo ficticio de revisión.</w:t>
            </w:r>
          </w:p>
        </w:tc>
      </w:tr>
    </w:tbl>
    <w:p>
      <w:pPr>
        <w:pStyle w:val="Heading1"/>
      </w:pPr>
      <w:r>
        <w:t>4. Educación y vías de entrada</w:t>
      </w:r>
    </w:p>
    <w:p>
      <w:r>
        <w:t>Muchos puestos de entrada aceptan educación secundaria, formación técnica o experiencia en servicio al cliente y administración. Algunos empleadores prefieren certificados en administración médica, facturación, historias clínicas o asistencia sanitaria. Los requisitos dependen del país, la institución y el alcance real del cargo.</w:t>
      </w:r>
    </w:p>
    <w:p>
      <w:pPr>
        <w:pStyle w:val="ListNumber"/>
      </w:pPr>
      <w:r>
        <w:t>Comenzar con cursos gratuitos o económicos de terminología médica, atención al paciente, privacidad y herramientas de oficina.</w:t>
      </w:r>
    </w:p>
    <w:p>
      <w:pPr>
        <w:pStyle w:val="ListNumber"/>
      </w:pPr>
      <w:r>
        <w:t>Buscar experiencia en recepción, servicio al cliente, administración o voluntariado en salud.</w:t>
      </w:r>
    </w:p>
    <w:p>
      <w:pPr>
        <w:pStyle w:val="ListNumber"/>
      </w:pPr>
      <w:r>
        <w:t>Aprender citas, referencias, autorizaciones, mensajes y documentación.</w:t>
      </w:r>
    </w:p>
    <w:p>
      <w:pPr>
        <w:pStyle w:val="ListNumber"/>
      </w:pPr>
      <w:r>
        <w:t>Practicar con casos y datos completamente ficticios.</w:t>
      </w:r>
    </w:p>
    <w:p>
      <w:pPr>
        <w:pStyle w:val="ListNumber"/>
      </w:pPr>
      <w:r>
        <w:t>Especializarse después en acceso al paciente, facturación, codificación, historias clínicas o coordinación de atención.</w:t>
      </w:r>
    </w:p>
    <w:p>
      <w:pPr>
        <w:pStyle w:val="Heading1"/>
      </w:pPr>
      <w:r>
        <w:t>5. Herramientas y documentos comunes</w:t>
      </w:r>
    </w:p>
    <w:p>
      <w:pPr>
        <w:pStyle w:val="ListBullet"/>
      </w:pPr>
      <w:r>
        <w:t>Sistemas de historia clínica electrónica y gestión de práctica</w:t>
      </w:r>
    </w:p>
    <w:p>
      <w:pPr>
        <w:pStyle w:val="ListBullet"/>
      </w:pPr>
      <w:r>
        <w:t>Portales de pacientes, aseguradoras y autorizaciones</w:t>
      </w:r>
    </w:p>
    <w:p>
      <w:pPr>
        <w:pStyle w:val="ListBullet"/>
      </w:pPr>
      <w:r>
        <w:t>Calendarios, colas de trabajo, mensajería y videoconferencia</w:t>
      </w:r>
    </w:p>
    <w:p>
      <w:pPr>
        <w:pStyle w:val="ListBullet"/>
      </w:pPr>
      <w:r>
        <w:t>Formularios de registro, consentimiento, referencias y cobertura</w:t>
      </w:r>
    </w:p>
    <w:p>
      <w:pPr>
        <w:pStyle w:val="ListBullet"/>
      </w:pPr>
      <w:r>
        <w:t>Procesadores de texto, hojas de cálculo y escáneres</w:t>
      </w:r>
    </w:p>
    <w:p>
      <w:pPr>
        <w:pStyle w:val="ListBullet"/>
      </w:pPr>
      <w:r>
        <w:t>Sistemas telefónicos, recordatorios y listas de espera</w:t>
      </w:r>
    </w:p>
    <w:p>
      <w:pPr>
        <w:pStyle w:val="ListBullet"/>
      </w:pPr>
      <w:r>
        <w:t>Herramientas de accesibilidad, interpretación, subtítulos y navegación por teclado</w:t>
      </w:r>
    </w:p>
    <w:p>
      <w:pPr>
        <w:pStyle w:val="Heading1"/>
      </w:pPr>
      <w:r>
        <w:t>6. Privacidad, seguridad y exactitud</w:t>
      </w:r>
    </w:p>
    <w:p>
      <w:pPr>
        <w:pStyle w:val="ListBullet"/>
      </w:pPr>
      <w:r>
        <w:t>Verifique la identidad antes de revelar información o modificar una cita.</w:t>
      </w:r>
    </w:p>
    <w:p>
      <w:pPr>
        <w:pStyle w:val="ListBullet"/>
      </w:pPr>
      <w:r>
        <w:t>Comparta solamente la información mínima necesaria con personas autorizadas.</w:t>
      </w:r>
    </w:p>
    <w:p>
      <w:pPr>
        <w:pStyle w:val="ListBullet"/>
      </w:pPr>
      <w:r>
        <w:t>No discuta información de pacientes en áreas públicas ni mediante cuentas personales.</w:t>
      </w:r>
    </w:p>
    <w:p>
      <w:pPr>
        <w:pStyle w:val="ListBullet"/>
      </w:pPr>
      <w:r>
        <w:t>Use sistemas, dispositivos y canales aprobados.</w:t>
      </w:r>
    </w:p>
    <w:p>
      <w:pPr>
        <w:pStyle w:val="ListBullet"/>
      </w:pPr>
      <w:r>
        <w:t>No envíe expedientes, resultados o datos de cobertura a destinatarios no verificados.</w:t>
      </w:r>
    </w:p>
    <w:p>
      <w:pPr>
        <w:pStyle w:val="ListBullet"/>
      </w:pPr>
      <w:r>
        <w:t>Registre mensajes con nombre, fecha, hora, contacto y contenido exacto.</w:t>
      </w:r>
    </w:p>
    <w:p>
      <w:pPr>
        <w:pStyle w:val="ListBullet"/>
      </w:pPr>
      <w:r>
        <w:t>Informe accesos indebidos, mensajes sospechosos, pérdida de documentos o divulgaciones accidentales.</w:t>
      </w:r>
    </w:p>
    <w:p>
      <w:pPr>
        <w:pStyle w:val="ListBullet"/>
      </w:pPr>
      <w:r>
        <w:t>No altere registros para ocultar errores o retrasos.</w:t>
      </w:r>
    </w:p>
    <w:p>
      <w:pPr>
        <w:pStyle w:val="Heading1"/>
      </w:pPr>
      <w:r>
        <w:t>7. Límites clínicos y uso responsable de IA</w:t>
      </w:r>
    </w:p>
    <w:p>
      <w:r>
        <w:t>El personal administrativo no debe diagnosticar, recomendar tratamientos, interpretar resultados ni minimizar síntomas. Debe seguir el protocolo para transferir preguntas clínicas y emergencias.</w:t>
      </w:r>
    </w:p>
    <w:p>
      <w:pPr>
        <w:pStyle w:val="ListBullet"/>
      </w:pPr>
      <w:r>
        <w:t>No use IA pública con información identificable de pacientes sin autorización.</w:t>
      </w:r>
    </w:p>
    <w:p>
      <w:pPr>
        <w:pStyle w:val="ListBullet"/>
      </w:pPr>
      <w:r>
        <w:t>No permita que IA genere consejos médicos o determine urgencia sin supervisión clínica.</w:t>
      </w:r>
    </w:p>
    <w:p>
      <w:pPr>
        <w:pStyle w:val="ListBullet"/>
      </w:pPr>
      <w:r>
        <w:t>Revise nombres, fechas, citas, instrucciones administrativas y destinatarios.</w:t>
      </w:r>
    </w:p>
    <w:p>
      <w:pPr>
        <w:pStyle w:val="ListBullet"/>
      </w:pPr>
      <w:r>
        <w:t>Diferencie claramente información administrativa de orientación clínica.</w:t>
      </w:r>
    </w:p>
    <w:p>
      <w:pPr>
        <w:pStyle w:val="ListBullet"/>
      </w:pPr>
      <w:r>
        <w:t>Conserve la fuente original y la aprobación humana cuando se use automatización.</w:t>
      </w:r>
    </w:p>
    <w:p>
      <w:pPr>
        <w:pStyle w:val="ListBullet"/>
      </w:pPr>
      <w:r>
        <w:t>Siga las políticas institucionales sobre herramientas autorizadas.</w:t>
      </w:r>
    </w:p>
    <w:p>
      <w:pPr>
        <w:pStyle w:val="Heading1"/>
      </w:pPr>
      <w:r>
        <w:t>8. Accesibilidad y atención inclusiva</w:t>
      </w:r>
    </w:p>
    <w:p>
      <w:pPr>
        <w:pStyle w:val="ListBullet"/>
      </w:pPr>
      <w:r>
        <w:t>Ofrecer intérprete, formato accesible o apoyo de comunicación según el proceso disponible.</w:t>
      </w:r>
    </w:p>
    <w:p>
      <w:pPr>
        <w:pStyle w:val="ListBullet"/>
      </w:pPr>
      <w:r>
        <w:t>Usar lenguaje claro y confirmar comprensión sin infantilizar a la persona.</w:t>
      </w:r>
    </w:p>
    <w:p>
      <w:pPr>
        <w:pStyle w:val="ListBullet"/>
      </w:pPr>
      <w:r>
        <w:t>Permitir más tiempo cuando una discapacidad, idioma o situación lo requiera.</w:t>
      </w:r>
    </w:p>
    <w:p>
      <w:pPr>
        <w:pStyle w:val="ListBullet"/>
      </w:pPr>
      <w:r>
        <w:t>Utilizar lector de pantalla, ampliación, contraste y navegación por teclado.</w:t>
      </w:r>
    </w:p>
    <w:p>
      <w:pPr>
        <w:pStyle w:val="ListBullet"/>
      </w:pPr>
      <w:r>
        <w:t>Usar dictado, subtítulos, transcripciones y chat cuando corresponda.</w:t>
      </w:r>
    </w:p>
    <w:p>
      <w:pPr>
        <w:pStyle w:val="ListBullet"/>
      </w:pPr>
      <w:r>
        <w:t>Mantener rutas, mostradores y espacios accesibles.</w:t>
      </w:r>
    </w:p>
    <w:p>
      <w:pPr>
        <w:pStyle w:val="ListBullet"/>
      </w:pPr>
      <w:r>
        <w:t>Aplicar privacidad y dignidad durante cualquier adaptación.</w:t>
      </w:r>
    </w:p>
    <w:p>
      <w:pPr>
        <w:pStyle w:val="Heading1"/>
      </w:pPr>
      <w:r>
        <w:t>9. Plan de aprendizaje de 12 semanas</w:t>
      </w:r>
    </w:p>
    <w:tbl>
      <w:tblPr>
        <w:tblStyle w:val="TableGrid"/>
        <w:tblW w:type="auto" w:w="0"/>
        <w:tblLook w:firstColumn="1" w:firstRow="1" w:lastColumn="0" w:lastRow="0" w:noHBand="0" w:noVBand="1" w:val="04A0"/>
      </w:tblPr>
      <w:tblGrid>
        <w:gridCol w:w="3312"/>
        <w:gridCol w:w="3312"/>
        <w:gridCol w:w="3312"/>
      </w:tblGrid>
      <w:tr>
        <w:tc>
          <w:tcPr>
            <w:tcW w:type="dxa" w:w="3312"/>
          </w:tcPr>
          <w:p>
            <w:r>
              <w:t>Semanas</w:t>
            </w:r>
          </w:p>
        </w:tc>
        <w:tc>
          <w:tcPr>
            <w:tcW w:type="dxa" w:w="3312"/>
          </w:tcPr>
          <w:p>
            <w:r>
              <w:t>Enfoque</w:t>
            </w:r>
          </w:p>
        </w:tc>
        <w:tc>
          <w:tcPr>
            <w:tcW w:type="dxa" w:w="3312"/>
          </w:tcPr>
          <w:p>
            <w:r>
              <w:t>Resultado</w:t>
            </w:r>
          </w:p>
        </w:tc>
        <w:trPr>
          <w:tblHeader/>
        </w:trPr>
      </w:tr>
      <w:tr>
        <w:tc>
          <w:tcPr>
            <w:tcW w:type="dxa" w:w="3312"/>
          </w:tcPr>
          <w:p>
            <w:r>
              <w:t>1-2</w:t>
            </w:r>
          </w:p>
        </w:tc>
        <w:tc>
          <w:tcPr>
            <w:tcW w:type="dxa" w:w="3312"/>
          </w:tcPr>
          <w:p>
            <w:r>
              <w:t>Entorno de salud</w:t>
            </w:r>
          </w:p>
        </w:tc>
        <w:tc>
          <w:tcPr>
            <w:tcW w:type="dxa" w:w="3312"/>
          </w:tcPr>
          <w:p>
            <w:r>
              <w:t>Comprender funciones administrativas, clínicas y de facturación.</w:t>
            </w:r>
          </w:p>
        </w:tc>
      </w:tr>
      <w:tr>
        <w:tc>
          <w:tcPr>
            <w:tcW w:type="dxa" w:w="3312"/>
          </w:tcPr>
          <w:p>
            <w:r>
              <w:t>3-4</w:t>
            </w:r>
          </w:p>
        </w:tc>
        <w:tc>
          <w:tcPr>
            <w:tcW w:type="dxa" w:w="3312"/>
          </w:tcPr>
          <w:p>
            <w:r>
              <w:t>Terminología y citas</w:t>
            </w:r>
          </w:p>
        </w:tc>
        <w:tc>
          <w:tcPr>
            <w:tcW w:type="dxa" w:w="3312"/>
          </w:tcPr>
          <w:p>
            <w:r>
              <w:t>Practicar vocabulario básico, agendas y mensajes.</w:t>
            </w:r>
          </w:p>
        </w:tc>
      </w:tr>
      <w:tr>
        <w:tc>
          <w:tcPr>
            <w:tcW w:type="dxa" w:w="3312"/>
          </w:tcPr>
          <w:p>
            <w:r>
              <w:t>5-6</w:t>
            </w:r>
          </w:p>
        </w:tc>
        <w:tc>
          <w:tcPr>
            <w:tcW w:type="dxa" w:w="3312"/>
          </w:tcPr>
          <w:p>
            <w:r>
              <w:t>Privacidad y seguridad</w:t>
            </w:r>
          </w:p>
        </w:tc>
        <w:tc>
          <w:tcPr>
            <w:tcW w:type="dxa" w:w="3312"/>
          </w:tcPr>
          <w:p>
            <w:r>
              <w:t>Estudiar identidad, mínimo acceso y canales autorizados.</w:t>
            </w:r>
          </w:p>
        </w:tc>
      </w:tr>
      <w:tr>
        <w:tc>
          <w:tcPr>
            <w:tcW w:type="dxa" w:w="3312"/>
          </w:tcPr>
          <w:p>
            <w:r>
              <w:t>7-8</w:t>
            </w:r>
          </w:p>
        </w:tc>
        <w:tc>
          <w:tcPr>
            <w:tcW w:type="dxa" w:w="3312"/>
          </w:tcPr>
          <w:p>
            <w:r>
              <w:t>Referencias y cobertura</w:t>
            </w:r>
          </w:p>
        </w:tc>
        <w:tc>
          <w:tcPr>
            <w:tcW w:type="dxa" w:w="3312"/>
          </w:tcPr>
          <w:p>
            <w:r>
              <w:t>Simular documentos, seguimiento y escalamiento.</w:t>
            </w:r>
          </w:p>
        </w:tc>
      </w:tr>
      <w:tr>
        <w:tc>
          <w:tcPr>
            <w:tcW w:type="dxa" w:w="3312"/>
          </w:tcPr>
          <w:p>
            <w:r>
              <w:t>9-10</w:t>
            </w:r>
          </w:p>
        </w:tc>
        <w:tc>
          <w:tcPr>
            <w:tcW w:type="dxa" w:w="3312"/>
          </w:tcPr>
          <w:p>
            <w:r>
              <w:t>Portafolio</w:t>
            </w:r>
          </w:p>
        </w:tc>
        <w:tc>
          <w:tcPr>
            <w:tcW w:type="dxa" w:w="3312"/>
          </w:tcPr>
          <w:p>
            <w:r>
              <w:t>Crear formularios, guiones y flujos ficticios.</w:t>
            </w:r>
          </w:p>
        </w:tc>
      </w:tr>
      <w:tr>
        <w:tc>
          <w:tcPr>
            <w:tcW w:type="dxa" w:w="3312"/>
          </w:tcPr>
          <w:p>
            <w:r>
              <w:t>11-12</w:t>
            </w:r>
          </w:p>
        </w:tc>
        <w:tc>
          <w:tcPr>
            <w:tcW w:type="dxa" w:w="3312"/>
          </w:tcPr>
          <w:p>
            <w:r>
              <w:t>Empleo</w:t>
            </w:r>
          </w:p>
        </w:tc>
        <w:tc>
          <w:tcPr>
            <w:tcW w:type="dxa" w:w="3312"/>
          </w:tcPr>
          <w:p>
            <w:r>
              <w:t>Actualizar currículo, analizar vacantes y practicar entrevistas.</w:t>
            </w:r>
          </w:p>
        </w:tc>
      </w:tr>
    </w:tbl>
    <w:p>
      <w:pPr>
        <w:pStyle w:val="Heading1"/>
      </w:pPr>
      <w:r>
        <w:t>10. Portafolio ético</w:t>
      </w:r>
    </w:p>
    <w:p>
      <w:r>
        <w:t>Use pacientes, profesionales, aseguradoras, números, diagnósticos y documentos totalmente ficticios. No publique información real de salud ni materiales internos.</w:t>
      </w:r>
    </w:p>
    <w:p>
      <w:pPr>
        <w:pStyle w:val="ListBullet"/>
      </w:pPr>
      <w:r>
        <w:t>Guion ficticio de recepción y verificación de identidad.</w:t>
      </w:r>
    </w:p>
    <w:p>
      <w:pPr>
        <w:pStyle w:val="ListBullet"/>
      </w:pPr>
      <w:r>
        <w:t>Agenda simulada con citas y lista de espera.</w:t>
      </w:r>
    </w:p>
    <w:p>
      <w:pPr>
        <w:pStyle w:val="ListBullet"/>
      </w:pPr>
      <w:r>
        <w:t>Formulario ficticio de registro administrativo.</w:t>
      </w:r>
    </w:p>
    <w:p>
      <w:pPr>
        <w:pStyle w:val="ListBullet"/>
      </w:pPr>
      <w:r>
        <w:t>Flujo de referencia y autorización.</w:t>
      </w:r>
    </w:p>
    <w:p>
      <w:pPr>
        <w:pStyle w:val="ListBullet"/>
      </w:pPr>
      <w:r>
        <w:t>Registro simulado de mensajes y seguimiento.</w:t>
      </w:r>
    </w:p>
    <w:p>
      <w:pPr>
        <w:pStyle w:val="ListBullet"/>
      </w:pPr>
      <w:r>
        <w:t>Checklist de privacidad y seguridad.</w:t>
      </w:r>
    </w:p>
    <w:p>
      <w:pPr>
        <w:pStyle w:val="ListBullet"/>
      </w:pPr>
      <w:r>
        <w:t>Procedimiento ficticio para escalar una pregunta clínica.</w:t>
      </w:r>
    </w:p>
    <w:p>
      <w:pPr>
        <w:pStyle w:val="Heading1"/>
      </w:pPr>
      <w:r>
        <w:t>11. Currículo e entrevista</w:t>
      </w:r>
    </w:p>
    <w:p>
      <w:r>
        <w:t>Describa únicamente experiencia y resultados que pueda demostrar.</w:t>
      </w:r>
    </w:p>
    <w:p>
      <w:pPr>
        <w:pStyle w:val="ListBullet"/>
      </w:pPr>
      <w:r>
        <w:t>Atendí pacientes, clientes o visitantes con respeto.</w:t>
      </w:r>
    </w:p>
    <w:p>
      <w:pPr>
        <w:pStyle w:val="ListBullet"/>
      </w:pPr>
      <w:r>
        <w:t>Programé citas, reuniones o servicios.</w:t>
      </w:r>
    </w:p>
    <w:p>
      <w:pPr>
        <w:pStyle w:val="ListBullet"/>
      </w:pPr>
      <w:r>
        <w:t>Mantuve registros precisos y protegí información sensible.</w:t>
      </w:r>
    </w:p>
    <w:p>
      <w:pPr>
        <w:pStyle w:val="ListBullet"/>
      </w:pPr>
      <w:r>
        <w:t>Coordiné documentos, mensajes y pendientes.</w:t>
      </w:r>
    </w:p>
    <w:p>
      <w:pPr>
        <w:pStyle w:val="ListBullet"/>
      </w:pPr>
      <w:r>
        <w:t>Resolví asuntos administrativos y escalé preguntas fuera de mi autoridad.</w:t>
      </w:r>
    </w:p>
    <w:p>
      <w:pPr>
        <w:pStyle w:val="ListBullet"/>
      </w:pPr>
      <w:r>
        <w:t>Aprendí rápidamente sistemas y procedimientos.</w:t>
      </w:r>
    </w:p>
    <w:p>
      <w:r>
        <w:t>Preguntas frecuentes de entrevista:</w:t>
      </w:r>
    </w:p>
    <w:p>
      <w:pPr>
        <w:pStyle w:val="ListBullet"/>
      </w:pPr>
      <w:r>
        <w:t>¿Cómo verifica la identidad de un paciente?</w:t>
      </w:r>
    </w:p>
    <w:p>
      <w:pPr>
        <w:pStyle w:val="ListBullet"/>
      </w:pPr>
      <w:r>
        <w:t>¿Qué hace si una persona describe síntomas preocupantes?</w:t>
      </w:r>
    </w:p>
    <w:p>
      <w:pPr>
        <w:pStyle w:val="ListBullet"/>
      </w:pPr>
      <w:r>
        <w:t>¿Cómo maneja a un paciente molesto por un retraso?</w:t>
      </w:r>
    </w:p>
    <w:p>
      <w:pPr>
        <w:pStyle w:val="ListBullet"/>
      </w:pPr>
      <w:r>
        <w:t>¿Cómo protege información de salud?</w:t>
      </w:r>
    </w:p>
    <w:p>
      <w:pPr>
        <w:pStyle w:val="ListBullet"/>
      </w:pPr>
      <w:r>
        <w:t>¿Cómo prioriza llamadas, pacientes y mensajes?</w:t>
      </w:r>
    </w:p>
    <w:p>
      <w:pPr>
        <w:pStyle w:val="ListBullet"/>
      </w:pPr>
      <w:r>
        <w:t>¿Cómo usaría IA sin comprometer privacidad ni seguridad clínica?</w:t>
      </w:r>
    </w:p>
    <w:p>
      <w:pPr>
        <w:pStyle w:val="Heading1"/>
      </w:pPr>
      <w:r>
        <w:t>12. Cómo evaluar una oferta</w:t>
      </w:r>
    </w:p>
    <w:p>
      <w:pPr>
        <w:pStyle w:val="ListBullet"/>
      </w:pPr>
      <w:r>
        <w:t>Confirme salario, beneficios, contrato, horario, turnos y modalidad.</w:t>
      </w:r>
    </w:p>
    <w:p>
      <w:pPr>
        <w:pStyle w:val="ListBullet"/>
      </w:pPr>
      <w:r>
        <w:t>Pregunte cuántos pacientes, líneas, profesionales o sedes apoyará.</w:t>
      </w:r>
    </w:p>
    <w:p>
      <w:pPr>
        <w:pStyle w:val="ListBullet"/>
      </w:pPr>
      <w:r>
        <w:t>Aclare responsabilidades de citas, autorizaciones, cobros y expedientes.</w:t>
      </w:r>
    </w:p>
    <w:p>
      <w:pPr>
        <w:pStyle w:val="ListBullet"/>
      </w:pPr>
      <w:r>
        <w:t>Entienda protocolos de urgencia, privacidad y escalamiento.</w:t>
      </w:r>
    </w:p>
    <w:p>
      <w:pPr>
        <w:pStyle w:val="ListBullet"/>
      </w:pPr>
      <w:r>
        <w:t>Verifique capacitación, supervisión y acceso a personal clínico.</w:t>
      </w:r>
    </w:p>
    <w:p>
      <w:pPr>
        <w:pStyle w:val="ListBullet"/>
      </w:pPr>
      <w:r>
        <w:t>Desconfíe de vacantes que pidan pagos, compras anticipadas o datos bancarios antes de una contratación legítima.</w:t>
      </w:r>
    </w:p>
    <w:p>
      <w:pPr>
        <w:pStyle w:val="Heading1"/>
      </w:pPr>
      <w:r>
        <w:t>13. Caminos de crecimiento</w:t>
      </w:r>
    </w:p>
    <w:p>
      <w:pPr>
        <w:pStyle w:val="ListBullet"/>
      </w:pPr>
      <w:r>
        <w:t>Representante senior de servicios al paciente</w:t>
      </w:r>
    </w:p>
    <w:p>
      <w:pPr>
        <w:pStyle w:val="ListBullet"/>
      </w:pPr>
      <w:r>
        <w:t>Coordinador de acceso al paciente</w:t>
      </w:r>
    </w:p>
    <w:p>
      <w:pPr>
        <w:pStyle w:val="ListBullet"/>
      </w:pPr>
      <w:r>
        <w:t>Especialista de referencias y autorizaciones</w:t>
      </w:r>
    </w:p>
    <w:p>
      <w:pPr>
        <w:pStyle w:val="ListBullet"/>
      </w:pPr>
      <w:r>
        <w:t>Coordinador de consultorio</w:t>
      </w:r>
    </w:p>
    <w:p>
      <w:pPr>
        <w:pStyle w:val="ListBullet"/>
      </w:pPr>
      <w:r>
        <w:t>Supervisor de recepción o programación</w:t>
      </w:r>
    </w:p>
    <w:p>
      <w:pPr>
        <w:pStyle w:val="ListBullet"/>
      </w:pPr>
      <w:r>
        <w:t>Especialista de facturación o historias clínicas, con formación adicional</w:t>
      </w:r>
    </w:p>
    <w:p>
      <w:pPr>
        <w:pStyle w:val="ListBullet"/>
      </w:pPr>
      <w:r>
        <w:t>Coordinador de experiencia del paciente</w:t>
      </w:r>
    </w:p>
    <w:p>
      <w:pPr>
        <w:pStyle w:val="ListBullet"/>
      </w:pPr>
      <w:r>
        <w:t>Gerente de práctica, con experiencia adicional</w:t>
      </w:r>
    </w:p>
    <w:p>
      <w:pPr>
        <w:pStyle w:val="Heading1"/>
      </w:pPr>
      <w:r>
        <w:t>14. Fuentes oficiales y verificación</w:t>
      </w:r>
    </w:p>
    <w:p>
      <w:pPr>
        <w:pStyle w:val="ListBullet"/>
      </w:pPr>
      <w:hyperlink r:id="rId9">
        <w:r>
          <w:rPr>
            <w:color w:val="0563C1"/>
            <w:u w:val="single"/>
          </w:rPr>
          <w:t>O*NET OnLine - Medical Secretaries and Administrative Assistants</w:t>
        </w:r>
      </w:hyperlink>
    </w:p>
    <w:p>
      <w:pPr>
        <w:pStyle w:val="ListBullet"/>
      </w:pPr>
      <w:hyperlink r:id="rId10">
        <w:r>
          <w:rPr>
            <w:color w:val="0563C1"/>
            <w:u w:val="single"/>
          </w:rPr>
          <w:t>U.S. Bureau of Labor Statistics - Medical Secretaries and Administrative Assistants</w:t>
        </w:r>
      </w:hyperlink>
    </w:p>
    <w:p>
      <w:pPr>
        <w:pStyle w:val="ListBullet"/>
      </w:pPr>
      <w:hyperlink r:id="rId11">
        <w:r>
          <w:rPr>
            <w:color w:val="0563C1"/>
            <w:u w:val="single"/>
          </w:rPr>
          <w:t>U.S. Department of Health and Human Services - HIPAA for Professionals</w:t>
        </w:r>
      </w:hyperlink>
    </w:p>
    <w:p>
      <w:pPr>
        <w:pStyle w:val="ListBullet"/>
      </w:pPr>
      <w:r>
        <w:t>Ministerio de Salud, autoridad de protección de datos y regulador sanitario de la ubicación de interés.</w:t>
      </w:r>
    </w:p>
    <w:p>
      <w:pPr>
        <w:pStyle w:val="ListBullet"/>
      </w:pPr>
      <w:r>
        <w:t>Sitios oficiales de empleadores, aseguradoras y redes de salud pertinentes.</w:t>
      </w:r>
    </w:p>
    <w:p>
      <w:pPr>
        <w:pStyle w:val="Heading1"/>
      </w:pPr>
      <w:r>
        <w:t>15. Lista de acción</w:t>
      </w:r>
    </w:p>
    <w:p>
      <w:pPr>
        <w:pStyle w:val="ListBullet"/>
      </w:pPr>
      <w:r>
        <w:t>Elegir dos títulos de puesto y un entorno de salud.</w:t>
      </w:r>
    </w:p>
    <w:p>
      <w:pPr>
        <w:pStyle w:val="ListBullet"/>
      </w:pPr>
      <w:r>
        <w:t>Analizar al menos 20 vacantes reales.</w:t>
      </w:r>
    </w:p>
    <w:p>
      <w:pPr>
        <w:pStyle w:val="ListBullet"/>
      </w:pPr>
      <w:r>
        <w:t>Identificar sistemas, requisitos y tareas repetidos.</w:t>
      </w:r>
    </w:p>
    <w:p>
      <w:pPr>
        <w:pStyle w:val="ListBullet"/>
      </w:pPr>
      <w:r>
        <w:t>Completar un curso introductorio antes de pagar una formación larga.</w:t>
      </w:r>
    </w:p>
    <w:p>
      <w:pPr>
        <w:pStyle w:val="ListBullet"/>
      </w:pPr>
      <w:r>
        <w:t>Crear tres muestras ficticias de portafolio.</w:t>
      </w:r>
    </w:p>
    <w:p>
      <w:pPr>
        <w:pStyle w:val="ListBullet"/>
      </w:pPr>
      <w:r>
        <w:t>Actualizar currículo y perfil sin exagerar experiencia.</w:t>
      </w:r>
    </w:p>
    <w:p>
      <w:pPr>
        <w:pStyle w:val="ListBullet"/>
      </w:pPr>
      <w:r>
        <w:t>Practicar entrevistas y escenarios de privacidad o escalamiento.</w:t>
      </w:r>
    </w:p>
    <w:p>
      <w:pPr>
        <w:pStyle w:val="ListBullet"/>
      </w:pPr>
      <w:r>
        <w:t>Verificar empleadores antes de compartir datos sensibles.</w:t>
      </w:r>
    </w:p>
    <w:p>
      <w:pPr>
        <w:pStyle w:val="Heading1"/>
      </w:pPr>
      <w:r>
        <w:t>Reconocimiento</w:t>
      </w:r>
    </w:p>
    <w:p>
      <w:r>
        <w:t>ChatGPT apoyó la investigación, organización, edición, traducción y preparación documental bajo la dirección de Alberto “Al” Leiva. El autor conserva la responsabilidad editorial y de publicación.</w:t>
      </w:r>
    </w:p>
    <w:p>
      <w:pPr>
        <w:pStyle w:val="Heading1"/>
      </w:pPr>
      <w:r>
        <w:t>Licencia</w:t>
      </w:r>
    </w:p>
    <w:p>
      <w:r>
        <w:t>Salvo indicación distinta, este material se ofrece bajo la licencia Creative Commons Atribución-NoComercial-CompartirIgual 4.0 Internacional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etonline.org/link/details/43-6013.00" TargetMode="External"/><Relationship Id="rId10" Type="http://schemas.openxmlformats.org/officeDocument/2006/relationships/hyperlink" Target="https://www.bls.gov/oes/current/oes436013.htm" TargetMode="External"/><Relationship Id="rId11" Type="http://schemas.openxmlformats.org/officeDocument/2006/relationships/hyperlink" Target="https://www.hhs.gov/hipaa/for-professional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