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2001baf56f9eb4ab4494854d89f762e25727380"/>
    <w:p>
      <w:pPr>
        <w:pStyle w:val="Heading1"/>
      </w:pPr>
      <w:r>
        <w:t xml:space="preserve">Guia de Oportunidades para Toda a Vida 80 — Especialista em entrada de dados e registros</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brasileiro (pt-BR)</w:t>
      </w:r>
      <w:r>
        <w:br/>
      </w:r>
      <w:r>
        <w:rPr>
          <w:bCs/>
          <w:b/>
        </w:rPr>
        <w:t xml:space="preserve">Fonte inglesa congelada:</w:t>
      </w:r>
      <w:r>
        <w:t xml:space="preserve"> </w:t>
      </w:r>
      <w:r>
        <w:t xml:space="preserve">blob</w:t>
      </w:r>
      <w:r>
        <w:t xml:space="preserve"> </w:t>
      </w:r>
      <w:r>
        <w:rPr>
          <w:rStyle w:val="VerbatimChar"/>
        </w:rPr>
        <w:t xml:space="preserve">8318127b1f14e7f7e20110ed315b4741c048be34</w:t>
      </w:r>
      <w:r>
        <w:br/>
      </w:r>
      <w:r>
        <w:rPr>
          <w:bCs/>
          <w:b/>
        </w:rPr>
        <w:t xml:space="preserve">Referência principal dos EUA:</w:t>
      </w:r>
      <w:r>
        <w:t xml:space="preserve"> </w:t>
      </w:r>
      <w:r>
        <w:t xml:space="preserve">O*NET-SOC 43-9021.00 — Data Entry Keyers</w:t>
      </w:r>
      <w:r>
        <w:br/>
      </w:r>
      <w:r>
        <w:rPr>
          <w:bCs/>
          <w:b/>
        </w:rPr>
        <w:t xml:space="preserve">Comparação do Canadá:</w:t>
      </w:r>
      <w:r>
        <w:t xml:space="preserve"> </w:t>
      </w:r>
      <w:r>
        <w:t xml:space="preserve">NOC 14111 — Data entry clerks</w:t>
      </w:r>
      <w:r>
        <w:br/>
      </w:r>
      <w:r>
        <w:rPr>
          <w:bCs/>
          <w:b/>
        </w:rPr>
        <w:t xml:space="preserve">Comparações da Colômbia:</w:t>
      </w:r>
      <w:r>
        <w:t xml:space="preserve"> </w:t>
      </w:r>
      <w:r>
        <w:t xml:space="preserve">CUOC 41321 — Grabadores de datos; CUOC 44150 — Empleados de archivos</w:t>
      </w:r>
      <w:r>
        <w:br/>
      </w:r>
      <w:r>
        <w:rPr>
          <w:bCs/>
          <w:b/>
        </w:rPr>
        <w:t xml:space="preserve">Data da revisão:</w:t>
      </w:r>
      <w:r>
        <w:t xml:space="preserve"> </w:t>
      </w:r>
      <w:r>
        <w:t xml:space="preserve">2026-08-21</w:t>
      </w:r>
    </w:p>
    <w:bookmarkStart w:id="20" w:name="o-que-é-esta-carreira"/>
    <w:p>
      <w:pPr>
        <w:pStyle w:val="Heading2"/>
      </w:pPr>
      <w:r>
        <w:t xml:space="preserve">O que é esta carreira</w:t>
      </w:r>
    </w:p>
    <w:p>
      <w:pPr>
        <w:pStyle w:val="FirstParagraph"/>
      </w:pPr>
      <w:r>
        <w:t xml:space="preserve">O trabalho de entrada de dados e registros transforma informações-fonte em registros organizacionais precisos, utilizáveis e recuperáveis. Pode incluir digitar dados de formulários, faturas, solicitações, relatórios ou documentos digitalizados; importar arquivos; comparar o que foi registrado com a fonte; corrigir erros permitidos; indexar e nomear arquivos; digitalizar documentos em papel; manter logs; recuperar registros; e apoiar processos aprovados de arquivo, controle documental ou gestão de registros.</w:t>
      </w:r>
    </w:p>
    <w:p>
      <w:pPr>
        <w:pStyle w:val="BodyText"/>
      </w:pPr>
      <w:r>
        <w:t xml:space="preserve">Não é apenas digitar rápido. Um profissional confiável protege a relação entre o</w:t>
      </w:r>
      <w:r>
        <w:t xml:space="preserve"> </w:t>
      </w:r>
      <w:r>
        <w:rPr>
          <w:bCs/>
          <w:b/>
        </w:rPr>
        <w:t xml:space="preserve">registro-fonte</w:t>
      </w:r>
      <w:r>
        <w:t xml:space="preserve"> </w:t>
      </w:r>
      <w:r>
        <w:t xml:space="preserve">e o</w:t>
      </w:r>
      <w:r>
        <w:t xml:space="preserve"> </w:t>
      </w:r>
      <w:r>
        <w:rPr>
          <w:bCs/>
          <w:b/>
        </w:rPr>
        <w:t xml:space="preserve">registro armazenado</w:t>
      </w:r>
      <w:r>
        <w:t xml:space="preserve">, reconhece discrepâncias, segue procedimentos de correção, mantém a confidencialidade e sabe quando uma decisão pertence a alguém com maior autoridade.</w:t>
      </w:r>
    </w:p>
    <w:p>
      <w:pPr>
        <w:pStyle w:val="BodyText"/>
      </w:pPr>
      <w:r>
        <w:t xml:space="preserve">Este guia usa</w:t>
      </w:r>
      <w:r>
        <w:t xml:space="preserve"> </w:t>
      </w:r>
      <w:r>
        <w:rPr>
          <w:bCs/>
          <w:b/>
        </w:rPr>
        <w:t xml:space="preserve">O*NET-SOC 43-9021.00 — Data Entry Keyers</w:t>
      </w:r>
      <w:r>
        <w:t xml:space="preserve"> </w:t>
      </w:r>
      <w:r>
        <w:t xml:space="preserve">como principal referência dos Estados Unidos. O perfil do O*NET atualizado em 2026 inclui títulos como Data Capture Specialist, Data Entry Clerk, Data Entry Operator, Data Entry Specialist, Data Transcriber e Records Clerk. Na Colômbia, o título combinado deste guia é representado melhor por dois perfis CUOC:</w:t>
      </w:r>
      <w:r>
        <w:t xml:space="preserve"> </w:t>
      </w:r>
      <w:r>
        <w:rPr>
          <w:bCs/>
          <w:b/>
        </w:rPr>
        <w:t xml:space="preserve">41321 — Grabadores de datos</w:t>
      </w:r>
      <w:r>
        <w:t xml:space="preserve"> </w:t>
      </w:r>
      <w:r>
        <w:t xml:space="preserve">para captura/digitalização e</w:t>
      </w:r>
      <w:r>
        <w:t xml:space="preserve"> </w:t>
      </w:r>
      <w:r>
        <w:rPr>
          <w:bCs/>
          <w:b/>
        </w:rPr>
        <w:t xml:space="preserve">44150 — Empleados de archivos</w:t>
      </w:r>
      <w:r>
        <w:t xml:space="preserve"> </w:t>
      </w:r>
      <w:r>
        <w:t xml:space="preserve">para operações de arquivo e registros.</w:t>
      </w:r>
    </w:p>
    <w:bookmarkEnd w:id="20"/>
    <w:bookmarkStart w:id="21" w:name="por-que-ainda-pode-ser-uma-oportunidade"/>
    <w:p>
      <w:pPr>
        <w:pStyle w:val="Heading2"/>
      </w:pPr>
      <w:r>
        <w:t xml:space="preserve">Por que ainda pode ser uma oportunidade</w:t>
      </w:r>
    </w:p>
    <w:p>
      <w:pPr>
        <w:pStyle w:val="FirstParagraph"/>
      </w:pPr>
      <w:r>
        <w:t xml:space="preserve">A automação está reduzindo parte da entrada rotineira de dados. Este guia não esconde isso. As projeções dos Estados Unidos mostram queda relevante na ocupação restrita de Data Entry Keyers. Ao mesmo tempo, organizações continuam precisando de pessoas que verifiquem informação-fonte, resolvam exceções, operem sistemas de registros, protejam dados sensíveis, apoiem auditorias, digitalizem acervos, mantenham qualidade documental e evoluam para funções mais amplas em administração, registros, qualidade ou operações de informação.</w:t>
      </w:r>
    </w:p>
    <w:p>
      <w:pPr>
        <w:pStyle w:val="BodyText"/>
      </w:pPr>
      <w:r>
        <w:t xml:space="preserve">Uma estratégia realista é:</w:t>
      </w:r>
    </w:p>
    <w:p>
      <w:pPr>
        <w:pStyle w:val="BodyText"/>
      </w:pPr>
      <w:r>
        <w:rPr>
          <w:bCs/>
          <w:b/>
        </w:rPr>
        <w:t xml:space="preserve">entrar por trabalho preciso de dados/registros → aprender validação e sistemas → adicionar planilhas, bancos de dados e controle documental → avançar para operações de informação mais amplas.</w:t>
      </w:r>
    </w:p>
    <w:p>
      <w:pPr>
        <w:pStyle w:val="BodyText"/>
      </w:pPr>
      <w:r>
        <w:t xml:space="preserve">Experiência transferível pode vir de atendimento ao cliente, recepção, apoio contábil, administração em saúde, logística, seguros, serviços bancários, administração jurídica, serviços públicos, bibliotecas/arquivos, digitalização, qualidade, RH ou coordenação administrativa.</w:t>
      </w:r>
    </w:p>
    <w:bookmarkEnd w:id="21"/>
    <w:bookmarkStart w:id="26" w:name="Xcb43f35f734ba17f8e1cb85499ffc43a7f0030d"/>
    <w:p>
      <w:pPr>
        <w:pStyle w:val="Heading2"/>
      </w:pPr>
      <w:r>
        <w:t xml:space="preserve">Especialista em entrada de dados, auxiliar de registros, controlador de documentos e gestor de registros não são o mesmo papel</w:t>
      </w:r>
    </w:p>
    <w:bookmarkStart w:id="22" w:name="especialista-em-entrada-de-dados"/>
    <w:p>
      <w:pPr>
        <w:pStyle w:val="Heading3"/>
      </w:pPr>
      <w:r>
        <w:t xml:space="preserve">Especialista em entrada de dados</w:t>
      </w:r>
    </w:p>
    <w:p>
      <w:pPr>
        <w:pStyle w:val="FirstParagraph"/>
      </w:pPr>
      <w:r>
        <w:t xml:space="preserve">Pode:</w:t>
      </w:r>
    </w:p>
    <w:p>
      <w:pPr>
        <w:numPr>
          <w:ilvl w:val="0"/>
          <w:numId w:val="1001"/>
        </w:numPr>
        <w:pStyle w:val="Compact"/>
      </w:pPr>
      <w:r>
        <w:t xml:space="preserve">receber documentos-fonte ou arquivos eletrônicos;</w:t>
      </w:r>
    </w:p>
    <w:p>
      <w:pPr>
        <w:numPr>
          <w:ilvl w:val="0"/>
          <w:numId w:val="1001"/>
        </w:numPr>
        <w:pStyle w:val="Compact"/>
      </w:pPr>
      <w:r>
        <w:t xml:space="preserve">inserir ou importar dados;</w:t>
      </w:r>
    </w:p>
    <w:p>
      <w:pPr>
        <w:numPr>
          <w:ilvl w:val="0"/>
          <w:numId w:val="1001"/>
        </w:numPr>
        <w:pStyle w:val="Compact"/>
      </w:pPr>
      <w:r>
        <w:t xml:space="preserve">verificar integridade e formato;</w:t>
      </w:r>
    </w:p>
    <w:p>
      <w:pPr>
        <w:numPr>
          <w:ilvl w:val="0"/>
          <w:numId w:val="1001"/>
        </w:numPr>
        <w:pStyle w:val="Compact"/>
      </w:pPr>
      <w:r>
        <w:t xml:space="preserve">comparar entradas com a fonte;</w:t>
      </w:r>
    </w:p>
    <w:p>
      <w:pPr>
        <w:numPr>
          <w:ilvl w:val="0"/>
          <w:numId w:val="1001"/>
        </w:numPr>
        <w:pStyle w:val="Compact"/>
      </w:pPr>
      <w:r>
        <w:t xml:space="preserve">corrigir erros de transcrição permitidos;</w:t>
      </w:r>
    </w:p>
    <w:p>
      <w:pPr>
        <w:numPr>
          <w:ilvl w:val="0"/>
          <w:numId w:val="1001"/>
        </w:numPr>
        <w:pStyle w:val="Compact"/>
      </w:pPr>
      <w:r>
        <w:t xml:space="preserve">encaminhar discrepâncias substantivas;</w:t>
      </w:r>
    </w:p>
    <w:p>
      <w:pPr>
        <w:numPr>
          <w:ilvl w:val="0"/>
          <w:numId w:val="1001"/>
        </w:numPr>
        <w:pStyle w:val="Compact"/>
      </w:pPr>
      <w:r>
        <w:t xml:space="preserve">manter logs de produção/exceções;</w:t>
      </w:r>
    </w:p>
    <w:p>
      <w:pPr>
        <w:numPr>
          <w:ilvl w:val="0"/>
          <w:numId w:val="1001"/>
        </w:numPr>
        <w:pStyle w:val="Compact"/>
      </w:pPr>
      <w:r>
        <w:t xml:space="preserve">digitalizar e indexar documentos;</w:t>
      </w:r>
    </w:p>
    <w:p>
      <w:pPr>
        <w:numPr>
          <w:ilvl w:val="0"/>
          <w:numId w:val="1001"/>
        </w:numPr>
        <w:pStyle w:val="Compact"/>
      </w:pPr>
      <w:r>
        <w:t xml:space="preserve">seguir procedimentos de qualidade de dados.</w:t>
      </w:r>
    </w:p>
    <w:bookmarkEnd w:id="22"/>
    <w:bookmarkStart w:id="23" w:name="auxiliar-ou-especialista-de-registros"/>
    <w:p>
      <w:pPr>
        <w:pStyle w:val="Heading3"/>
      </w:pPr>
      <w:r>
        <w:t xml:space="preserve">Auxiliar ou especialista de registros</w:t>
      </w:r>
    </w:p>
    <w:p>
      <w:pPr>
        <w:pStyle w:val="FirstParagraph"/>
      </w:pPr>
      <w:r>
        <w:t xml:space="preserve">Pode também:</w:t>
      </w:r>
    </w:p>
    <w:p>
      <w:pPr>
        <w:numPr>
          <w:ilvl w:val="0"/>
          <w:numId w:val="1002"/>
        </w:numPr>
        <w:pStyle w:val="Compact"/>
      </w:pPr>
      <w:r>
        <w:t xml:space="preserve">classificar e arquivar registros;</w:t>
      </w:r>
    </w:p>
    <w:p>
      <w:pPr>
        <w:numPr>
          <w:ilvl w:val="0"/>
          <w:numId w:val="1002"/>
        </w:numPr>
        <w:pStyle w:val="Compact"/>
      </w:pPr>
      <w:r>
        <w:t xml:space="preserve">manter índices e metadados;</w:t>
      </w:r>
    </w:p>
    <w:p>
      <w:pPr>
        <w:numPr>
          <w:ilvl w:val="0"/>
          <w:numId w:val="1002"/>
        </w:numPr>
        <w:pStyle w:val="Compact"/>
      </w:pPr>
      <w:r>
        <w:t xml:space="preserve">recuperar registros para usuários autorizados;</w:t>
      </w:r>
    </w:p>
    <w:p>
      <w:pPr>
        <w:numPr>
          <w:ilvl w:val="0"/>
          <w:numId w:val="1002"/>
        </w:numPr>
        <w:pStyle w:val="Compact"/>
      </w:pPr>
      <w:r>
        <w:t xml:space="preserve">apoiar transferências e arquivos;</w:t>
      </w:r>
    </w:p>
    <w:p>
      <w:pPr>
        <w:numPr>
          <w:ilvl w:val="0"/>
          <w:numId w:val="1002"/>
        </w:numPr>
        <w:pStyle w:val="Compact"/>
      </w:pPr>
      <w:r>
        <w:t xml:space="preserve">manter logs de acesso/empréstimo;</w:t>
      </w:r>
    </w:p>
    <w:p>
      <w:pPr>
        <w:numPr>
          <w:ilvl w:val="0"/>
          <w:numId w:val="1002"/>
        </w:numPr>
        <w:pStyle w:val="Compact"/>
      </w:pPr>
      <w:r>
        <w:t xml:space="preserve">digitalizar ou reproduzir registros;</w:t>
      </w:r>
    </w:p>
    <w:p>
      <w:pPr>
        <w:numPr>
          <w:ilvl w:val="0"/>
          <w:numId w:val="1002"/>
        </w:numPr>
        <w:pStyle w:val="Compact"/>
      </w:pPr>
      <w:r>
        <w:t xml:space="preserve">aplicar instruções atribuídas de retenção/disposição;</w:t>
      </w:r>
    </w:p>
    <w:p>
      <w:pPr>
        <w:numPr>
          <w:ilvl w:val="0"/>
          <w:numId w:val="1002"/>
        </w:numPr>
        <w:pStyle w:val="Compact"/>
      </w:pPr>
      <w:r>
        <w:t xml:space="preserve">apoiar controle documental e auditorias.</w:t>
      </w:r>
    </w:p>
    <w:bookmarkEnd w:id="23"/>
    <w:bookmarkStart w:id="24" w:name="controlador-de-documentos"/>
    <w:p>
      <w:pPr>
        <w:pStyle w:val="Heading3"/>
      </w:pPr>
      <w:r>
        <w:t xml:space="preserve">Controlador de documentos</w:t>
      </w:r>
    </w:p>
    <w:p>
      <w:pPr>
        <w:pStyle w:val="FirstParagraph"/>
      </w:pPr>
      <w:r>
        <w:t xml:space="preserve">Em engenharia, construção, operações reguladas ou qualidade, pode administrar números de documentos controlados, revisões, transmittals, status de aprovação, distribuição e versões obsoletas. Isso pode exigir conhecimento de processo mais especializado que a entrada de dados comum.</w:t>
      </w:r>
    </w:p>
    <w:bookmarkEnd w:id="24"/>
    <w:bookmarkStart w:id="25" w:name="Xef71414e2af863ba0528c8e17f0de93809f70fc"/>
    <w:p>
      <w:pPr>
        <w:pStyle w:val="Heading3"/>
      </w:pPr>
      <w:r>
        <w:t xml:space="preserve">Gestor de registros, arquivista, encarregado de privacidade, administrador de banco de dados ou data steward</w:t>
      </w:r>
    </w:p>
    <w:p>
      <w:pPr>
        <w:pStyle w:val="FirstParagraph"/>
      </w:pPr>
      <w:r>
        <w:t xml:space="preserve">Esses papéis podem ser responsáveis por política, arquitetura, classificação, tabelas de temporalidade, legal holds, avaliação arquivística, governança de privacidade, administração de banco, regras de dados mestres ou qualidade empresarial. Um profissional de entrada apoia esses sistemas, mas não recebe automaticamente essa autoridade.</w:t>
      </w:r>
    </w:p>
    <w:bookmarkEnd w:id="25"/>
    <w:bookmarkEnd w:id="26"/>
    <w:bookmarkStart w:id="27" w:name="autoridade-e-limites-profissionais"/>
    <w:p>
      <w:pPr>
        <w:pStyle w:val="Heading2"/>
      </w:pPr>
      <w:r>
        <w:t xml:space="preserve">Autoridade e limites profissionais</w:t>
      </w:r>
    </w:p>
    <w:p>
      <w:pPr>
        <w:pStyle w:val="FirstParagraph"/>
      </w:pPr>
      <w:r>
        <w:t xml:space="preserve">Um cargo de entrada de dados ou registros</w:t>
      </w:r>
      <w:r>
        <w:t xml:space="preserve"> </w:t>
      </w:r>
      <w:r>
        <w:rPr>
          <w:bCs/>
          <w:b/>
        </w:rPr>
        <w:t xml:space="preserve">não</w:t>
      </w:r>
      <w:r>
        <w:t xml:space="preserve"> </w:t>
      </w:r>
      <w:r>
        <w:t xml:space="preserve">autoriza automaticamente a pessoa a:</w:t>
      </w:r>
    </w:p>
    <w:p>
      <w:pPr>
        <w:numPr>
          <w:ilvl w:val="0"/>
          <w:numId w:val="1003"/>
        </w:numPr>
        <w:pStyle w:val="Compact"/>
      </w:pPr>
      <w:r>
        <w:t xml:space="preserve">mudar um fato da fonte porque parece errado;</w:t>
      </w:r>
    </w:p>
    <w:p>
      <w:pPr>
        <w:numPr>
          <w:ilvl w:val="0"/>
          <w:numId w:val="1003"/>
        </w:numPr>
        <w:pStyle w:val="Compact"/>
      </w:pPr>
      <w:r>
        <w:t xml:space="preserve">fabricar, retroagir datas, ocultar ou destruir registros;</w:t>
      </w:r>
    </w:p>
    <w:p>
      <w:pPr>
        <w:numPr>
          <w:ilvl w:val="0"/>
          <w:numId w:val="1003"/>
        </w:numPr>
        <w:pStyle w:val="Compact"/>
      </w:pPr>
      <w:r>
        <w:t xml:space="preserve">excluir um registro porque parece obsoleto;</w:t>
      </w:r>
    </w:p>
    <w:p>
      <w:pPr>
        <w:numPr>
          <w:ilvl w:val="0"/>
          <w:numId w:val="1003"/>
        </w:numPr>
        <w:pStyle w:val="Compact"/>
      </w:pPr>
      <w:r>
        <w:t xml:space="preserve">decidir sozinho prazos legais de retenção ou destruição;</w:t>
      </w:r>
    </w:p>
    <w:p>
      <w:pPr>
        <w:numPr>
          <w:ilvl w:val="0"/>
          <w:numId w:val="1003"/>
        </w:numPr>
        <w:pStyle w:val="Compact"/>
      </w:pPr>
      <w:r>
        <w:t xml:space="preserve">retirar um legal hold;</w:t>
      </w:r>
    </w:p>
    <w:p>
      <w:pPr>
        <w:numPr>
          <w:ilvl w:val="0"/>
          <w:numId w:val="1003"/>
        </w:numPr>
        <w:pStyle w:val="Compact"/>
      </w:pPr>
      <w:r>
        <w:t xml:space="preserve">aprovar acesso a registros restritos fora das regras atribuídas;</w:t>
      </w:r>
    </w:p>
    <w:p>
      <w:pPr>
        <w:numPr>
          <w:ilvl w:val="0"/>
          <w:numId w:val="1003"/>
        </w:numPr>
        <w:pStyle w:val="Compact"/>
      </w:pPr>
      <w:r>
        <w:t xml:space="preserve">divulgar dados pessoais, de saúde, financeiros, trabalhistas, de clientes, jurídicos ou proprietários só porque consegue visualizá-los;</w:t>
      </w:r>
    </w:p>
    <w:p>
      <w:pPr>
        <w:numPr>
          <w:ilvl w:val="0"/>
          <w:numId w:val="1003"/>
        </w:numPr>
        <w:pStyle w:val="Compact"/>
      </w:pPr>
      <w:r>
        <w:t xml:space="preserve">tomar decisões contábeis, clínicas, jurídicas, de RH, regulatórias, de privacidade ou cibersegurança fora de sua autoridade;</w:t>
      </w:r>
    </w:p>
    <w:p>
      <w:pPr>
        <w:numPr>
          <w:ilvl w:val="0"/>
          <w:numId w:val="1003"/>
        </w:numPr>
        <w:pStyle w:val="Compact"/>
      </w:pPr>
      <w:r>
        <w:t xml:space="preserve">contornar segregação de funções;</w:t>
      </w:r>
    </w:p>
    <w:p>
      <w:pPr>
        <w:numPr>
          <w:ilvl w:val="0"/>
          <w:numId w:val="1003"/>
        </w:numPr>
        <w:pStyle w:val="Compact"/>
      </w:pPr>
      <w:r>
        <w:t xml:space="preserve">alterar trilha de auditoria para esconder erro;</w:t>
      </w:r>
    </w:p>
    <w:p>
      <w:pPr>
        <w:numPr>
          <w:ilvl w:val="0"/>
          <w:numId w:val="1003"/>
        </w:numPr>
        <w:pStyle w:val="Compact"/>
      </w:pPr>
      <w:r>
        <w:t xml:space="preserve">usar dados confidenciais reais em portfólio público ou treinamento não autorizado;</w:t>
      </w:r>
    </w:p>
    <w:p>
      <w:pPr>
        <w:numPr>
          <w:ilvl w:val="0"/>
          <w:numId w:val="1003"/>
        </w:numPr>
        <w:pStyle w:val="Compact"/>
      </w:pPr>
      <w:r>
        <w:t xml:space="preserve">enviar registros protegidos a serviço de IA não aprovado;</w:t>
      </w:r>
    </w:p>
    <w:p>
      <w:pPr>
        <w:numPr>
          <w:ilvl w:val="0"/>
          <w:numId w:val="1003"/>
        </w:numPr>
        <w:pStyle w:val="Compact"/>
      </w:pPr>
      <w:r>
        <w:t xml:space="preserve">apresentar verificação automatizada de acessibilidade ou segurança como certificação profissional.</w:t>
      </w:r>
    </w:p>
    <w:p>
      <w:pPr>
        <w:pStyle w:val="FirstParagraph"/>
      </w:pPr>
      <w:r>
        <w:t xml:space="preserve">Se a fonte parecer errada, preserve a evidência, registre a exceção e use o fluxo aprovado de correção/escalonamento.</w:t>
      </w:r>
    </w:p>
    <w:bookmarkEnd w:id="27"/>
    <w:bookmarkStart w:id="36" w:name="ciclo-de-vida-controlado-da-informação"/>
    <w:p>
      <w:pPr>
        <w:pStyle w:val="Heading2"/>
      </w:pPr>
      <w:r>
        <w:t xml:space="preserve">Ciclo de vida controlado da informação</w:t>
      </w:r>
    </w:p>
    <w:bookmarkStart w:id="28" w:name="Xf172b88150553dcda7cf8d042c5cb90d7d62eae"/>
    <w:p>
      <w:pPr>
        <w:pStyle w:val="Heading3"/>
      </w:pPr>
      <w:r>
        <w:t xml:space="preserve">1. Receber e identificar a fonte</w:t>
      </w:r>
    </w:p>
    <w:p>
      <w:pPr>
        <w:pStyle w:val="FirstParagraph"/>
      </w:pPr>
      <w:r>
        <w:t xml:space="preserve">Antes de registrar dados, confirme o que é a fonte, quem/sistema a produziu, se é a versão atual/autorizada, a qual registro/pessoa/conta/caso/ativo/transação pertence, se páginas/campos obrigatórios estão presentes, se há dados sensíveis e qual fluxo/sistema de destino deve ser usado.</w:t>
      </w:r>
    </w:p>
    <w:p>
      <w:pPr>
        <w:pStyle w:val="BodyText"/>
      </w:pPr>
      <w:r>
        <w:t xml:space="preserve">Não misture registros parecidos apenas porque nomes ou números são semelhantes.</w:t>
      </w:r>
    </w:p>
    <w:bookmarkEnd w:id="28"/>
    <w:bookmarkStart w:id="29" w:name="X3cb2915e8fdc5887bc7fc3d028dce0886a0763a"/>
    <w:p>
      <w:pPr>
        <w:pStyle w:val="Heading3"/>
      </w:pPr>
      <w:r>
        <w:t xml:space="preserve">2. Preparar a fonte</w:t>
      </w:r>
    </w:p>
    <w:p>
      <w:pPr>
        <w:pStyle w:val="FirstParagraph"/>
      </w:pPr>
      <w:r>
        <w:t xml:space="preserve">Pode envolver ordenar documentos, preparar lotes de digitalização, conferir a sequência de páginas, orientação de imagens, códigos de barras, modelo correto ou mapeamento de campos para importação. Documentos físicos devem seguir regras organizacionais de custódia.</w:t>
      </w:r>
    </w:p>
    <w:bookmarkEnd w:id="29"/>
    <w:bookmarkStart w:id="30" w:name="Xac2966c3c6801475494d08f808eb3c2c4c39390"/>
    <w:p>
      <w:pPr>
        <w:pStyle w:val="Heading3"/>
      </w:pPr>
      <w:r>
        <w:t xml:space="preserve">3. Capturar ou importar dados</w:t>
      </w:r>
    </w:p>
    <w:p>
      <w:pPr>
        <w:pStyle w:val="FirstParagraph"/>
      </w:pPr>
      <w:r>
        <w:t xml:space="preserve">Métodos podem incluir teclado, código de barras/QR, scanner, OCR, importação de planilhas ou CSV, formulários de banco de dados, reconhecimento de voz, integrações e automação aprovada.</w:t>
      </w:r>
    </w:p>
    <w:p>
      <w:pPr>
        <w:pStyle w:val="BodyText"/>
      </w:pPr>
      <w:r>
        <w:t xml:space="preserve">Use o método autorizado. Ser mais rápido não compensa perder rastreabilidade.</w:t>
      </w:r>
    </w:p>
    <w:bookmarkEnd w:id="30"/>
    <w:bookmarkStart w:id="31" w:name="X35d483664817757c65740e3a102f920d0a3802e"/>
    <w:p>
      <w:pPr>
        <w:pStyle w:val="Heading3"/>
      </w:pPr>
      <w:r>
        <w:t xml:space="preserve">4. Validar antes de aceitar</w:t>
      </w:r>
    </w:p>
    <w:p>
      <w:pPr>
        <w:pStyle w:val="FirstParagraph"/>
      </w:pPr>
      <w:r>
        <w:t xml:space="preserve">Conforme o processo, verifique:</w:t>
      </w:r>
    </w:p>
    <w:p>
      <w:pPr>
        <w:numPr>
          <w:ilvl w:val="0"/>
          <w:numId w:val="1004"/>
        </w:numPr>
        <w:pStyle w:val="Compact"/>
      </w:pPr>
      <w:r>
        <w:t xml:space="preserve">campos obrigatórios;</w:t>
      </w:r>
    </w:p>
    <w:p>
      <w:pPr>
        <w:numPr>
          <w:ilvl w:val="0"/>
          <w:numId w:val="1004"/>
        </w:numPr>
        <w:pStyle w:val="Compact"/>
      </w:pPr>
      <w:r>
        <w:t xml:space="preserve">identidade correta do registro/cliente/caso;</w:t>
      </w:r>
    </w:p>
    <w:p>
      <w:pPr>
        <w:numPr>
          <w:ilvl w:val="0"/>
          <w:numId w:val="1004"/>
        </w:numPr>
        <w:pStyle w:val="Compact"/>
      </w:pPr>
      <w:r>
        <w:t xml:space="preserve">formato de data/número;</w:t>
      </w:r>
    </w:p>
    <w:p>
      <w:pPr>
        <w:numPr>
          <w:ilvl w:val="0"/>
          <w:numId w:val="1004"/>
        </w:numPr>
        <w:pStyle w:val="Compact"/>
      </w:pPr>
      <w:r>
        <w:t xml:space="preserve">código permitido;</w:t>
      </w:r>
    </w:p>
    <w:p>
      <w:pPr>
        <w:numPr>
          <w:ilvl w:val="0"/>
          <w:numId w:val="1004"/>
        </w:numPr>
        <w:pStyle w:val="Compact"/>
      </w:pPr>
      <w:r>
        <w:t xml:space="preserve">correspondência entre fonte e valor inserido;</w:t>
      </w:r>
    </w:p>
    <w:p>
      <w:pPr>
        <w:numPr>
          <w:ilvl w:val="0"/>
          <w:numId w:val="1004"/>
        </w:numPr>
        <w:pStyle w:val="Compact"/>
      </w:pPr>
      <w:r>
        <w:t xml:space="preserve">totais/contagens reconciliados;</w:t>
      </w:r>
    </w:p>
    <w:p>
      <w:pPr>
        <w:numPr>
          <w:ilvl w:val="0"/>
          <w:numId w:val="1004"/>
        </w:numPr>
        <w:pStyle w:val="Compact"/>
      </w:pPr>
      <w:r>
        <w:t xml:space="preserve">quantidade de anexos;</w:t>
      </w:r>
    </w:p>
    <w:p>
      <w:pPr>
        <w:numPr>
          <w:ilvl w:val="0"/>
          <w:numId w:val="1004"/>
        </w:numPr>
        <w:pStyle w:val="Compact"/>
      </w:pPr>
      <w:r>
        <w:t xml:space="preserve">legibilidade/integridade da digitalização;</w:t>
      </w:r>
    </w:p>
    <w:p>
      <w:pPr>
        <w:numPr>
          <w:ilvl w:val="0"/>
          <w:numId w:val="1004"/>
        </w:numPr>
        <w:pStyle w:val="Compact"/>
      </w:pPr>
      <w:r>
        <w:t xml:space="preserve">quantidade de linhas importadas;</w:t>
      </w:r>
    </w:p>
    <w:p>
      <w:pPr>
        <w:numPr>
          <w:ilvl w:val="0"/>
          <w:numId w:val="1004"/>
        </w:numPr>
        <w:pStyle w:val="Compact"/>
      </w:pPr>
      <w:r>
        <w:t xml:space="preserve">possíveis duplicatas;</w:t>
      </w:r>
    </w:p>
    <w:p>
      <w:pPr>
        <w:numPr>
          <w:ilvl w:val="0"/>
          <w:numId w:val="1004"/>
        </w:numPr>
        <w:pStyle w:val="Compact"/>
      </w:pPr>
      <w:r>
        <w:t xml:space="preserve">exceções registradas.</w:t>
      </w:r>
    </w:p>
    <w:p>
      <w:pPr>
        <w:pStyle w:val="FirstParagraph"/>
      </w:pPr>
      <w:r>
        <w:t xml:space="preserve">“Salvo com sucesso” prova apenas que o sistema aceitou a entrada, não que o dado seja verdadeiro.</w:t>
      </w:r>
    </w:p>
    <w:bookmarkEnd w:id="31"/>
    <w:bookmarkStart w:id="32" w:name="X58a092aee95e62ba0ebc675510d0ad4edac8774"/>
    <w:p>
      <w:pPr>
        <w:pStyle w:val="Heading3"/>
      </w:pPr>
      <w:r>
        <w:t xml:space="preserve">5. Corrigir ou escalar</w:t>
      </w:r>
    </w:p>
    <w:p>
      <w:pPr>
        <w:pStyle w:val="FirstParagraph"/>
      </w:pPr>
      <w:r>
        <w:rPr>
          <w:bCs/>
          <w:b/>
        </w:rPr>
        <w:t xml:space="preserve">Erro de transcrição:</w:t>
      </w:r>
      <w:r>
        <w:t xml:space="preserve"> </w:t>
      </w:r>
      <w:r>
        <w:t xml:space="preserve">você digitou</w:t>
      </w:r>
      <w:r>
        <w:t xml:space="preserve"> </w:t>
      </w:r>
      <w:r>
        <w:rPr>
          <w:rStyle w:val="VerbatimChar"/>
        </w:rPr>
        <w:t xml:space="preserve">1250</w:t>
      </w:r>
      <w:r>
        <w:t xml:space="preserve"> </w:t>
      </w:r>
      <w:r>
        <w:t xml:space="preserve">quando a fonte autorizada diz</w:t>
      </w:r>
      <w:r>
        <w:t xml:space="preserve"> </w:t>
      </w:r>
      <w:r>
        <w:rPr>
          <w:rStyle w:val="VerbatimChar"/>
        </w:rPr>
        <w:t xml:space="preserve">1520</w:t>
      </w:r>
      <w:r>
        <w:t xml:space="preserve">. Se o procedimento permitir, corrija e mantenha a evidência exigida.</w:t>
      </w:r>
    </w:p>
    <w:p>
      <w:pPr>
        <w:pStyle w:val="BodyText"/>
      </w:pPr>
      <w:r>
        <w:rPr>
          <w:bCs/>
          <w:b/>
        </w:rPr>
        <w:t xml:space="preserve">Fonte ambígua:</w:t>
      </w:r>
      <w:r>
        <w:t xml:space="preserve"> </w:t>
      </w:r>
      <w:r>
        <w:t xml:space="preserve">caligrafia, imagem ou campos conflitantes impedem identificar o valor. Não adivinhe. Escale ou peça esclarecimento.</w:t>
      </w:r>
    </w:p>
    <w:p>
      <w:pPr>
        <w:pStyle w:val="BodyText"/>
      </w:pPr>
      <w:r>
        <w:rPr>
          <w:bCs/>
          <w:b/>
        </w:rPr>
        <w:t xml:space="preserve">Erro substantivo da fonte:</w:t>
      </w:r>
      <w:r>
        <w:t xml:space="preserve"> </w:t>
      </w:r>
      <w:r>
        <w:t xml:space="preserve">a própria fonte pode estar errada. O responsável pelo processo/fonte deve resolver pelo fluxo aprovado. Não reescreva silenciosamente o fato de origem.</w:t>
      </w:r>
    </w:p>
    <w:bookmarkEnd w:id="32"/>
    <w:bookmarkStart w:id="33" w:name="X3f730cb984b0e6945e16677f90d101fb93a974a"/>
    <w:p>
      <w:pPr>
        <w:pStyle w:val="Heading3"/>
      </w:pPr>
      <w:r>
        <w:t xml:space="preserve">6. Armazenar, classificar e indexar</w:t>
      </w:r>
    </w:p>
    <w:p>
      <w:pPr>
        <w:pStyle w:val="FirstParagraph"/>
      </w:pPr>
      <w:r>
        <w:t xml:space="preserve">Siga convenções aprovadas de identificador, nome do arquivo, repositório, tipo documental, data, número de cliente/caso/projeto, versão/revisão, classificação de segurança, status, metadados e categoria de retenção atribuída.</w:t>
      </w:r>
    </w:p>
    <w:bookmarkEnd w:id="33"/>
    <w:bookmarkStart w:id="34" w:name="X607b2a57f0877e02adf82c413e642c37e70c871"/>
    <w:p>
      <w:pPr>
        <w:pStyle w:val="Heading3"/>
      </w:pPr>
      <w:r>
        <w:t xml:space="preserve">7. Recuperar e transmitir com segurança</w:t>
      </w:r>
    </w:p>
    <w:p>
      <w:pPr>
        <w:pStyle w:val="FirstParagraph"/>
      </w:pPr>
      <w:r>
        <w:t xml:space="preserve">Antes de liberar ou enviar um registro, confira identidade/autorização do solicitante, destinatário, registro/versão, canal aprovado, conteúdo mínimo necessário e necessidade de redação ou aprovação adicional.</w:t>
      </w:r>
    </w:p>
    <w:bookmarkEnd w:id="34"/>
    <w:bookmarkStart w:id="35" w:name="X41f1957068a47b70072e5ef27d3102cc624e22b"/>
    <w:p>
      <w:pPr>
        <w:pStyle w:val="Heading3"/>
      </w:pPr>
      <w:r>
        <w:t xml:space="preserve">8. Reter, transferir, arquivar ou descartar segundo a política</w:t>
      </w:r>
    </w:p>
    <w:p>
      <w:pPr>
        <w:pStyle w:val="FirstParagraph"/>
      </w:pPr>
      <w:r>
        <w:t xml:space="preserve">Retenção e disposição podem ter consequências legais, contratuais, regulatórias, fiscais, trabalhistas, clínicas, de litígio e auditoria. Siga tabela/instrução aprovada e qualquer legal hold, investigação ou exceção. Não invente uma data de destruição.</w:t>
      </w:r>
    </w:p>
    <w:bookmarkEnd w:id="35"/>
    <w:bookmarkEnd w:id="36"/>
    <w:bookmarkStart w:id="37" w:name="precisão-use-um-método-repetível"/>
    <w:p>
      <w:pPr>
        <w:pStyle w:val="Heading2"/>
      </w:pPr>
      <w:r>
        <w:t xml:space="preserve">Precisão: use um método repetível</w:t>
      </w:r>
    </w:p>
    <w:p>
      <w:pPr>
        <w:pStyle w:val="FirstParagraph"/>
      </w:pPr>
      <w:r>
        <w:t xml:space="preserve">Um método pode ser:</w:t>
      </w:r>
    </w:p>
    <w:p>
      <w:pPr>
        <w:numPr>
          <w:ilvl w:val="0"/>
          <w:numId w:val="1005"/>
        </w:numPr>
        <w:pStyle w:val="Compact"/>
      </w:pPr>
      <w:r>
        <w:t xml:space="preserve">entender fonte e destino;</w:t>
      </w:r>
    </w:p>
    <w:p>
      <w:pPr>
        <w:numPr>
          <w:ilvl w:val="0"/>
          <w:numId w:val="1005"/>
        </w:numPr>
        <w:pStyle w:val="Compact"/>
      </w:pPr>
      <w:r>
        <w:t xml:space="preserve">processar um lote definido;</w:t>
      </w:r>
    </w:p>
    <w:p>
      <w:pPr>
        <w:numPr>
          <w:ilvl w:val="0"/>
          <w:numId w:val="1005"/>
        </w:numPr>
        <w:pStyle w:val="Compact"/>
      </w:pPr>
      <w:r>
        <w:t xml:space="preserve">aplicar controles de formato/campos obrigatórios;</w:t>
      </w:r>
    </w:p>
    <w:p>
      <w:pPr>
        <w:numPr>
          <w:ilvl w:val="0"/>
          <w:numId w:val="1005"/>
        </w:numPr>
        <w:pStyle w:val="Compact"/>
      </w:pPr>
      <w:r>
        <w:t xml:space="preserve">comparar campos de alto risco com a fonte;</w:t>
      </w:r>
    </w:p>
    <w:p>
      <w:pPr>
        <w:numPr>
          <w:ilvl w:val="0"/>
          <w:numId w:val="1005"/>
        </w:numPr>
        <w:pStyle w:val="Compact"/>
      </w:pPr>
      <w:r>
        <w:t xml:space="preserve">reconciliar totais/contagens quando aplicável;</w:t>
      </w:r>
    </w:p>
    <w:p>
      <w:pPr>
        <w:numPr>
          <w:ilvl w:val="0"/>
          <w:numId w:val="1005"/>
        </w:numPr>
        <w:pStyle w:val="Compact"/>
      </w:pPr>
      <w:r>
        <w:t xml:space="preserve">revisar exceções;</w:t>
      </w:r>
    </w:p>
    <w:p>
      <w:pPr>
        <w:numPr>
          <w:ilvl w:val="0"/>
          <w:numId w:val="1005"/>
        </w:numPr>
        <w:pStyle w:val="Compact"/>
      </w:pPr>
      <w:r>
        <w:t xml:space="preserve">salvar/enviar pelo fluxo aprovado;</w:t>
      </w:r>
    </w:p>
    <w:p>
      <w:pPr>
        <w:numPr>
          <w:ilvl w:val="0"/>
          <w:numId w:val="1005"/>
        </w:numPr>
        <w:pStyle w:val="Compact"/>
      </w:pPr>
      <w:r>
        <w:t xml:space="preserve">registrar conclusão/evidência do lote.</w:t>
      </w:r>
    </w:p>
    <w:p>
      <w:pPr>
        <w:pStyle w:val="FirstParagraph"/>
      </w:pPr>
      <w:r>
        <w:t xml:space="preserve">Campos de alto risco podem incluir conta, nascimento, identificadores, valores, códigos clínicos, dados bancários, endereços, datas jurídicas, números de série ou classificações de acesso.</w:t>
      </w:r>
    </w:p>
    <w:bookmarkEnd w:id="37"/>
    <w:bookmarkStart w:id="38" w:name="Xacbd2d37f46b7e29a1bbd715e804b08a33e0a20"/>
    <w:p>
      <w:pPr>
        <w:pStyle w:val="Heading2"/>
      </w:pPr>
      <w:r>
        <w:t xml:space="preserve">Métricas de qualidade sem manipular o sistema</w:t>
      </w:r>
    </w:p>
    <w:p>
      <w:pPr>
        <w:pStyle w:val="FirstParagraph"/>
      </w:pPr>
      <w:r>
        <w:t xml:space="preserve">Podem ser medidos registros processados, precisão, retrabalho, tempo de resposta, backlog, idade das exceções, qualidade de digitalização, duplicatas, tempo de recuperação e SLA.</w:t>
      </w:r>
    </w:p>
    <w:p>
      <w:pPr>
        <w:pStyle w:val="BodyText"/>
      </w:pPr>
      <w:r>
        <w:t xml:space="preserve">Nunca “melhore” a métrica pulando casos difíceis, escondendo erros ou marcando trabalho incompleto como concluído.</w:t>
      </w:r>
    </w:p>
    <w:bookmarkEnd w:id="38"/>
    <w:bookmarkStart w:id="39" w:name="planilhas"/>
    <w:p>
      <w:pPr>
        <w:pStyle w:val="Heading2"/>
      </w:pPr>
      <w:r>
        <w:t xml:space="preserve">Planilhas</w:t>
      </w:r>
    </w:p>
    <w:p>
      <w:pPr>
        <w:pStyle w:val="FirstParagraph"/>
      </w:pPr>
      <w:r>
        <w:t xml:space="preserve">Habilidades úteis incluem:</w:t>
      </w:r>
    </w:p>
    <w:p>
      <w:pPr>
        <w:numPr>
          <w:ilvl w:val="0"/>
          <w:numId w:val="1006"/>
        </w:numPr>
        <w:pStyle w:val="Compact"/>
      </w:pPr>
      <w:r>
        <w:t xml:space="preserve">estrutura tabular limpa;</w:t>
      </w:r>
    </w:p>
    <w:p>
      <w:pPr>
        <w:numPr>
          <w:ilvl w:val="0"/>
          <w:numId w:val="1006"/>
        </w:numPr>
        <w:pStyle w:val="Compact"/>
      </w:pPr>
      <w:r>
        <w:t xml:space="preserve">um campo por coluna;</w:t>
      </w:r>
    </w:p>
    <w:p>
      <w:pPr>
        <w:numPr>
          <w:ilvl w:val="0"/>
          <w:numId w:val="1006"/>
        </w:numPr>
        <w:pStyle w:val="Compact"/>
      </w:pPr>
      <w:r>
        <w:t xml:space="preserve">formatos consistentes;</w:t>
      </w:r>
    </w:p>
    <w:p>
      <w:pPr>
        <w:numPr>
          <w:ilvl w:val="0"/>
          <w:numId w:val="1006"/>
        </w:numPr>
        <w:pStyle w:val="Compact"/>
      </w:pPr>
      <w:r>
        <w:t xml:space="preserve">ordenar/filtrar;</w:t>
      </w:r>
    </w:p>
    <w:p>
      <w:pPr>
        <w:numPr>
          <w:ilvl w:val="0"/>
          <w:numId w:val="1006"/>
        </w:numPr>
        <w:pStyle w:val="Compact"/>
      </w:pPr>
      <w:r>
        <w:t xml:space="preserve">tabelas;</w:t>
      </w:r>
    </w:p>
    <w:p>
      <w:pPr>
        <w:numPr>
          <w:ilvl w:val="0"/>
          <w:numId w:val="1006"/>
        </w:numPr>
        <w:pStyle w:val="Compact"/>
      </w:pPr>
      <w:r>
        <w:t xml:space="preserve">validação de dados;</w:t>
      </w:r>
    </w:p>
    <w:p>
      <w:pPr>
        <w:numPr>
          <w:ilvl w:val="0"/>
          <w:numId w:val="1006"/>
        </w:numPr>
        <w:pStyle w:val="Compact"/>
      </w:pPr>
      <w:r>
        <w:t xml:space="preserve">verificações condicionais;</w:t>
      </w:r>
    </w:p>
    <w:p>
      <w:pPr>
        <w:numPr>
          <w:ilvl w:val="0"/>
          <w:numId w:val="1006"/>
        </w:numPr>
        <w:pStyle w:val="Compact"/>
      </w:pPr>
      <w:r>
        <w:t xml:space="preserve">fórmulas básicas;</w:t>
      </w:r>
    </w:p>
    <w:p>
      <w:pPr>
        <w:numPr>
          <w:ilvl w:val="0"/>
          <w:numId w:val="1006"/>
        </w:numPr>
        <w:pStyle w:val="Compact"/>
      </w:pPr>
      <w:r>
        <w:t xml:space="preserve">limpeza de texto;</w:t>
      </w:r>
    </w:p>
    <w:p>
      <w:pPr>
        <w:numPr>
          <w:ilvl w:val="0"/>
          <w:numId w:val="1006"/>
        </w:numPr>
        <w:pStyle w:val="Compact"/>
      </w:pPr>
      <w:r>
        <w:t xml:space="preserve">identificação de duplicatas;</w:t>
      </w:r>
    </w:p>
    <w:p>
      <w:pPr>
        <w:numPr>
          <w:ilvl w:val="0"/>
          <w:numId w:val="1006"/>
        </w:numPr>
        <w:pStyle w:val="Compact"/>
      </w:pPr>
      <w:r>
        <w:t xml:space="preserve">conceitos de busca e tabela dinâmica;</w:t>
      </w:r>
    </w:p>
    <w:p>
      <w:pPr>
        <w:numPr>
          <w:ilvl w:val="0"/>
          <w:numId w:val="1006"/>
        </w:numPr>
        <w:pStyle w:val="Compact"/>
      </w:pPr>
      <w:r>
        <w:t xml:space="preserve">CSV;</w:t>
      </w:r>
    </w:p>
    <w:p>
      <w:pPr>
        <w:numPr>
          <w:ilvl w:val="0"/>
          <w:numId w:val="1006"/>
        </w:numPr>
        <w:pStyle w:val="Compact"/>
      </w:pPr>
      <w:r>
        <w:t xml:space="preserve">atenção a zeros à esquerda quando identificadores são interpretados como números.</w:t>
      </w:r>
    </w:p>
    <w:p>
      <w:pPr>
        <w:pStyle w:val="FirstParagraph"/>
      </w:pPr>
      <w:r>
        <w:t xml:space="preserve">Uma planilha conveniente não é automaticamente o sistema oficial de registros.</w:t>
      </w:r>
    </w:p>
    <w:bookmarkEnd w:id="39"/>
    <w:bookmarkStart w:id="40" w:name="fundamentos-de-banco-de-dados"/>
    <w:p>
      <w:pPr>
        <w:pStyle w:val="Heading2"/>
      </w:pPr>
      <w:r>
        <w:t xml:space="preserve">Fundamentos de banco de dados</w:t>
      </w:r>
    </w:p>
    <w:p>
      <w:pPr>
        <w:pStyle w:val="FirstParagraph"/>
      </w:pPr>
      <w:r>
        <w:t xml:space="preserve">Entenda registro, campo, identificador/chave, campo obrigatório/opcional, valores permitidos, regra de validação, relacionamento, duplicata, consulta, importação/exportação, permissões, auditoria/histórico e produção versus teste.</w:t>
      </w:r>
    </w:p>
    <w:p>
      <w:pPr>
        <w:pStyle w:val="BodyText"/>
      </w:pPr>
      <w:r>
        <w:t xml:space="preserve">Atualizações em massa devem seguir validação, teste, autorização e recuperação aprovados.</w:t>
      </w:r>
    </w:p>
    <w:bookmarkEnd w:id="40"/>
    <w:bookmarkStart w:id="41" w:name="digitalização-ocr-e-captura-documental"/>
    <w:p>
      <w:pPr>
        <w:pStyle w:val="Heading2"/>
      </w:pPr>
      <w:r>
        <w:t xml:space="preserve">Digitalização, OCR e captura documental</w:t>
      </w:r>
    </w:p>
    <w:p>
      <w:pPr>
        <w:pStyle w:val="FirstParagraph"/>
      </w:pPr>
      <w:r>
        <w:t xml:space="preserve">Após digitalizar, confirme páginas completas, ausência de dupla alimentação, resolução legível, orientação, associação do índice/código de barras, precisão de OCR em campos críticos, formato/nome do arquivo e repositório corretos.</w:t>
      </w:r>
    </w:p>
    <w:p>
      <w:pPr>
        <w:pStyle w:val="BodyText"/>
      </w:pPr>
      <w:r>
        <w:t xml:space="preserve">OCR pode trocar</w:t>
      </w:r>
      <w:r>
        <w:t xml:space="preserve"> </w:t>
      </w:r>
      <w:r>
        <w:rPr>
          <w:rStyle w:val="VerbatimChar"/>
        </w:rPr>
        <w:t xml:space="preserve">0</w:t>
      </w:r>
      <w:r>
        <w:t xml:space="preserve"> </w:t>
      </w:r>
      <w:r>
        <w:t xml:space="preserve">por</w:t>
      </w:r>
      <w:r>
        <w:t xml:space="preserve"> </w:t>
      </w:r>
      <w:r>
        <w:rPr>
          <w:rStyle w:val="VerbatimChar"/>
        </w:rPr>
        <w:t xml:space="preserve">O</w:t>
      </w:r>
      <w:r>
        <w:t xml:space="preserve">,</w:t>
      </w:r>
      <w:r>
        <w:t xml:space="preserve"> </w:t>
      </w:r>
      <w:r>
        <w:rPr>
          <w:rStyle w:val="VerbatimChar"/>
        </w:rPr>
        <w:t xml:space="preserve">1</w:t>
      </w:r>
      <w:r>
        <w:t xml:space="preserve"> </w:t>
      </w:r>
      <w:r>
        <w:t xml:space="preserve">por</w:t>
      </w:r>
      <w:r>
        <w:t xml:space="preserve"> </w:t>
      </w:r>
      <w:r>
        <w:rPr>
          <w:rStyle w:val="VerbatimChar"/>
        </w:rPr>
        <w:t xml:space="preserve">I</w:t>
      </w:r>
      <w:r>
        <w:t xml:space="preserve">, perder pontuação ou mesclar colunas. A automação desloca o trabalho de “digitar tudo” para “verificar qualidade e exceções”.</w:t>
      </w:r>
    </w:p>
    <w:bookmarkEnd w:id="41"/>
    <w:bookmarkStart w:id="42" w:name="privacidade-e-confidencialidade"/>
    <w:p>
      <w:pPr>
        <w:pStyle w:val="Heading2"/>
      </w:pPr>
      <w:r>
        <w:t xml:space="preserve">Privacidade e confidencialidade</w:t>
      </w:r>
    </w:p>
    <w:p>
      <w:pPr>
        <w:pStyle w:val="FirstParagraph"/>
      </w:pPr>
      <w:r>
        <w:t xml:space="preserve">Boas práticas:</w:t>
      </w:r>
    </w:p>
    <w:p>
      <w:pPr>
        <w:numPr>
          <w:ilvl w:val="0"/>
          <w:numId w:val="1007"/>
        </w:numPr>
        <w:pStyle w:val="Compact"/>
      </w:pPr>
      <w:r>
        <w:t xml:space="preserve">usar apenas contas atribuídas;</w:t>
      </w:r>
    </w:p>
    <w:p>
      <w:pPr>
        <w:numPr>
          <w:ilvl w:val="0"/>
          <w:numId w:val="1007"/>
        </w:numPr>
        <w:pStyle w:val="Compact"/>
      </w:pPr>
      <w:r>
        <w:t xml:space="preserve">bloquear a estação ao se afastar;</w:t>
      </w:r>
    </w:p>
    <w:p>
      <w:pPr>
        <w:numPr>
          <w:ilvl w:val="0"/>
          <w:numId w:val="1007"/>
        </w:numPr>
        <w:pStyle w:val="Compact"/>
      </w:pPr>
      <w:r>
        <w:t xml:space="preserve">não compartilhar senhas nem códigos MFA;</w:t>
      </w:r>
    </w:p>
    <w:p>
      <w:pPr>
        <w:numPr>
          <w:ilvl w:val="0"/>
          <w:numId w:val="1007"/>
        </w:numPr>
        <w:pStyle w:val="Compact"/>
      </w:pPr>
      <w:r>
        <w:t xml:space="preserve">evitar USB/nuvem pessoal não autorizados;</w:t>
      </w:r>
    </w:p>
    <w:p>
      <w:pPr>
        <w:numPr>
          <w:ilvl w:val="0"/>
          <w:numId w:val="1007"/>
        </w:numPr>
        <w:pStyle w:val="Compact"/>
      </w:pPr>
      <w:r>
        <w:t xml:space="preserve">proteger papel e tela;</w:t>
      </w:r>
    </w:p>
    <w:p>
      <w:pPr>
        <w:numPr>
          <w:ilvl w:val="0"/>
          <w:numId w:val="1007"/>
        </w:numPr>
        <w:pStyle w:val="Compact"/>
      </w:pPr>
      <w:r>
        <w:t xml:space="preserve">verificar destinatário;</w:t>
      </w:r>
    </w:p>
    <w:p>
      <w:pPr>
        <w:numPr>
          <w:ilvl w:val="0"/>
          <w:numId w:val="1007"/>
        </w:numPr>
        <w:pStyle w:val="Compact"/>
      </w:pPr>
      <w:r>
        <w:t xml:space="preserve">usar canal seguro aprovado;</w:t>
      </w:r>
    </w:p>
    <w:p>
      <w:pPr>
        <w:numPr>
          <w:ilvl w:val="0"/>
          <w:numId w:val="1007"/>
        </w:numPr>
        <w:pStyle w:val="Compact"/>
      </w:pPr>
      <w:r>
        <w:t xml:space="preserve">reportar envio incorreto;</w:t>
      </w:r>
    </w:p>
    <w:p>
      <w:pPr>
        <w:numPr>
          <w:ilvl w:val="0"/>
          <w:numId w:val="1007"/>
        </w:numPr>
        <w:pStyle w:val="Compact"/>
      </w:pPr>
      <w:r>
        <w:t xml:space="preserve">minimizar cópias/downloads;</w:t>
      </w:r>
    </w:p>
    <w:p>
      <w:pPr>
        <w:numPr>
          <w:ilvl w:val="0"/>
          <w:numId w:val="1007"/>
        </w:numPr>
        <w:pStyle w:val="Compact"/>
      </w:pPr>
      <w:r>
        <w:t xml:space="preserve">seguir regras de mesa/tela limpa quando aplicável.</w:t>
      </w:r>
    </w:p>
    <w:p>
      <w:pPr>
        <w:pStyle w:val="FirstParagraph"/>
      </w:pPr>
      <w:r>
        <w:t xml:space="preserve">Ter acesso não significa ter permissão para divulgar.</w:t>
      </w:r>
    </w:p>
    <w:bookmarkEnd w:id="42"/>
    <w:bookmarkStart w:id="43" w:name="cibersegurança-no-dia-a-dia"/>
    <w:p>
      <w:pPr>
        <w:pStyle w:val="Heading2"/>
      </w:pPr>
      <w:r>
        <w:t xml:space="preserve">Cibersegurança no dia a dia</w:t>
      </w:r>
    </w:p>
    <w:p>
      <w:pPr>
        <w:pStyle w:val="FirstParagraph"/>
      </w:pPr>
      <w:r>
        <w:t xml:space="preserve">Profissionais de registros podem ser alvo de phishing. Reconheça mensagens/links suspeitos, use senhas fortes e únicas e MFA quando disponível, mantenha software aprovado atualizado, verifique solicitações incomuns de exportação e reporte solicitações MFA inesperadas ou incidentes. Não desative controles de segurança para ganhar velocidade.</w:t>
      </w:r>
    </w:p>
    <w:bookmarkEnd w:id="43"/>
    <w:bookmarkStart w:id="44" w:name="uso-responsável-de-ia-e-automação"/>
    <w:p>
      <w:pPr>
        <w:pStyle w:val="Heading2"/>
      </w:pPr>
      <w:r>
        <w:t xml:space="preserve">Uso responsável de IA e automação</w:t>
      </w:r>
    </w:p>
    <w:p>
      <w:pPr>
        <w:pStyle w:val="FirstParagraph"/>
      </w:pPr>
      <w:r>
        <w:t xml:space="preserve">IA aprovada pode ajudar com dados sintéticos, explicações de Excel, checklists de validação ou prática genérica. Para registros reais:</w:t>
      </w:r>
    </w:p>
    <w:p>
      <w:pPr>
        <w:numPr>
          <w:ilvl w:val="0"/>
          <w:numId w:val="1008"/>
        </w:numPr>
        <w:pStyle w:val="Compact"/>
      </w:pPr>
      <w:r>
        <w:t xml:space="preserve">use apenas serviços e classes de dados aprovados;</w:t>
      </w:r>
    </w:p>
    <w:p>
      <w:pPr>
        <w:numPr>
          <w:ilvl w:val="0"/>
          <w:numId w:val="1008"/>
        </w:numPr>
        <w:pStyle w:val="Compact"/>
      </w:pPr>
      <w:r>
        <w:t xml:space="preserve">nunca coloque credenciais ou registros protegidos em serviço não autorizado;</w:t>
      </w:r>
    </w:p>
    <w:p>
      <w:pPr>
        <w:numPr>
          <w:ilvl w:val="0"/>
          <w:numId w:val="1008"/>
        </w:numPr>
        <w:pStyle w:val="Compact"/>
      </w:pPr>
      <w:r>
        <w:t xml:space="preserve">compare valores extraídos/normalizados com a fonte autorizada;</w:t>
      </w:r>
    </w:p>
    <w:p>
      <w:pPr>
        <w:numPr>
          <w:ilvl w:val="0"/>
          <w:numId w:val="1008"/>
        </w:numPr>
        <w:pStyle w:val="Compact"/>
      </w:pPr>
      <w:r>
        <w:t xml:space="preserve">não permita que a IA invente valores ausentes;</w:t>
      </w:r>
    </w:p>
    <w:p>
      <w:pPr>
        <w:numPr>
          <w:ilvl w:val="0"/>
          <w:numId w:val="1008"/>
        </w:numPr>
        <w:pStyle w:val="Compact"/>
      </w:pPr>
      <w:r>
        <w:t xml:space="preserve">mantenha revisão e rastreabilidade exigidas;</w:t>
      </w:r>
    </w:p>
    <w:p>
      <w:pPr>
        <w:numPr>
          <w:ilvl w:val="0"/>
          <w:numId w:val="1008"/>
        </w:numPr>
        <w:pStyle w:val="Compact"/>
      </w:pPr>
      <w:r>
        <w:t xml:space="preserve">não trate a confiança do modelo como prova;</w:t>
      </w:r>
    </w:p>
    <w:p>
      <w:pPr>
        <w:numPr>
          <w:ilvl w:val="0"/>
          <w:numId w:val="1008"/>
        </w:numPr>
        <w:pStyle w:val="Compact"/>
      </w:pPr>
      <w:r>
        <w:t xml:space="preserve">preserve aprovação humana onde o processo exigir.</w:t>
      </w:r>
    </w:p>
    <w:p>
      <w:pPr>
        <w:pStyle w:val="FirstParagraph"/>
      </w:pPr>
      <w:r>
        <w:t xml:space="preserve">O NIST AI RMF é orientação voluntária de gestão de riscos e seu perfil de IA generativa aborda riscos específicos dessa tecnologia.</w:t>
      </w:r>
    </w:p>
    <w:bookmarkEnd w:id="44"/>
    <w:bookmarkStart w:id="45" w:name="X2709363c222d88476122db80c72ce7f6dea2764"/>
    <w:p>
      <w:pPr>
        <w:pStyle w:val="Heading2"/>
      </w:pPr>
      <w:r>
        <w:t xml:space="preserve">Acessibilidade e fluxo amigável à disgrafia</w:t>
      </w:r>
    </w:p>
    <w:p>
      <w:pPr>
        <w:pStyle w:val="FirstParagraph"/>
      </w:pPr>
      <w:r>
        <w:t xml:space="preserve">Podem ajudar rótulos claros, ordem previsível, navegação por teclado, foco visível, mensagens de erro úteis, contraste legível, modelos/checklists, validação, ferramentas alternativas de entrada autorizadas, pausas programadas e ajuste da estação. Uma checagem automática não constitui certificação legal completa de acessibilidade.</w:t>
      </w:r>
    </w:p>
    <w:bookmarkEnd w:id="45"/>
    <w:bookmarkStart w:id="46" w:name="ambiente-de-trabalho-e-ergonomia"/>
    <w:p>
      <w:pPr>
        <w:pStyle w:val="Heading2"/>
      </w:pPr>
      <w:r>
        <w:t xml:space="preserve">Ambiente de trabalho e ergonomia</w:t>
      </w:r>
    </w:p>
    <w:p>
      <w:pPr>
        <w:pStyle w:val="FirstParagraph"/>
      </w:pPr>
      <w:r>
        <w:t xml:space="preserve">O trabalho pode envolver longos períodos sentado, teclado/mouse, digitalização repetitiva e alta concentração. Ajuste a estação, alterne tarefas quando possível, use atalhos aprovados, faça pausas programadas e reporte desconforto pelos canais da organização. Isto é orientação geral, não aconselhamento médico.</w:t>
      </w:r>
    </w:p>
    <w:bookmarkEnd w:id="46"/>
    <w:bookmarkStart w:id="47" w:name="caminho-nos-estados-unidos"/>
    <w:p>
      <w:pPr>
        <w:pStyle w:val="Heading2"/>
      </w:pPr>
      <w:r>
        <w:t xml:space="preserve">Caminho nos Estados Unidos</w:t>
      </w:r>
    </w:p>
    <w:p>
      <w:pPr>
        <w:pStyle w:val="FirstParagraph"/>
      </w:pPr>
      <w:r>
        <w:t xml:space="preserve">O*NET coloca Data Entry Keyers em faixa de preparação relativamente baixa. Empregadores podem valorizar ensino médio/equivalente, ferramentas de escritório, precisão, confidencialidade e treinamento no trabalho.</w:t>
      </w:r>
    </w:p>
    <w:p>
      <w:pPr>
        <w:pStyle w:val="BodyText"/>
      </w:pPr>
      <w:r>
        <w:t xml:space="preserve">Antes de pagar treinamento caro, pratique Excel, entrada com dados sintéticos, checklists de validação, nomenclatura/versões, OCR com documentos públicos, conceitos de banco de dados e índice simples de registros.</w:t>
      </w:r>
    </w:p>
    <w:p>
      <w:pPr>
        <w:pStyle w:val="BodyText"/>
      </w:pPr>
      <w:r>
        <w:t xml:space="preserve">CareerOneStop pode ajudar a localizar programas WIOA e treinamento local. Confirme elegibilidade com um American Job Center; estar listado não garante financiamento, admissão nem emprego.</w:t>
      </w:r>
    </w:p>
    <w:bookmarkEnd w:id="47"/>
    <w:bookmarkStart w:id="48" w:name="Xd936b6d0852ed3f7c7fb7ac3cb7f36dae050d66"/>
    <w:p>
      <w:pPr>
        <w:pStyle w:val="Heading2"/>
      </w:pPr>
      <w:r>
        <w:t xml:space="preserve">Remuneração e projeção dos Estados Unidos</w:t>
      </w:r>
    </w:p>
    <w:p>
      <w:pPr>
        <w:pStyle w:val="FirstParagraph"/>
      </w:pPr>
      <w:r>
        <w:t xml:space="preserve">Dados nacionais O*NET/BLS 2025 para</w:t>
      </w:r>
      <w:r>
        <w:t xml:space="preserve"> </w:t>
      </w:r>
      <w:r>
        <w:rPr>
          <w:bCs/>
          <w:b/>
        </w:rPr>
        <w:t xml:space="preserve">43-9021.00</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w:t>
            </w:r>
          </w:p>
        </w:tc>
        <w:tc>
          <w:tcPr/>
          <w:p>
            <w:pPr>
              <w:pStyle w:val="Compact"/>
              <w:jc w:val="right"/>
            </w:pPr>
            <w:r>
              <w:t xml:space="preserve">$31,200</w:t>
            </w:r>
          </w:p>
        </w:tc>
        <w:tc>
          <w:tcPr/>
          <w:p>
            <w:pPr>
              <w:pStyle w:val="Compact"/>
              <w:jc w:val="right"/>
            </w:pPr>
            <w:r>
              <w:t xml:space="preserve">$15.00</w:t>
            </w:r>
          </w:p>
        </w:tc>
      </w:tr>
      <w:tr>
        <w:tc>
          <w:tcPr/>
          <w:p>
            <w:pPr>
              <w:pStyle w:val="Compact"/>
              <w:jc w:val="left"/>
            </w:pPr>
            <w:r>
              <w:t xml:space="preserve">25</w:t>
            </w:r>
          </w:p>
        </w:tc>
        <w:tc>
          <w:tcPr/>
          <w:p>
            <w:pPr>
              <w:pStyle w:val="Compact"/>
              <w:jc w:val="right"/>
            </w:pPr>
            <w:r>
              <w:t xml:space="preserve">$35,760</w:t>
            </w:r>
          </w:p>
        </w:tc>
        <w:tc>
          <w:tcPr/>
          <w:p>
            <w:pPr>
              <w:pStyle w:val="Compact"/>
              <w:jc w:val="right"/>
            </w:pPr>
            <w:r>
              <w:t xml:space="preserve">$17.19</w:t>
            </w:r>
          </w:p>
        </w:tc>
      </w:tr>
      <w:tr>
        <w:tc>
          <w:tcPr/>
          <w:p>
            <w:pPr>
              <w:pStyle w:val="Compact"/>
              <w:jc w:val="left"/>
            </w:pPr>
            <w:r>
              <w:t xml:space="preserve">Mediana</w:t>
            </w:r>
          </w:p>
        </w:tc>
        <w:tc>
          <w:tcPr/>
          <w:p>
            <w:pPr>
              <w:pStyle w:val="Compact"/>
              <w:jc w:val="right"/>
            </w:pPr>
            <w:r>
              <w:t xml:space="preserve">$41,340</w:t>
            </w:r>
          </w:p>
        </w:tc>
        <w:tc>
          <w:tcPr/>
          <w:p>
            <w:pPr>
              <w:pStyle w:val="Compact"/>
              <w:jc w:val="right"/>
            </w:pPr>
            <w:r>
              <w:t xml:space="preserve">$19.88</w:t>
            </w:r>
          </w:p>
        </w:tc>
      </w:tr>
      <w:tr>
        <w:tc>
          <w:tcPr/>
          <w:p>
            <w:pPr>
              <w:pStyle w:val="Compact"/>
              <w:jc w:val="left"/>
            </w:pPr>
            <w:r>
              <w:t xml:space="preserve">75</w:t>
            </w:r>
          </w:p>
        </w:tc>
        <w:tc>
          <w:tcPr/>
          <w:p>
            <w:pPr>
              <w:pStyle w:val="Compact"/>
              <w:jc w:val="right"/>
            </w:pPr>
            <w:r>
              <w:t xml:space="preserve">$48,410</w:t>
            </w:r>
          </w:p>
        </w:tc>
        <w:tc>
          <w:tcPr/>
          <w:p>
            <w:pPr>
              <w:pStyle w:val="Compact"/>
              <w:jc w:val="right"/>
            </w:pPr>
            <w:r>
              <w:t xml:space="preserve">$23.27</w:t>
            </w:r>
          </w:p>
        </w:tc>
      </w:tr>
      <w:tr>
        <w:tc>
          <w:tcPr/>
          <w:p>
            <w:pPr>
              <w:pStyle w:val="Compact"/>
              <w:jc w:val="left"/>
            </w:pPr>
            <w:r>
              <w:t xml:space="preserve">90</w:t>
            </w:r>
          </w:p>
        </w:tc>
        <w:tc>
          <w:tcPr/>
          <w:p>
            <w:pPr>
              <w:pStyle w:val="Compact"/>
              <w:jc w:val="right"/>
            </w:pPr>
            <w:r>
              <w:t xml:space="preserve">$58,790</w:t>
            </w:r>
          </w:p>
        </w:tc>
        <w:tc>
          <w:tcPr/>
          <w:p>
            <w:pPr>
              <w:pStyle w:val="Compact"/>
              <w:jc w:val="right"/>
            </w:pPr>
            <w:r>
              <w:t xml:space="preserve">$28.26</w:t>
            </w:r>
          </w:p>
        </w:tc>
      </w:tr>
    </w:tbl>
    <w:p>
      <w:pPr>
        <w:pStyle w:val="BodyText"/>
      </w:pPr>
      <w:r>
        <w:t xml:space="preserve">Projeção 2024–2034:</w:t>
      </w:r>
    </w:p>
    <w:p>
      <w:pPr>
        <w:numPr>
          <w:ilvl w:val="0"/>
          <w:numId w:val="1009"/>
        </w:numPr>
        <w:pStyle w:val="Compact"/>
      </w:pPr>
      <w:r>
        <w:t xml:space="preserve">emprego em 2024:</w:t>
      </w:r>
      <w:r>
        <w:t xml:space="preserve"> </w:t>
      </w:r>
      <w:r>
        <w:rPr>
          <w:bCs/>
          <w:b/>
        </w:rPr>
        <w:t xml:space="preserve">141,600</w:t>
      </w:r>
      <w:r>
        <w:t xml:space="preserve">;</w:t>
      </w:r>
    </w:p>
    <w:p>
      <w:pPr>
        <w:numPr>
          <w:ilvl w:val="0"/>
          <w:numId w:val="1009"/>
        </w:numPr>
        <w:pStyle w:val="Compact"/>
      </w:pPr>
      <w:r>
        <w:t xml:space="preserve">emprego projetado em 2034:</w:t>
      </w:r>
      <w:r>
        <w:t xml:space="preserve"> </w:t>
      </w:r>
      <w:r>
        <w:rPr>
          <w:bCs/>
          <w:b/>
        </w:rPr>
        <w:t xml:space="preserve">104,900</w:t>
      </w:r>
      <w:r>
        <w:t xml:space="preserve">;</w:t>
      </w:r>
    </w:p>
    <w:p>
      <w:pPr>
        <w:numPr>
          <w:ilvl w:val="0"/>
          <w:numId w:val="1009"/>
        </w:numPr>
        <w:pStyle w:val="Compact"/>
      </w:pPr>
      <w:r>
        <w:t xml:space="preserve">mudança projetada:</w:t>
      </w:r>
      <w:r>
        <w:t xml:space="preserve"> </w:t>
      </w:r>
      <w:r>
        <w:rPr>
          <w:bCs/>
          <w:b/>
        </w:rPr>
        <w:t xml:space="preserve">-26%</w:t>
      </w:r>
      <w:r>
        <w:t xml:space="preserve">;</w:t>
      </w:r>
    </w:p>
    <w:p>
      <w:pPr>
        <w:numPr>
          <w:ilvl w:val="0"/>
          <w:numId w:val="1009"/>
        </w:numPr>
        <w:pStyle w:val="Compact"/>
      </w:pPr>
      <w:r>
        <w:rPr>
          <w:bCs/>
          <w:b/>
        </w:rPr>
        <w:t xml:space="preserve">9,500 vagas anuais projetadas</w:t>
      </w:r>
      <w:r>
        <w:t xml:space="preserve">.</w:t>
      </w:r>
    </w:p>
    <w:p>
      <w:pPr>
        <w:pStyle w:val="FirstParagraph"/>
      </w:pPr>
      <w:r>
        <w:t xml:space="preserve">Isso favorece uma estratégia de crescimento para validação, registros, controle documental, qualidade e sistemas.</w:t>
      </w:r>
    </w:p>
    <w:p>
      <w:pPr>
        <w:pStyle w:val="BodyText"/>
      </w:pPr>
      <w:r>
        <w:t xml:space="preserve">Sinais de software em vagas O*NET 2025:</w:t>
      </w:r>
      <w:r>
        <w:t xml:space="preserve"> </w:t>
      </w:r>
      <w:r>
        <w:rPr>
          <w:bCs/>
          <w:b/>
        </w:rPr>
        <w:t xml:space="preserve">Excel 24%</w:t>
      </w:r>
      <w:r>
        <w:t xml:space="preserve">,</w:t>
      </w:r>
      <w:r>
        <w:t xml:space="preserve"> </w:t>
      </w:r>
      <w:r>
        <w:rPr>
          <w:bCs/>
          <w:b/>
        </w:rPr>
        <w:t xml:space="preserve">Microsoft Office 20%</w:t>
      </w:r>
      <w:r>
        <w:t xml:space="preserve">,</w:t>
      </w:r>
      <w:r>
        <w:t xml:space="preserve"> </w:t>
      </w:r>
      <w:r>
        <w:rPr>
          <w:bCs/>
          <w:b/>
        </w:rPr>
        <w:t xml:space="preserve">Outlook 9%</w:t>
      </w:r>
      <w:r>
        <w:t xml:space="preserve">,</w:t>
      </w:r>
      <w:r>
        <w:t xml:space="preserve"> </w:t>
      </w:r>
      <w:r>
        <w:rPr>
          <w:bCs/>
          <w:b/>
        </w:rPr>
        <w:t xml:space="preserve">Word 7%</w:t>
      </w:r>
      <w:r>
        <w:t xml:space="preserve">. São sinais de mercado, não requisitos universais.</w:t>
      </w:r>
    </w:p>
    <w:bookmarkEnd w:id="48"/>
    <w:bookmarkStart w:id="49" w:name="caminho-no-canadá"/>
    <w:p>
      <w:pPr>
        <w:pStyle w:val="Heading2"/>
      </w:pPr>
      <w:r>
        <w:t xml:space="preserve">Caminho no Canadá</w:t>
      </w:r>
    </w:p>
    <w:p>
      <w:pPr>
        <w:pStyle w:val="FirstParagraph"/>
      </w:pPr>
      <w:r>
        <w:t xml:space="preserve">Job Bank identifica</w:t>
      </w:r>
      <w:r>
        <w:t xml:space="preserve"> </w:t>
      </w:r>
      <w:r>
        <w:rPr>
          <w:bCs/>
          <w:b/>
        </w:rPr>
        <w:t xml:space="preserve">NOC 14111 — Data entry clerks</w:t>
      </w:r>
      <w:r>
        <w:t xml:space="preserve">. Requisitos podem incluir ensino médio e/ou cursos de entrada de dados. Registros atuais indicam que a ocupação</w:t>
      </w:r>
      <w:r>
        <w:t xml:space="preserve"> </w:t>
      </w:r>
      <w:r>
        <w:rPr>
          <w:bCs/>
          <w:b/>
        </w:rPr>
        <w:t xml:space="preserve">não é regulamentada no Canadá</w:t>
      </w:r>
      <w:r>
        <w:t xml:space="preserve">.</w:t>
      </w:r>
    </w:p>
    <w:p>
      <w:pPr>
        <w:pStyle w:val="BodyText"/>
      </w:pPr>
      <w:r>
        <w:t xml:space="preserve">Salários nacionais atualizados em 19 de novembro de 2025:</w:t>
      </w:r>
    </w:p>
    <w:p>
      <w:pPr>
        <w:numPr>
          <w:ilvl w:val="0"/>
          <w:numId w:val="1010"/>
        </w:numPr>
        <w:pStyle w:val="Compact"/>
      </w:pPr>
      <w:r>
        <w:t xml:space="preserve">baixo:</w:t>
      </w:r>
      <w:r>
        <w:t xml:space="preserve"> </w:t>
      </w:r>
      <w:r>
        <w:rPr>
          <w:bCs/>
          <w:b/>
        </w:rPr>
        <w:t xml:space="preserve">C$17.00/hora</w:t>
      </w:r>
      <w:r>
        <w:t xml:space="preserve">;</w:t>
      </w:r>
    </w:p>
    <w:p>
      <w:pPr>
        <w:numPr>
          <w:ilvl w:val="0"/>
          <w:numId w:val="1010"/>
        </w:numPr>
        <w:pStyle w:val="Compact"/>
      </w:pPr>
      <w:r>
        <w:t xml:space="preserve">mediana:</w:t>
      </w:r>
      <w:r>
        <w:t xml:space="preserve"> </w:t>
      </w:r>
      <w:r>
        <w:rPr>
          <w:bCs/>
          <w:b/>
        </w:rPr>
        <w:t xml:space="preserve">C$23.50/hora</w:t>
      </w:r>
      <w:r>
        <w:t xml:space="preserve">;</w:t>
      </w:r>
    </w:p>
    <w:p>
      <w:pPr>
        <w:numPr>
          <w:ilvl w:val="0"/>
          <w:numId w:val="1010"/>
        </w:numPr>
        <w:pStyle w:val="Compact"/>
      </w:pPr>
      <w:r>
        <w:t xml:space="preserve">alto:</w:t>
      </w:r>
      <w:r>
        <w:t xml:space="preserve"> </w:t>
      </w:r>
      <w:r>
        <w:rPr>
          <w:bCs/>
          <w:b/>
        </w:rPr>
        <w:t xml:space="preserve">C$32.60/hora</w:t>
      </w:r>
      <w:r>
        <w:t xml:space="preserve">.</w:t>
      </w:r>
    </w:p>
    <w:p>
      <w:pPr>
        <w:pStyle w:val="FirstParagraph"/>
      </w:pPr>
      <w:r>
        <w:t xml:space="preserve">Canada.ca oferece rotas para localizar treinamento de curto prazo pago/gratuito, provedores reconhecidos, auxílio estudantil e recursos de qualificação. Verifique elegibilidade.</w:t>
      </w:r>
    </w:p>
    <w:bookmarkEnd w:id="49"/>
    <w:bookmarkStart w:id="54" w:name="caminho-na-colômbia"/>
    <w:p>
      <w:pPr>
        <w:pStyle w:val="Heading2"/>
      </w:pPr>
      <w:r>
        <w:t xml:space="preserve">Caminho na Colômbia</w:t>
      </w:r>
    </w:p>
    <w:bookmarkStart w:id="50" w:name="cuoc-41321--grabadores-de-datos"/>
    <w:p>
      <w:pPr>
        <w:pStyle w:val="Heading3"/>
      </w:pPr>
      <w:r>
        <w:t xml:space="preserve">CUOC 41321 — Grabadores de datos</w:t>
      </w:r>
    </w:p>
    <w:p>
      <w:pPr>
        <w:pStyle w:val="FirstParagraph"/>
      </w:pPr>
      <w:r>
        <w:t xml:space="preserve">Abrange preparação de fonte, digitalização, transcrição, verificação de precisão/integridade/qualidade de imagem, armazenamento, importação/exportação, indexação e registro de dados.</w:t>
      </w:r>
    </w:p>
    <w:p>
      <w:pPr>
        <w:pStyle w:val="BodyText"/>
      </w:pPr>
      <w:r>
        <w:t xml:space="preserve">Denominações relevantes:</w:t>
      </w:r>
      <w:r>
        <w:t xml:space="preserve"> </w:t>
      </w:r>
      <w:r>
        <w:rPr>
          <w:bCs/>
          <w:b/>
        </w:rPr>
        <w:t xml:space="preserve">Auxiliar de entrada de datos, Digitalizador, Operador de entrada de datos, Procesador de datos, Registrador de datos, Tabulador de datos</w:t>
      </w:r>
      <w:r>
        <w:t xml:space="preserve"> </w:t>
      </w:r>
      <w:r>
        <w:t xml:space="preserve">e</w:t>
      </w:r>
      <w:r>
        <w:t xml:space="preserve"> </w:t>
      </w:r>
      <w:r>
        <w:rPr>
          <w:bCs/>
          <w:b/>
        </w:rPr>
        <w:t xml:space="preserve">Técnico de Introducción de datos</w:t>
      </w:r>
      <w:r>
        <w:t xml:space="preserve">.</w:t>
      </w:r>
    </w:p>
    <w:p>
      <w:pPr>
        <w:pStyle w:val="BodyText"/>
      </w:pPr>
      <w:r>
        <w:t xml:space="preserve">OCUPACOL exibe COP 1,002,500–2,209,640, mas afirma expressamente que os dados não têm representatividade estatística. Este guia</w:t>
      </w:r>
      <w:r>
        <w:t xml:space="preserve"> </w:t>
      </w:r>
      <w:r>
        <w:rPr>
          <w:bCs/>
          <w:b/>
        </w:rPr>
        <w:t xml:space="preserve">não</w:t>
      </w:r>
      <w:r>
        <w:t xml:space="preserve"> </w:t>
      </w:r>
      <w:r>
        <w:t xml:space="preserve">usa a faixa como salário nacional representativo.</w:t>
      </w:r>
    </w:p>
    <w:bookmarkEnd w:id="50"/>
    <w:bookmarkStart w:id="51" w:name="cuoc-44150--empleados-de-archivos"/>
    <w:p>
      <w:pPr>
        <w:pStyle w:val="Heading3"/>
      </w:pPr>
      <w:r>
        <w:t xml:space="preserve">CUOC 44150 — Empleados de archivos</w:t>
      </w:r>
    </w:p>
    <w:p>
      <w:pPr>
        <w:pStyle w:val="FirstParagraph"/>
      </w:pPr>
      <w:r>
        <w:t xml:space="preserve">Abrange classificação/codificação/registro/arquivo, recuperação, sistemas de captura, registros/bases/listas de acesso, revisão de integridade, índices, preservação e transferências.</w:t>
      </w:r>
    </w:p>
    <w:p>
      <w:pPr>
        <w:pStyle w:val="BodyText"/>
      </w:pPr>
      <w:r>
        <w:t xml:space="preserve">Denominações incluem</w:t>
      </w:r>
      <w:r>
        <w:t xml:space="preserve"> </w:t>
      </w:r>
      <w:r>
        <w:rPr>
          <w:bCs/>
          <w:b/>
        </w:rPr>
        <w:t xml:space="preserve">Auxiliar de archivo, Auxiliar de archivo y registro, Ayudante de archivo y registro</w:t>
      </w:r>
      <w:r>
        <w:t xml:space="preserve"> </w:t>
      </w:r>
      <w:r>
        <w:t xml:space="preserve">e</w:t>
      </w:r>
      <w:r>
        <w:t xml:space="preserve"> </w:t>
      </w:r>
      <w:r>
        <w:rPr>
          <w:bCs/>
          <w:b/>
        </w:rPr>
        <w:t xml:space="preserve">Oficinista registro de archivo</w:t>
      </w:r>
      <w:r>
        <w:t xml:space="preserve">.</w:t>
      </w:r>
    </w:p>
    <w:bookmarkEnd w:id="51"/>
    <w:bookmarkStart w:id="52" w:name="contexto-de-mercado-não-governamental"/>
    <w:p>
      <w:pPr>
        <w:pStyle w:val="Heading3"/>
      </w:pPr>
      <w:r>
        <w:t xml:space="preserve">Contexto de mercado não governamental</w:t>
      </w:r>
    </w:p>
    <w:p>
      <w:pPr>
        <w:pStyle w:val="FirstParagraph"/>
      </w:pPr>
      <w:r>
        <w:t xml:space="preserve">Indeed Colômbia reportou aproximadamente</w:t>
      </w:r>
      <w:r>
        <w:t xml:space="preserve"> </w:t>
      </w:r>
      <w:r>
        <w:rPr>
          <w:bCs/>
          <w:b/>
        </w:rPr>
        <w:t xml:space="preserve">COP 1,327,533/mês</w:t>
      </w:r>
      <w:r>
        <w:t xml:space="preserve"> </w:t>
      </w:r>
      <w:r>
        <w:t xml:space="preserve">para</w:t>
      </w:r>
      <w:r>
        <w:t xml:space="preserve"> </w:t>
      </w:r>
      <w:r>
        <w:rPr>
          <w:bCs/>
          <w:b/>
        </w:rPr>
        <w:t xml:space="preserve">Digitador/a</w:t>
      </w:r>
      <w:r>
        <w:t xml:space="preserve">, com</w:t>
      </w:r>
      <w:r>
        <w:t xml:space="preserve"> </w:t>
      </w:r>
      <w:r>
        <w:rPr>
          <w:bCs/>
          <w:b/>
        </w:rPr>
        <w:t xml:space="preserve">72 salários</w:t>
      </w:r>
      <w:r>
        <w:t xml:space="preserve">, atualizado em</w:t>
      </w:r>
      <w:r>
        <w:t xml:space="preserve"> </w:t>
      </w:r>
      <w:r>
        <w:rPr>
          <w:bCs/>
          <w:b/>
        </w:rPr>
        <w:t xml:space="preserve">30 de julho de 2026</w:t>
      </w:r>
      <w:r>
        <w:t xml:space="preserve">. É estimativa ilustrativa, não remuneração garantida.</w:t>
      </w:r>
    </w:p>
    <w:bookmarkEnd w:id="52"/>
    <w:bookmarkStart w:id="53" w:name="sena"/>
    <w:p>
      <w:pPr>
        <w:pStyle w:val="Heading3"/>
      </w:pPr>
      <w:r>
        <w:t xml:space="preserve">SENA</w:t>
      </w:r>
    </w:p>
    <w:p>
      <w:pPr>
        <w:numPr>
          <w:ilvl w:val="0"/>
          <w:numId w:val="1011"/>
        </w:numPr>
        <w:pStyle w:val="Compact"/>
      </w:pPr>
      <w:r>
        <w:rPr>
          <w:bCs/>
          <w:b/>
        </w:rPr>
        <w:t xml:space="preserve">Gestión documental</w:t>
      </w:r>
      <w:r>
        <w:t xml:space="preserve"> </w:t>
      </w:r>
      <w:r>
        <w:t xml:space="preserve">— Tecnólogo —</w:t>
      </w:r>
      <w:r>
        <w:t xml:space="preserve"> </w:t>
      </w:r>
      <w:r>
        <w:rPr>
          <w:bCs/>
          <w:b/>
        </w:rPr>
        <w:t xml:space="preserve">3,984 horas</w:t>
      </w:r>
      <w:r>
        <w:t xml:space="preserve">;</w:t>
      </w:r>
    </w:p>
    <w:p>
      <w:pPr>
        <w:numPr>
          <w:ilvl w:val="0"/>
          <w:numId w:val="1011"/>
        </w:numPr>
        <w:pStyle w:val="Compact"/>
      </w:pPr>
      <w:r>
        <w:rPr>
          <w:bCs/>
          <w:b/>
        </w:rPr>
        <w:t xml:space="preserve">Bases de datos generalidades y sistemas de gestión</w:t>
      </w:r>
      <w:r>
        <w:t xml:space="preserve"> </w:t>
      </w:r>
      <w:r>
        <w:t xml:space="preserve">— complementar virtual —</w:t>
      </w:r>
      <w:r>
        <w:t xml:space="preserve"> </w:t>
      </w:r>
      <w:r>
        <w:rPr>
          <w:bCs/>
          <w:b/>
        </w:rPr>
        <w:t xml:space="preserve">40 horas</w:t>
      </w:r>
      <w:r>
        <w:t xml:space="preserve">;</w:t>
      </w:r>
    </w:p>
    <w:p>
      <w:pPr>
        <w:numPr>
          <w:ilvl w:val="0"/>
          <w:numId w:val="1011"/>
        </w:numPr>
        <w:pStyle w:val="Compact"/>
      </w:pPr>
      <w:r>
        <w:rPr>
          <w:bCs/>
          <w:b/>
        </w:rPr>
        <w:t xml:space="preserve">Manejo de datos con Microsoft Excel en entornos organizacionales</w:t>
      </w:r>
      <w:r>
        <w:t xml:space="preserve"> </w:t>
      </w:r>
      <w:r>
        <w:t xml:space="preserve">— complementar virtual —</w:t>
      </w:r>
      <w:r>
        <w:t xml:space="preserve"> </w:t>
      </w:r>
      <w:r>
        <w:rPr>
          <w:bCs/>
          <w:b/>
        </w:rPr>
        <w:t xml:space="preserve">48 horas</w:t>
      </w:r>
      <w:r>
        <w:t xml:space="preserve">.</w:t>
      </w:r>
    </w:p>
    <w:p>
      <w:pPr>
        <w:pStyle w:val="FirstParagraph"/>
      </w:pPr>
      <w:r>
        <w:t xml:space="preserve">Turmas, vagas, local, modalidade e admissão mudam. Verifique o Betowa.</w:t>
      </w:r>
    </w:p>
    <w:bookmarkEnd w:id="53"/>
    <w:bookmarkEnd w:id="54"/>
    <w:bookmarkStart w:id="55" w:name="américa-latina-e-caribe"/>
    <w:p>
      <w:pPr>
        <w:pStyle w:val="Heading2"/>
      </w:pPr>
      <w:r>
        <w:t xml:space="preserve">América Latina e Caribe</w:t>
      </w:r>
    </w:p>
    <w:p>
      <w:pPr>
        <w:pStyle w:val="FirstParagraph"/>
      </w:pPr>
      <w:r>
        <w:t xml:space="preserve">O observatório por país/instituição da OIT/Cinterfor ajuda a identificar instituições nacionais de formação profissional. Depois, confirme diretamente catálogo, custo, modalidade, elegibilidade e matrícula. Não garante curso nem bolsa.</w:t>
      </w:r>
    </w:p>
    <w:bookmarkEnd w:id="55"/>
    <w:bookmarkStart w:id="56" w:name="portfólio-sem-expor-dados-reais"/>
    <w:p>
      <w:pPr>
        <w:pStyle w:val="Heading2"/>
      </w:pPr>
      <w:r>
        <w:t xml:space="preserve">Portfólio sem expor dados reais</w:t>
      </w:r>
    </w:p>
    <w:p>
      <w:pPr>
        <w:pStyle w:val="FirstParagraph"/>
      </w:pPr>
      <w:r>
        <w:t xml:space="preserve">Use dados sintéticos. Um portfólio inicial pode incluir dataset fictício com 100 linhas, checklist de validação, limpeza com log de mudanças, detecção de duplicatas, exercício de nomenclatura/indexação, log de controle de OCR com documentos próprios/públicos, esquema simples de banco de dados, procedimento de escalonamento e checklist de proteção de registros confidenciais.</w:t>
      </w:r>
    </w:p>
    <w:p>
      <w:pPr>
        <w:pStyle w:val="BodyText"/>
      </w:pPr>
      <w:r>
        <w:t xml:space="preserve">Nunca use registros de empregador/cliente sem autorização explícita.</w:t>
      </w:r>
    </w:p>
    <w:bookmarkEnd w:id="56"/>
    <w:bookmarkStart w:id="57" w:name="evidências-para-currículo"/>
    <w:p>
      <w:pPr>
        <w:pStyle w:val="Heading2"/>
      </w:pPr>
      <w:r>
        <w:t xml:space="preserve">Evidências para currículo</w:t>
      </w:r>
    </w:p>
    <w:p>
      <w:pPr>
        <w:pStyle w:val="FirstParagraph"/>
      </w:pPr>
      <w:r>
        <w:t xml:space="preserve">Você pode demonstrar volume realmente medido, precisão/retrabalho, redução de backlog, digitalização, indexação, validação em planilhas, resolução de exceções, recuperação de registros, controles de qualidade e cumprimento de privacidade/segurança. Não invente percentuais nem volumes.</w:t>
      </w:r>
    </w:p>
    <w:bookmarkEnd w:id="57"/>
    <w:bookmarkStart w:id="58" w:name="preparação-para-entrevista"/>
    <w:p>
      <w:pPr>
        <w:pStyle w:val="Heading2"/>
      </w:pPr>
      <w:r>
        <w:t xml:space="preserve">Preparação para entrevista</w:t>
      </w:r>
    </w:p>
    <w:p>
      <w:pPr>
        <w:pStyle w:val="FirstParagraph"/>
      </w:pPr>
      <w:r>
        <w:t xml:space="preserve">Prepare-se para explicar como evita erros, o que faz se a fonte parecer errada, como protege informação confidencial, como validaria importação em massa, como encontra duplicatas, como organiza registros digitalizados e como usa OCR ou IA com segurança.</w:t>
      </w:r>
    </w:p>
    <w:p>
      <w:pPr>
        <w:pStyle w:val="BodyText"/>
      </w:pPr>
      <w:r>
        <w:t xml:space="preserve">Uma boa resposta descreve processo repetível e escalonamento, não “eu nunca erro”.</w:t>
      </w:r>
    </w:p>
    <w:bookmarkEnd w:id="58"/>
    <w:bookmarkStart w:id="59" w:name="perguntas-para-o-empregador"/>
    <w:p>
      <w:pPr>
        <w:pStyle w:val="Heading2"/>
      </w:pPr>
      <w:r>
        <w:t xml:space="preserve">Perguntas para o empregador</w:t>
      </w:r>
    </w:p>
    <w:p>
      <w:pPr>
        <w:pStyle w:val="FirstParagraph"/>
      </w:pPr>
      <w:r>
        <w:t xml:space="preserve">Pergunte sobre sistema-fonte, campos de dupla verificação, fluxo de correções, métricas, tipos de dados confidenciais, ferramentas, revisões, permissões, responsável pelas regras de retenção, treinamento, progressão e automação/OCR existente.</w:t>
      </w:r>
    </w:p>
    <w:bookmarkEnd w:id="59"/>
    <w:bookmarkStart w:id="60" w:name="alerta-sobre-golpes-de-data-entry-remoto"/>
    <w:p>
      <w:pPr>
        <w:pStyle w:val="Heading2"/>
      </w:pPr>
      <w:r>
        <w:t xml:space="preserve">Alerta sobre golpes de “data entry” remoto</w:t>
      </w:r>
    </w:p>
    <w:p>
      <w:pPr>
        <w:pStyle w:val="FirstParagraph"/>
      </w:pPr>
      <w:r>
        <w:t xml:space="preserve">Sinais de alerta: entrevista só por texto em plataforma desconhecida, e-mail de domínio parecido/gratuito, oferta imediata com pouca avaliação, remuneração alta demais para trabalho básico, taxas de treinamento/equipamento, cheque para comprar equipamento de fornecedor indicado, cartões-presente/cripto, movimentar dinheiro pela própria conta ou fornecer dados bancários/identidade antes de onboarding legítimo.</w:t>
      </w:r>
    </w:p>
    <w:p>
      <w:pPr>
        <w:pStyle w:val="BodyText"/>
      </w:pPr>
      <w:r>
        <w:t xml:space="preserve">Verifique o empregador pelo site oficial e contatos independentes. Não pague recrutador para conseguir emprego.</w:t>
      </w:r>
    </w:p>
    <w:bookmarkEnd w:id="60"/>
    <w:bookmarkStart w:id="64" w:name="primeiros-30-dias"/>
    <w:p>
      <w:pPr>
        <w:pStyle w:val="Heading2"/>
      </w:pPr>
      <w:r>
        <w:t xml:space="preserve">Primeiros 30 dias</w:t>
      </w:r>
    </w:p>
    <w:bookmarkStart w:id="61" w:name="dias-15"/>
    <w:p>
      <w:pPr>
        <w:pStyle w:val="Heading3"/>
      </w:pPr>
      <w:r>
        <w:t xml:space="preserve">Dias 1–5</w:t>
      </w:r>
    </w:p>
    <w:p>
      <w:pPr>
        <w:numPr>
          <w:ilvl w:val="0"/>
          <w:numId w:val="1012"/>
        </w:numPr>
        <w:pStyle w:val="Compact"/>
      </w:pPr>
      <w:r>
        <w:t xml:space="preserve">aprender classificações e confidencialidade;</w:t>
      </w:r>
    </w:p>
    <w:p>
      <w:pPr>
        <w:numPr>
          <w:ilvl w:val="0"/>
          <w:numId w:val="1012"/>
        </w:numPr>
        <w:pStyle w:val="Compact"/>
      </w:pPr>
      <w:r>
        <w:t xml:space="preserve">identificar fontes/sistemas autorizados;</w:t>
      </w:r>
    </w:p>
    <w:p>
      <w:pPr>
        <w:numPr>
          <w:ilvl w:val="0"/>
          <w:numId w:val="1012"/>
        </w:numPr>
        <w:pStyle w:val="Compact"/>
      </w:pPr>
      <w:r>
        <w:t xml:space="preserve">aprender correção/escalonamento;</w:t>
      </w:r>
    </w:p>
    <w:p>
      <w:pPr>
        <w:numPr>
          <w:ilvl w:val="0"/>
          <w:numId w:val="1012"/>
        </w:numPr>
        <w:pStyle w:val="Compact"/>
      </w:pPr>
      <w:r>
        <w:t xml:space="preserve">aprender nomenclatura/indexação;</w:t>
      </w:r>
    </w:p>
    <w:p>
      <w:pPr>
        <w:numPr>
          <w:ilvl w:val="0"/>
          <w:numId w:val="1012"/>
        </w:numPr>
        <w:pStyle w:val="Compact"/>
      </w:pPr>
      <w:r>
        <w:t xml:space="preserve">entender métricas e regras de acesso.</w:t>
      </w:r>
    </w:p>
    <w:bookmarkEnd w:id="61"/>
    <w:bookmarkStart w:id="62" w:name="dias-615"/>
    <w:p>
      <w:pPr>
        <w:pStyle w:val="Heading3"/>
      </w:pPr>
      <w:r>
        <w:t xml:space="preserve">Dias 6–15</w:t>
      </w:r>
    </w:p>
    <w:p>
      <w:pPr>
        <w:numPr>
          <w:ilvl w:val="0"/>
          <w:numId w:val="1013"/>
        </w:numPr>
        <w:pStyle w:val="Compact"/>
      </w:pPr>
      <w:r>
        <w:t xml:space="preserve">processar lotes supervisionados;</w:t>
      </w:r>
    </w:p>
    <w:p>
      <w:pPr>
        <w:numPr>
          <w:ilvl w:val="0"/>
          <w:numId w:val="1013"/>
        </w:numPr>
        <w:pStyle w:val="Compact"/>
      </w:pPr>
      <w:r>
        <w:t xml:space="preserve">manter log de exceções;</w:t>
      </w:r>
    </w:p>
    <w:p>
      <w:pPr>
        <w:numPr>
          <w:ilvl w:val="0"/>
          <w:numId w:val="1013"/>
        </w:numPr>
        <w:pStyle w:val="Compact"/>
      </w:pPr>
      <w:r>
        <w:t xml:space="preserve">praticar verificação fonte–registro;</w:t>
      </w:r>
    </w:p>
    <w:p>
      <w:pPr>
        <w:numPr>
          <w:ilvl w:val="0"/>
          <w:numId w:val="1013"/>
        </w:numPr>
        <w:pStyle w:val="Compact"/>
      </w:pPr>
      <w:r>
        <w:t xml:space="preserve">aprender controles de duplicata/campo ausente;</w:t>
      </w:r>
    </w:p>
    <w:p>
      <w:pPr>
        <w:numPr>
          <w:ilvl w:val="0"/>
          <w:numId w:val="1013"/>
        </w:numPr>
        <w:pStyle w:val="Compact"/>
      </w:pPr>
      <w:r>
        <w:t xml:space="preserve">revisar qualidade de OCR/digitalização e recuperação.</w:t>
      </w:r>
    </w:p>
    <w:bookmarkEnd w:id="62"/>
    <w:bookmarkStart w:id="63" w:name="dias-1630"/>
    <w:p>
      <w:pPr>
        <w:pStyle w:val="Heading3"/>
      </w:pPr>
      <w:r>
        <w:t xml:space="preserve">Dias 16–30</w:t>
      </w:r>
    </w:p>
    <w:p>
      <w:pPr>
        <w:numPr>
          <w:ilvl w:val="0"/>
          <w:numId w:val="1014"/>
        </w:numPr>
        <w:pStyle w:val="Compact"/>
      </w:pPr>
      <w:r>
        <w:t xml:space="preserve">aumentar produtividade sem enfraquecer precisão;</w:t>
      </w:r>
    </w:p>
    <w:p>
      <w:pPr>
        <w:numPr>
          <w:ilvl w:val="0"/>
          <w:numId w:val="1014"/>
        </w:numPr>
        <w:pStyle w:val="Compact"/>
      </w:pPr>
      <w:r>
        <w:t xml:space="preserve">identificar padrões de erro;</w:t>
      </w:r>
    </w:p>
    <w:p>
      <w:pPr>
        <w:numPr>
          <w:ilvl w:val="0"/>
          <w:numId w:val="1014"/>
        </w:numPr>
        <w:pStyle w:val="Compact"/>
      </w:pPr>
      <w:r>
        <w:t xml:space="preserve">criar atalhos/modelos aprovados;</w:t>
      </w:r>
    </w:p>
    <w:p>
      <w:pPr>
        <w:numPr>
          <w:ilvl w:val="0"/>
          <w:numId w:val="1014"/>
        </w:numPr>
        <w:pStyle w:val="Compact"/>
      </w:pPr>
      <w:r>
        <w:t xml:space="preserve">aprender habilidade adjacente: Excel, banco, controle documental ou indexação;</w:t>
      </w:r>
    </w:p>
    <w:p>
      <w:pPr>
        <w:numPr>
          <w:ilvl w:val="0"/>
          <w:numId w:val="1014"/>
        </w:numPr>
        <w:pStyle w:val="Compact"/>
      </w:pPr>
      <w:r>
        <w:t xml:space="preserve">pedir feedback com métricas reais.</w:t>
      </w:r>
    </w:p>
    <w:bookmarkEnd w:id="63"/>
    <w:bookmarkEnd w:id="64"/>
    <w:bookmarkStart w:id="65" w:name="plano-de-90-dias"/>
    <w:p>
      <w:pPr>
        <w:pStyle w:val="Heading2"/>
      </w:pPr>
      <w:r>
        <w:t xml:space="preserve">Plano de 90 dias</w:t>
      </w:r>
    </w:p>
    <w:p>
      <w:pPr>
        <w:pStyle w:val="FirstParagraph"/>
      </w:pPr>
      <w:r>
        <w:rPr>
          <w:bCs/>
          <w:b/>
        </w:rPr>
        <w:t xml:space="preserve">Mês 1:</w:t>
      </w:r>
      <w:r>
        <w:t xml:space="preserve"> </w:t>
      </w:r>
      <w:r>
        <w:t xml:space="preserve">precisão, ferramentas de escritório, arquivos, verificação e segurança.</w:t>
      </w:r>
      <w:r>
        <w:br/>
      </w:r>
      <w:r>
        <w:rPr>
          <w:bCs/>
          <w:b/>
        </w:rPr>
        <w:t xml:space="preserve">Mês 2:</w:t>
      </w:r>
      <w:r>
        <w:t xml:space="preserve"> </w:t>
      </w:r>
      <w:r>
        <w:t xml:space="preserve">bancos de dados, OCR, importação/exportação, índices, metadados, ciclo de registros e acesso.</w:t>
      </w:r>
      <w:r>
        <w:br/>
      </w:r>
      <w:r>
        <w:rPr>
          <w:bCs/>
          <w:b/>
        </w:rPr>
        <w:t xml:space="preserve">Mês 3:</w:t>
      </w:r>
      <w:r>
        <w:t xml:space="preserve"> </w:t>
      </w:r>
      <w:r>
        <w:t xml:space="preserve">avançar em Excel/limpeza, controle documental, registros/arquivo, informação em saúde, qualidade/dados, suporte CRM/ERP ou reporting.</w:t>
      </w:r>
    </w:p>
    <w:bookmarkEnd w:id="65"/>
    <w:bookmarkStart w:id="66" w:name="checklist-prático-de-entrada-de-dados"/>
    <w:p>
      <w:pPr>
        <w:pStyle w:val="Heading2"/>
      </w:pPr>
      <w:r>
        <w:t xml:space="preserve">Checklist prático de entrada de dados</w:t>
      </w:r>
    </w:p>
    <w:p>
      <w:pPr>
        <w:pStyle w:val="FirstParagraph"/>
      </w:pPr>
      <w:r>
        <w:t xml:space="preserve">Antes:</w:t>
      </w:r>
    </w:p>
    <w:p>
      <w:pPr>
        <w:numPr>
          <w:ilvl w:val="0"/>
          <w:numId w:val="1015"/>
        </w:numPr>
        <w:pStyle w:val="Compact"/>
      </w:pPr>
      <w:r>
        <w:t xml:space="preserve">☐ Fonte e identidade corretas.</w:t>
      </w:r>
    </w:p>
    <w:p>
      <w:pPr>
        <w:numPr>
          <w:ilvl w:val="0"/>
          <w:numId w:val="1015"/>
        </w:numPr>
        <w:pStyle w:val="Compact"/>
      </w:pPr>
      <w:r>
        <w:t xml:space="preserve">☐ Páginas/campos obrigatórios presentes.</w:t>
      </w:r>
    </w:p>
    <w:p>
      <w:pPr>
        <w:numPr>
          <w:ilvl w:val="0"/>
          <w:numId w:val="1015"/>
        </w:numPr>
        <w:pStyle w:val="Compact"/>
      </w:pPr>
      <w:r>
        <w:t xml:space="preserve">☐ Sistema/modelo correto.</w:t>
      </w:r>
    </w:p>
    <w:p>
      <w:pPr>
        <w:numPr>
          <w:ilvl w:val="0"/>
          <w:numId w:val="1015"/>
        </w:numPr>
        <w:pStyle w:val="Compact"/>
      </w:pPr>
      <w:r>
        <w:t xml:space="preserve">☐ Sensibilidade entendida.</w:t>
      </w:r>
    </w:p>
    <w:p>
      <w:pPr>
        <w:pStyle w:val="FirstParagraph"/>
      </w:pPr>
      <w:r>
        <w:t xml:space="preserve">Durante:</w:t>
      </w:r>
    </w:p>
    <w:p>
      <w:pPr>
        <w:numPr>
          <w:ilvl w:val="0"/>
          <w:numId w:val="1016"/>
        </w:numPr>
        <w:pStyle w:val="Compact"/>
      </w:pPr>
      <w:r>
        <w:t xml:space="preserve">☐ Não adivinhar valor duvidoso.</w:t>
      </w:r>
    </w:p>
    <w:p>
      <w:pPr>
        <w:numPr>
          <w:ilvl w:val="0"/>
          <w:numId w:val="1016"/>
        </w:numPr>
        <w:pStyle w:val="Compact"/>
      </w:pPr>
      <w:r>
        <w:t xml:space="preserve">☐ Formatos/códigos aprovados.</w:t>
      </w:r>
    </w:p>
    <w:p>
      <w:pPr>
        <w:numPr>
          <w:ilvl w:val="0"/>
          <w:numId w:val="1016"/>
        </w:numPr>
        <w:pStyle w:val="Compact"/>
      </w:pPr>
      <w:r>
        <w:t xml:space="preserve">☐ Campos críticos revisados.</w:t>
      </w:r>
    </w:p>
    <w:p>
      <w:pPr>
        <w:numPr>
          <w:ilvl w:val="0"/>
          <w:numId w:val="1016"/>
        </w:numPr>
        <w:pStyle w:val="Compact"/>
      </w:pPr>
      <w:r>
        <w:t xml:space="preserve">☐ Exceções registradas.</w:t>
      </w:r>
    </w:p>
    <w:p>
      <w:pPr>
        <w:pStyle w:val="FirstParagraph"/>
      </w:pPr>
      <w:r>
        <w:t xml:space="preserve">Antes de concluir:</w:t>
      </w:r>
    </w:p>
    <w:p>
      <w:pPr>
        <w:numPr>
          <w:ilvl w:val="0"/>
          <w:numId w:val="1017"/>
        </w:numPr>
        <w:pStyle w:val="Compact"/>
      </w:pPr>
      <w:r>
        <w:t xml:space="preserve">☐ Campos obrigatórios validados.</w:t>
      </w:r>
    </w:p>
    <w:p>
      <w:pPr>
        <w:numPr>
          <w:ilvl w:val="0"/>
          <w:numId w:val="1017"/>
        </w:numPr>
        <w:pStyle w:val="Compact"/>
      </w:pPr>
      <w:r>
        <w:t xml:space="preserve">☐ Comparação com fonte feita.</w:t>
      </w:r>
    </w:p>
    <w:p>
      <w:pPr>
        <w:numPr>
          <w:ilvl w:val="0"/>
          <w:numId w:val="1017"/>
        </w:numPr>
        <w:pStyle w:val="Compact"/>
      </w:pPr>
      <w:r>
        <w:t xml:space="preserve">☐ Totais/contagens reconciliados onde aplicável.</w:t>
      </w:r>
    </w:p>
    <w:p>
      <w:pPr>
        <w:numPr>
          <w:ilvl w:val="0"/>
          <w:numId w:val="1017"/>
        </w:numPr>
        <w:pStyle w:val="Compact"/>
      </w:pPr>
      <w:r>
        <w:t xml:space="preserve">☐ Registro/versão correta salva.</w:t>
      </w:r>
    </w:p>
    <w:p>
      <w:pPr>
        <w:numPr>
          <w:ilvl w:val="0"/>
          <w:numId w:val="1017"/>
        </w:numPr>
        <w:pStyle w:val="Compact"/>
      </w:pPr>
      <w:r>
        <w:t xml:space="preserve">☐ Log/status atualizado.</w:t>
      </w:r>
    </w:p>
    <w:bookmarkEnd w:id="66"/>
    <w:bookmarkStart w:id="67" w:name="checklist-prático-de-registros"/>
    <w:p>
      <w:pPr>
        <w:pStyle w:val="Heading2"/>
      </w:pPr>
      <w:r>
        <w:t xml:space="preserve">Checklist prático de registros</w:t>
      </w:r>
    </w:p>
    <w:p>
      <w:pPr>
        <w:numPr>
          <w:ilvl w:val="0"/>
          <w:numId w:val="1018"/>
        </w:numPr>
        <w:pStyle w:val="Compact"/>
      </w:pPr>
      <w:r>
        <w:t xml:space="preserve">☐ Classificação/índice correto.</w:t>
      </w:r>
    </w:p>
    <w:p>
      <w:pPr>
        <w:numPr>
          <w:ilvl w:val="0"/>
          <w:numId w:val="1018"/>
        </w:numPr>
        <w:pStyle w:val="Compact"/>
      </w:pPr>
      <w:r>
        <w:t xml:space="preserve">☐ Nome/metadados corretos.</w:t>
      </w:r>
    </w:p>
    <w:p>
      <w:pPr>
        <w:numPr>
          <w:ilvl w:val="0"/>
          <w:numId w:val="1018"/>
        </w:numPr>
        <w:pStyle w:val="Compact"/>
      </w:pPr>
      <w:r>
        <w:t xml:space="preserve">☐ Repositório autorizado.</w:t>
      </w:r>
    </w:p>
    <w:p>
      <w:pPr>
        <w:numPr>
          <w:ilvl w:val="0"/>
          <w:numId w:val="1018"/>
        </w:numPr>
        <w:pStyle w:val="Compact"/>
      </w:pPr>
      <w:r>
        <w:t xml:space="preserve">☐ Nível de acesso adequado.</w:t>
      </w:r>
    </w:p>
    <w:p>
      <w:pPr>
        <w:numPr>
          <w:ilvl w:val="0"/>
          <w:numId w:val="1018"/>
        </w:numPr>
        <w:pStyle w:val="Compact"/>
      </w:pPr>
      <w:r>
        <w:t xml:space="preserve">☐ Versão/status claros.</w:t>
      </w:r>
    </w:p>
    <w:p>
      <w:pPr>
        <w:numPr>
          <w:ilvl w:val="0"/>
          <w:numId w:val="1018"/>
        </w:numPr>
        <w:pStyle w:val="Compact"/>
      </w:pPr>
      <w:r>
        <w:t xml:space="preserve">☐ Destinatário verificado.</w:t>
      </w:r>
    </w:p>
    <w:p>
      <w:pPr>
        <w:numPr>
          <w:ilvl w:val="0"/>
          <w:numId w:val="1018"/>
        </w:numPr>
        <w:pStyle w:val="Compact"/>
      </w:pPr>
      <w:r>
        <w:t xml:space="preserve">☐ Retenção/disposição vem de política aprovada.</w:t>
      </w:r>
    </w:p>
    <w:p>
      <w:pPr>
        <w:numPr>
          <w:ilvl w:val="0"/>
          <w:numId w:val="1018"/>
        </w:numPr>
        <w:pStyle w:val="Compact"/>
      </w:pPr>
      <w:r>
        <w:t xml:space="preserve">☐ Nenhum dado confidencial copiado para sistema não autorizado.</w:t>
      </w:r>
    </w:p>
    <w:bookmarkEnd w:id="67"/>
    <w:bookmarkStart w:id="68" w:name="checklist-prático-de-ocrimportação"/>
    <w:p>
      <w:pPr>
        <w:pStyle w:val="Heading2"/>
      </w:pPr>
      <w:r>
        <w:t xml:space="preserve">Checklist prático de OCR/importação</w:t>
      </w:r>
    </w:p>
    <w:p>
      <w:pPr>
        <w:numPr>
          <w:ilvl w:val="0"/>
          <w:numId w:val="1019"/>
        </w:numPr>
        <w:pStyle w:val="Compact"/>
      </w:pPr>
      <w:r>
        <w:t xml:space="preserve">☐ Mapeamento de campos testado.</w:t>
      </w:r>
    </w:p>
    <w:p>
      <w:pPr>
        <w:numPr>
          <w:ilvl w:val="0"/>
          <w:numId w:val="1019"/>
        </w:numPr>
        <w:pStyle w:val="Compact"/>
      </w:pPr>
      <w:r>
        <w:t xml:space="preserve">☐ Contagem de páginas/linhas reconciliada.</w:t>
      </w:r>
    </w:p>
    <w:p>
      <w:pPr>
        <w:numPr>
          <w:ilvl w:val="0"/>
          <w:numId w:val="1019"/>
        </w:numPr>
        <w:pStyle w:val="Compact"/>
      </w:pPr>
      <w:r>
        <w:t xml:space="preserve">☐ Exceções de OCR revisadas.</w:t>
      </w:r>
    </w:p>
    <w:p>
      <w:pPr>
        <w:numPr>
          <w:ilvl w:val="0"/>
          <w:numId w:val="1019"/>
        </w:numPr>
        <w:pStyle w:val="Compact"/>
      </w:pPr>
      <w:r>
        <w:t xml:space="preserve">☐ Identificadores críticos comparados com a fonte.</w:t>
      </w:r>
    </w:p>
    <w:p>
      <w:pPr>
        <w:numPr>
          <w:ilvl w:val="0"/>
          <w:numId w:val="1019"/>
        </w:numPr>
        <w:pStyle w:val="Compact"/>
      </w:pPr>
      <w:r>
        <w:t xml:space="preserve">☐ Duplicatas verificadas.</w:t>
      </w:r>
    </w:p>
    <w:p>
      <w:pPr>
        <w:numPr>
          <w:ilvl w:val="0"/>
          <w:numId w:val="1019"/>
        </w:numPr>
        <w:pStyle w:val="Compact"/>
      </w:pPr>
      <w:r>
        <w:t xml:space="preserve">☐ Linhas falhas/rejeitadas revisadas.</w:t>
      </w:r>
    </w:p>
    <w:p>
      <w:pPr>
        <w:numPr>
          <w:ilvl w:val="0"/>
          <w:numId w:val="1019"/>
        </w:numPr>
        <w:pStyle w:val="Compact"/>
      </w:pPr>
      <w:r>
        <w:t xml:space="preserve">☐ Ambiente teste/produção confirmado.</w:t>
      </w:r>
    </w:p>
    <w:p>
      <w:pPr>
        <w:numPr>
          <w:ilvl w:val="0"/>
          <w:numId w:val="1019"/>
        </w:numPr>
        <w:pStyle w:val="Compact"/>
      </w:pPr>
      <w:r>
        <w:t xml:space="preserve">☐ Evidência de auditoria preservada conforme procedimento.</w:t>
      </w:r>
    </w:p>
    <w:bookmarkEnd w:id="68"/>
    <w:bookmarkStart w:id="90" w:name="X7310c3ed132d3f3210879b6eecf11b23a2ed307"/>
    <w:p>
      <w:pPr>
        <w:pStyle w:val="Heading2"/>
      </w:pPr>
      <w:r>
        <w:t xml:space="preserve">Fontes para verificar antes de decisões importantes</w:t>
      </w:r>
    </w:p>
    <w:p>
      <w:pPr>
        <w:numPr>
          <w:ilvl w:val="0"/>
          <w:numId w:val="1020"/>
        </w:numPr>
        <w:pStyle w:val="Compact"/>
      </w:pPr>
      <w:r>
        <w:t xml:space="preserve">O*NET Data Entry Keyers:</w:t>
      </w:r>
      <w:r>
        <w:t xml:space="preserve"> </w:t>
      </w:r>
      <w:hyperlink r:id="rId69">
        <w:hyperlink r:id="rId69">
          <w:r>
            <w:rPr>
              <w:rStyle w:val="Hyperlink"/>
            </w:rPr>
            <w:t xml:space="preserve">Source link</w:t>
          </w:r>
        </w:hyperlink>
      </w:hyperlink>
    </w:p>
    <w:p>
      <w:pPr>
        <w:numPr>
          <w:ilvl w:val="0"/>
          <w:numId w:val="1020"/>
        </w:numPr>
        <w:pStyle w:val="Compact"/>
      </w:pPr>
      <w:r>
        <w:t xml:space="preserve">O*NET resumo:</w:t>
      </w:r>
      <w:r>
        <w:t xml:space="preserve"> </w:t>
      </w:r>
      <w:hyperlink r:id="rId70">
        <w:hyperlink r:id="rId70">
          <w:r>
            <w:rPr>
              <w:rStyle w:val="Hyperlink"/>
            </w:rPr>
            <w:t xml:space="preserve">Source link</w:t>
          </w:r>
        </w:hyperlink>
      </w:hyperlink>
    </w:p>
    <w:p>
      <w:pPr>
        <w:numPr>
          <w:ilvl w:val="0"/>
          <w:numId w:val="1020"/>
        </w:numPr>
        <w:pStyle w:val="Compact"/>
      </w:pPr>
      <w:r>
        <w:t xml:space="preserve">O*NET/BLS salários:</w:t>
      </w:r>
      <w:r>
        <w:t xml:space="preserve"> </w:t>
      </w:r>
      <w:hyperlink r:id="rId71">
        <w:hyperlink r:id="rId71">
          <w:r>
            <w:rPr>
              <w:rStyle w:val="Hyperlink"/>
            </w:rPr>
            <w:t xml:space="preserve">Source link</w:t>
          </w:r>
        </w:hyperlink>
      </w:hyperlink>
    </w:p>
    <w:p>
      <w:pPr>
        <w:numPr>
          <w:ilvl w:val="0"/>
          <w:numId w:val="1020"/>
        </w:numPr>
        <w:pStyle w:val="Compact"/>
      </w:pPr>
      <w:r>
        <w:t xml:space="preserve">O*NET tendências:</w:t>
      </w:r>
      <w:r>
        <w:t xml:space="preserve"> </w:t>
      </w:r>
      <w:hyperlink r:id="rId72">
        <w:hyperlink r:id="rId72">
          <w:r>
            <w:rPr>
              <w:rStyle w:val="Hyperlink"/>
            </w:rPr>
            <w:t xml:space="preserve">Source link</w:t>
          </w:r>
        </w:hyperlink>
      </w:hyperlink>
    </w:p>
    <w:p>
      <w:pPr>
        <w:numPr>
          <w:ilvl w:val="0"/>
          <w:numId w:val="1020"/>
        </w:numPr>
        <w:pStyle w:val="Compact"/>
      </w:pPr>
      <w:r>
        <w:t xml:space="preserve">O*NET software demandado:</w:t>
      </w:r>
      <w:r>
        <w:t xml:space="preserve"> </w:t>
      </w:r>
      <w:hyperlink r:id="rId73">
        <w:hyperlink r:id="rId73">
          <w:r>
            <w:rPr>
              <w:rStyle w:val="Hyperlink"/>
            </w:rPr>
            <w:t xml:space="preserve">Source link</w:t>
          </w:r>
        </w:hyperlink>
      </w:hyperlink>
    </w:p>
    <w:p>
      <w:pPr>
        <w:numPr>
          <w:ilvl w:val="0"/>
          <w:numId w:val="1020"/>
        </w:numPr>
        <w:pStyle w:val="Compact"/>
      </w:pPr>
      <w:r>
        <w:t xml:space="preserve">CareerOneStop WIOA:</w:t>
      </w:r>
      <w:r>
        <w:t xml:space="preserve"> </w:t>
      </w:r>
      <w:hyperlink r:id="rId74">
        <w:hyperlink r:id="rId74">
          <w:r>
            <w:rPr>
              <w:rStyle w:val="Hyperlink"/>
            </w:rPr>
            <w:t xml:space="preserve">Source link</w:t>
          </w:r>
        </w:hyperlink>
      </w:hyperlink>
    </w:p>
    <w:p>
      <w:pPr>
        <w:numPr>
          <w:ilvl w:val="0"/>
          <w:numId w:val="1020"/>
        </w:numPr>
        <w:pStyle w:val="Compact"/>
      </w:pPr>
      <w:r>
        <w:t xml:space="preserve">Canada Job Bank resumo:</w:t>
      </w:r>
      <w:r>
        <w:t xml:space="preserve"> </w:t>
      </w:r>
      <w:hyperlink r:id="rId75">
        <w:hyperlink r:id="rId75">
          <w:r>
            <w:rPr>
              <w:rStyle w:val="Hyperlink"/>
            </w:rPr>
            <w:t xml:space="preserve">Source link</w:t>
          </w:r>
        </w:hyperlink>
      </w:hyperlink>
    </w:p>
    <w:p>
      <w:pPr>
        <w:numPr>
          <w:ilvl w:val="0"/>
          <w:numId w:val="1020"/>
        </w:numPr>
        <w:pStyle w:val="Compact"/>
      </w:pPr>
      <w:r>
        <w:t xml:space="preserve">Canada Job Bank requisitos:</w:t>
      </w:r>
      <w:r>
        <w:t xml:space="preserve"> </w:t>
      </w:r>
      <w:hyperlink r:id="rId76">
        <w:hyperlink r:id="rId76">
          <w:r>
            <w:rPr>
              <w:rStyle w:val="Hyperlink"/>
            </w:rPr>
            <w:t xml:space="preserve">Source link</w:t>
          </w:r>
        </w:hyperlink>
      </w:hyperlink>
    </w:p>
    <w:p>
      <w:pPr>
        <w:numPr>
          <w:ilvl w:val="0"/>
          <w:numId w:val="1020"/>
        </w:numPr>
        <w:pStyle w:val="Compact"/>
      </w:pPr>
      <w:r>
        <w:t xml:space="preserve">Canada Job Bank salários:</w:t>
      </w:r>
      <w:r>
        <w:t xml:space="preserve"> </w:t>
      </w:r>
      <w:hyperlink r:id="rId77">
        <w:hyperlink r:id="rId77">
          <w:r>
            <w:rPr>
              <w:rStyle w:val="Hyperlink"/>
            </w:rPr>
            <w:t xml:space="preserve">Source link</w:t>
          </w:r>
        </w:hyperlink>
      </w:hyperlink>
    </w:p>
    <w:p>
      <w:pPr>
        <w:numPr>
          <w:ilvl w:val="0"/>
          <w:numId w:val="1020"/>
        </w:numPr>
        <w:pStyle w:val="Compact"/>
      </w:pPr>
      <w:r>
        <w:t xml:space="preserve">Canada treinamento:</w:t>
      </w:r>
      <w:r>
        <w:t xml:space="preserve"> </w:t>
      </w:r>
      <w:hyperlink r:id="rId78">
        <w:hyperlink r:id="rId78">
          <w:r>
            <w:rPr>
              <w:rStyle w:val="Hyperlink"/>
            </w:rPr>
            <w:t xml:space="preserve">Source link</w:t>
          </w:r>
        </w:hyperlink>
      </w:hyperlink>
    </w:p>
    <w:p>
      <w:pPr>
        <w:numPr>
          <w:ilvl w:val="0"/>
          <w:numId w:val="1020"/>
        </w:numPr>
        <w:pStyle w:val="Compact"/>
      </w:pPr>
      <w:r>
        <w:t xml:space="preserve">OCUPACOL 41321:</w:t>
      </w:r>
      <w:r>
        <w:t xml:space="preserve"> </w:t>
      </w:r>
      <w:hyperlink r:id="rId79">
        <w:hyperlink r:id="rId79">
          <w:r>
            <w:rPr>
              <w:rStyle w:val="Hyperlink"/>
            </w:rPr>
            <w:t xml:space="preserve">Source link</w:t>
          </w:r>
        </w:hyperlink>
      </w:hyperlink>
    </w:p>
    <w:p>
      <w:pPr>
        <w:numPr>
          <w:ilvl w:val="0"/>
          <w:numId w:val="1020"/>
        </w:numPr>
        <w:pStyle w:val="Compact"/>
      </w:pPr>
      <w:r>
        <w:t xml:space="preserve">OCUPACOL 44150:</w:t>
      </w:r>
      <w:r>
        <w:t xml:space="preserve"> </w:t>
      </w:r>
      <w:hyperlink r:id="rId80">
        <w:hyperlink r:id="rId80">
          <w:r>
            <w:rPr>
              <w:rStyle w:val="Hyperlink"/>
            </w:rPr>
            <w:t xml:space="preserve">Source link</w:t>
          </w:r>
        </w:hyperlink>
      </w:hyperlink>
    </w:p>
    <w:p>
      <w:pPr>
        <w:numPr>
          <w:ilvl w:val="0"/>
          <w:numId w:val="1020"/>
        </w:numPr>
        <w:pStyle w:val="Compact"/>
      </w:pPr>
      <w:r>
        <w:t xml:space="preserve">Indeed Colômbia Digitador/a:</w:t>
      </w:r>
      <w:r>
        <w:t xml:space="preserve"> </w:t>
      </w:r>
      <w:hyperlink r:id="rId81">
        <w:hyperlink r:id="rId81">
          <w:r>
            <w:rPr>
              <w:rStyle w:val="Hyperlink"/>
            </w:rPr>
            <w:t xml:space="preserve">Source link</w:t>
          </w:r>
        </w:hyperlink>
      </w:hyperlink>
    </w:p>
    <w:p>
      <w:pPr>
        <w:numPr>
          <w:ilvl w:val="0"/>
          <w:numId w:val="1020"/>
        </w:numPr>
        <w:pStyle w:val="Compact"/>
      </w:pPr>
      <w:r>
        <w:t xml:space="preserve">SENA Gestión documental:</w:t>
      </w:r>
      <w:r>
        <w:t xml:space="preserve"> </w:t>
      </w:r>
      <w:hyperlink r:id="rId82">
        <w:hyperlink r:id="rId82">
          <w:r>
            <w:rPr>
              <w:rStyle w:val="Hyperlink"/>
            </w:rPr>
            <w:t xml:space="preserve">Source link</w:t>
          </w:r>
        </w:hyperlink>
      </w:hyperlink>
    </w:p>
    <w:p>
      <w:pPr>
        <w:numPr>
          <w:ilvl w:val="0"/>
          <w:numId w:val="1020"/>
        </w:numPr>
        <w:pStyle w:val="Compact"/>
      </w:pPr>
      <w:r>
        <w:t xml:space="preserve">SENA bases de dados:</w:t>
      </w:r>
      <w:r>
        <w:t xml:space="preserve"> </w:t>
      </w:r>
      <w:hyperlink r:id="rId83">
        <w:hyperlink r:id="rId83">
          <w:r>
            <w:rPr>
              <w:rStyle w:val="Hyperlink"/>
            </w:rPr>
            <w:t xml:space="preserve">Source link</w:t>
          </w:r>
        </w:hyperlink>
      </w:hyperlink>
    </w:p>
    <w:p>
      <w:pPr>
        <w:numPr>
          <w:ilvl w:val="0"/>
          <w:numId w:val="1020"/>
        </w:numPr>
        <w:pStyle w:val="Compact"/>
      </w:pPr>
      <w:r>
        <w:t xml:space="preserve">SENA Excel/dados:</w:t>
      </w:r>
      <w:r>
        <w:t xml:space="preserve"> </w:t>
      </w:r>
      <w:hyperlink r:id="rId84">
        <w:hyperlink r:id="rId84">
          <w:r>
            <w:rPr>
              <w:rStyle w:val="Hyperlink"/>
            </w:rPr>
            <w:t xml:space="preserve">Source link</w:t>
          </w:r>
        </w:hyperlink>
      </w:hyperlink>
    </w:p>
    <w:p>
      <w:pPr>
        <w:numPr>
          <w:ilvl w:val="0"/>
          <w:numId w:val="1020"/>
        </w:numPr>
        <w:pStyle w:val="Compact"/>
      </w:pPr>
      <w:r>
        <w:t xml:space="preserve">OIT/Cinterfor:</w:t>
      </w:r>
      <w:r>
        <w:t xml:space="preserve"> </w:t>
      </w:r>
      <w:hyperlink r:id="rId85">
        <w:r>
          <w:rPr>
            <w:rStyle w:val="Hyperlink"/>
          </w:rPr>
          <w:t xml:space="preserve">https://www.oitcinterfor.org/statsfp/paises</w:t>
        </w:r>
      </w:hyperlink>
    </w:p>
    <w:p>
      <w:pPr>
        <w:numPr>
          <w:ilvl w:val="0"/>
          <w:numId w:val="1020"/>
        </w:numPr>
        <w:pStyle w:val="Compact"/>
      </w:pPr>
      <w:r>
        <w:t xml:space="preserve">CISA Secure Our World:</w:t>
      </w:r>
      <w:r>
        <w:t xml:space="preserve"> </w:t>
      </w:r>
      <w:hyperlink r:id="rId86">
        <w:r>
          <w:rPr>
            <w:rStyle w:val="Hyperlink"/>
          </w:rPr>
          <w:t xml:space="preserve">https://www.cisa.gov/secure-our-world</w:t>
        </w:r>
      </w:hyperlink>
    </w:p>
    <w:p>
      <w:pPr>
        <w:numPr>
          <w:ilvl w:val="0"/>
          <w:numId w:val="1020"/>
        </w:numPr>
        <w:pStyle w:val="Compact"/>
      </w:pPr>
      <w:r>
        <w:t xml:space="preserve">NIST AI RMF:</w:t>
      </w:r>
      <w:r>
        <w:t xml:space="preserve"> </w:t>
      </w:r>
      <w:hyperlink r:id="rId87">
        <w:hyperlink r:id="rId87">
          <w:r>
            <w:rPr>
              <w:rStyle w:val="Hyperlink"/>
            </w:rPr>
            <w:t xml:space="preserve">Source link</w:t>
          </w:r>
        </w:hyperlink>
      </w:hyperlink>
    </w:p>
    <w:p>
      <w:pPr>
        <w:numPr>
          <w:ilvl w:val="0"/>
          <w:numId w:val="1020"/>
        </w:numPr>
        <w:pStyle w:val="Compact"/>
      </w:pPr>
      <w:r>
        <w:t xml:space="preserve">NIST perfil de IA generativa:</w:t>
      </w:r>
      <w:r>
        <w:t xml:space="preserve"> </w:t>
      </w:r>
      <w:hyperlink r:id="rId88">
        <w:hyperlink r:id="rId88">
          <w:r>
            <w:rPr>
              <w:rStyle w:val="Hyperlink"/>
            </w:rPr>
            <w:t xml:space="preserve">Source link</w:t>
          </w:r>
        </w:hyperlink>
      </w:hyperlink>
    </w:p>
    <w:p>
      <w:pPr>
        <w:numPr>
          <w:ilvl w:val="0"/>
          <w:numId w:val="1020"/>
        </w:numPr>
        <w:pStyle w:val="Compact"/>
      </w:pPr>
      <w:r>
        <w:t xml:space="preserve">Section508.gov:</w:t>
      </w:r>
      <w:r>
        <w:t xml:space="preserve"> </w:t>
      </w:r>
      <w:hyperlink r:id="rId89">
        <w:r>
          <w:rPr>
            <w:rStyle w:val="Hyperlink"/>
          </w:rPr>
          <w:t xml:space="preserve">https://www.section508.gov/create/</w:t>
        </w:r>
      </w:hyperlink>
    </w:p>
    <w:bookmarkEnd w:id="90"/>
    <w:bookmarkStart w:id="91" w:name="limite-de-garantia"/>
    <w:p>
      <w:pPr>
        <w:pStyle w:val="Heading2"/>
      </w:pPr>
      <w:r>
        <w:t xml:space="preserve">Limite de garantia</w:t>
      </w:r>
    </w:p>
    <w:p>
      <w:pPr>
        <w:pStyle w:val="FirstParagraph"/>
      </w:pPr>
      <w:r>
        <w:t xml:space="preserve">Este guia fornece informação educacional e de planejamento de carreira em caráter geral. Não é aconselhamento jurídico, de privacidade, retenção de registros, cibersegurança, contábil, médico, trabalhista, migratório, financeiro ou regulatório. Não certifica gestão de registros, acessibilidade, cibersegurança nem qualidade de tradução.</w:t>
      </w:r>
    </w:p>
    <w:p>
      <w:pPr>
        <w:pStyle w:val="BodyText"/>
      </w:pPr>
      <w:r>
        <w:t xml:space="preserve">Não há garantia de emprego, renda, admissão, financiamento, licença, certificação ou promoção.</w:t>
      </w:r>
    </w:p>
    <w:bookmarkEnd w:id="91"/>
    <w:bookmarkStart w:id="92" w:name="autor-assistência-de-ia-e-licença"/>
    <w:p>
      <w:pPr>
        <w:pStyle w:val="Heading2"/>
      </w:pPr>
      <w:r>
        <w:t xml:space="preserve">Autor, assistência de IA e licença</w:t>
      </w:r>
    </w:p>
    <w:p>
      <w:pPr>
        <w:pStyle w:val="FirstParagraph"/>
      </w:pPr>
      <w:r>
        <w:t xml:space="preserve">Criado e dirigido por</w:t>
      </w:r>
      <w:r>
        <w:t xml:space="preserve"> </w:t>
      </w:r>
      <w:r>
        <w:rPr>
          <w:bCs/>
          <w:b/>
        </w:rPr>
        <w:t xml:space="preserve">Alberto “Al” Leiva</w:t>
      </w:r>
      <w:r>
        <w:t xml:space="preserve">. O ChatGPT apoiou pesquisa em fontes atuais, organização, edição, apoio à tradução e preparação documental sob direção do autor. O autor permanece responsável pelas decisões editoriais e de publicação.</w:t>
      </w:r>
    </w:p>
    <w:p>
      <w:pPr>
        <w:pStyle w:val="BodyText"/>
      </w:pPr>
      <w:r>
        <w:t xml:space="preserve">Salvo indicação diferente, este material é licenciado sob</w:t>
      </w:r>
      <w:r>
        <w:t xml:space="preserve"> </w:t>
      </w:r>
      <w:r>
        <w:rPr>
          <w:bCs/>
          <w:b/>
        </w:rPr>
        <w:t xml:space="preserve">CC BY-NC-SA 4.0</w:t>
      </w:r>
      <w:r>
        <w:t xml:space="preserve">.</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bases-de-datos-generalidades-y-sistemas-de-gestion?modality=V&amp;offertype=open&amp;programId=73885" TargetMode="External" /><Relationship Type="http://schemas.openxmlformats.org/officeDocument/2006/relationships/hyperlink" Id="rId82" Target="https://betowa.sena.edu.co/oferta/gestion-documental?location=57011001&amp;modality=P&amp;programId=120174" TargetMode="External" /><Relationship Type="http://schemas.openxmlformats.org/officeDocument/2006/relationships/hyperlink" Id="rId84" Target="https://betowa.sena.edu.co/oferta/manejo-de-datos-con-microsoft-excel-en-entornos-organizacionales?modality=V&amp;offertype=company&amp;programId=231589&amp;technology=1" TargetMode="External" /><Relationship Type="http://schemas.openxmlformats.org/officeDocument/2006/relationships/hyperlink" Id="rId81" Target="https://co.indeed.com/career/digitador/salaries" TargetMode="External" /><Relationship Type="http://schemas.openxmlformats.org/officeDocument/2006/relationships/hyperlink" Id="rId79" Target="https://ocupacol.mintrabajo.gov.co/Profile/OccupationalProfile/41321" TargetMode="External" /><Relationship Type="http://schemas.openxmlformats.org/officeDocument/2006/relationships/hyperlink" Id="rId80" Target="https://ocupacol.mintrabajo.gov.co/Profile/OccupationalProfile/44150" TargetMode="External" /><Relationship Type="http://schemas.openxmlformats.org/officeDocument/2006/relationships/hyperlink" Id="rId78" Target="https://www.canada.ca/en/services/jobs/training.html" TargetMode="External" /><Relationship Type="http://schemas.openxmlformats.org/officeDocument/2006/relationships/hyperlink" Id="rId74" Target="https://www.careeronestop.org/LocalHelp/EmploymentAndTraining/find-WIOA-training-programs.aspx" TargetMode="External" /><Relationship Type="http://schemas.openxmlformats.org/officeDocument/2006/relationships/hyperlink" Id="rId86" Target="https://www.cisa.gov/secure-our-world" TargetMode="External" /><Relationship Type="http://schemas.openxmlformats.org/officeDocument/2006/relationships/hyperlink" Id="rId76" Target="https://www.jobbank.gc.ca/marketreport/requirements/17772/ca" TargetMode="External" /><Relationship Type="http://schemas.openxmlformats.org/officeDocument/2006/relationships/hyperlink" Id="rId75" Target="https://www.jobbank.gc.ca/marketreport/summary-occupation/19213/ca" TargetMode="External" /><Relationship Type="http://schemas.openxmlformats.org/officeDocument/2006/relationships/hyperlink" Id="rId77" Target="https://www.jobbank.gc.ca/wagereport/occupation/19213" TargetMode="External" /><Relationship Type="http://schemas.openxmlformats.org/officeDocument/2006/relationships/hyperlink" Id="rId87" Target="https://www.nist.gov/itl/ai-risk-management-framework" TargetMode="External" /><Relationship Type="http://schemas.openxmlformats.org/officeDocument/2006/relationships/hyperlink" Id="rId88" Target="https://www.nist.gov/publications/artificial-intelligence-risk-management-framework-generative-artificial-intelligence" TargetMode="External" /><Relationship Type="http://schemas.openxmlformats.org/officeDocument/2006/relationships/hyperlink" Id="rId85" Target="https://www.oitcinterfor.org/statsfp/paises" TargetMode="External" /><Relationship Type="http://schemas.openxmlformats.org/officeDocument/2006/relationships/hyperlink" Id="rId73" Target="https://www.onetonline.org/link/demand/43-9021.00" TargetMode="External" /><Relationship Type="http://schemas.openxmlformats.org/officeDocument/2006/relationships/hyperlink" Id="rId69" Target="https://www.onetonline.org/link/details/43-9021.00" TargetMode="External" /><Relationship Type="http://schemas.openxmlformats.org/officeDocument/2006/relationships/hyperlink" Id="rId72" Target="https://www.onetonline.org/link/localtrends/43-9021.00" TargetMode="External" /><Relationship Type="http://schemas.openxmlformats.org/officeDocument/2006/relationships/hyperlink" Id="rId71" Target="https://www.onetonline.org/link/localwages/43-9021.00" TargetMode="External" /><Relationship Type="http://schemas.openxmlformats.org/officeDocument/2006/relationships/hyperlink" Id="rId70" Target="https://www.onetonline.org/link/summary/43-9021.00" TargetMode="External" /><Relationship Type="http://schemas.openxmlformats.org/officeDocument/2006/relationships/hyperlink" Id="rId89" Target="https://www.section508.gov/create/"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bases-de-datos-generalidades-y-sistemas-de-gestion?modality=V&amp;offertype=open&amp;programId=73885" TargetMode="External" /><Relationship Type="http://schemas.openxmlformats.org/officeDocument/2006/relationships/hyperlink" Id="rId82" Target="https://betowa.sena.edu.co/oferta/gestion-documental?location=57011001&amp;modality=P&amp;programId=120174" TargetMode="External" /><Relationship Type="http://schemas.openxmlformats.org/officeDocument/2006/relationships/hyperlink" Id="rId84" Target="https://betowa.sena.edu.co/oferta/manejo-de-datos-con-microsoft-excel-en-entornos-organizacionales?modality=V&amp;offertype=company&amp;programId=231589&amp;technology=1" TargetMode="External" /><Relationship Type="http://schemas.openxmlformats.org/officeDocument/2006/relationships/hyperlink" Id="rId81" Target="https://co.indeed.com/career/digitador/salaries" TargetMode="External" /><Relationship Type="http://schemas.openxmlformats.org/officeDocument/2006/relationships/hyperlink" Id="rId79" Target="https://ocupacol.mintrabajo.gov.co/Profile/OccupationalProfile/41321" TargetMode="External" /><Relationship Type="http://schemas.openxmlformats.org/officeDocument/2006/relationships/hyperlink" Id="rId80" Target="https://ocupacol.mintrabajo.gov.co/Profile/OccupationalProfile/44150" TargetMode="External" /><Relationship Type="http://schemas.openxmlformats.org/officeDocument/2006/relationships/hyperlink" Id="rId78" Target="https://www.canada.ca/en/services/jobs/training.html" TargetMode="External" /><Relationship Type="http://schemas.openxmlformats.org/officeDocument/2006/relationships/hyperlink" Id="rId74" Target="https://www.careeronestop.org/LocalHelp/EmploymentAndTraining/find-WIOA-training-programs.aspx" TargetMode="External" /><Relationship Type="http://schemas.openxmlformats.org/officeDocument/2006/relationships/hyperlink" Id="rId86" Target="https://www.cisa.gov/secure-our-world" TargetMode="External" /><Relationship Type="http://schemas.openxmlformats.org/officeDocument/2006/relationships/hyperlink" Id="rId76" Target="https://www.jobbank.gc.ca/marketreport/requirements/17772/ca" TargetMode="External" /><Relationship Type="http://schemas.openxmlformats.org/officeDocument/2006/relationships/hyperlink" Id="rId75" Target="https://www.jobbank.gc.ca/marketreport/summary-occupation/19213/ca" TargetMode="External" /><Relationship Type="http://schemas.openxmlformats.org/officeDocument/2006/relationships/hyperlink" Id="rId77" Target="https://www.jobbank.gc.ca/wagereport/occupation/19213" TargetMode="External" /><Relationship Type="http://schemas.openxmlformats.org/officeDocument/2006/relationships/hyperlink" Id="rId87" Target="https://www.nist.gov/itl/ai-risk-management-framework" TargetMode="External" /><Relationship Type="http://schemas.openxmlformats.org/officeDocument/2006/relationships/hyperlink" Id="rId88" Target="https://www.nist.gov/publications/artificial-intelligence-risk-management-framework-generative-artificial-intelligence" TargetMode="External" /><Relationship Type="http://schemas.openxmlformats.org/officeDocument/2006/relationships/hyperlink" Id="rId85" Target="https://www.oitcinterfor.org/statsfp/paises" TargetMode="External" /><Relationship Type="http://schemas.openxmlformats.org/officeDocument/2006/relationships/hyperlink" Id="rId73" Target="https://www.onetonline.org/link/demand/43-9021.00" TargetMode="External" /><Relationship Type="http://schemas.openxmlformats.org/officeDocument/2006/relationships/hyperlink" Id="rId69" Target="https://www.onetonline.org/link/details/43-9021.00" TargetMode="External" /><Relationship Type="http://schemas.openxmlformats.org/officeDocument/2006/relationships/hyperlink" Id="rId72" Target="https://www.onetonline.org/link/localtrends/43-9021.00" TargetMode="External" /><Relationship Type="http://schemas.openxmlformats.org/officeDocument/2006/relationships/hyperlink" Id="rId71" Target="https://www.onetonline.org/link/localwages/43-9021.00" TargetMode="External" /><Relationship Type="http://schemas.openxmlformats.org/officeDocument/2006/relationships/hyperlink" Id="rId70" Target="https://www.onetonline.org/link/summary/43-9021.00" TargetMode="External" /><Relationship Type="http://schemas.openxmlformats.org/officeDocument/2006/relationships/hyperlink" Id="rId89" Target="https://www.section508.gov/cre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2026-08-22T02:49:52Z</dcterms:created>
  <dcterms:modified xsi:type="dcterms:W3CDTF">2026-08-22T02:49:52Z</dcterms:modified>
</cp:coreProperties>
</file>

<file path=docProps/custom.xml><?xml version="1.0" encoding="utf-8"?>
<Properties xmlns="http://schemas.openxmlformats.org/officeDocument/2006/custom-properties" xmlns:vt="http://schemas.openxmlformats.org/officeDocument/2006/docPropsVTypes"/>
</file>