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t>OPORTUNIDAD PARA TODA LA VIDA</w:t>
      </w:r>
    </w:p>
    <w:p>
      <w:pPr>
        <w:pStyle w:val="Title"/>
        <w:jc w:val="center"/>
      </w:pPr>
      <w:r>
        <w:t>Elegir un trabajo que pueda disfrutar</w:t>
      </w:r>
    </w:p>
    <w:p>
      <w:pPr>
        <w:jc w:val="center"/>
      </w:pPr>
      <w:r>
        <w:rPr>
          <w:b/>
          <w:sz w:val="28"/>
        </w:rPr>
        <w:t>Una guía gratuita sobre compatibilidad profesional, educación asequible, accesibilidad,</w:t>
        <w:br/>
        <w:t>toma de decisiones ética y reinvención a lo largo de la vida</w:t>
      </w:r>
    </w:p>
    <w:p>
      <w:pPr>
        <w:jc w:val="center"/>
      </w:pPr>
      <w:r>
        <w:t>Para personas de todas las edades, capacidades, trayectorias y niveles de ingresos</w:t>
      </w:r>
    </w:p>
    <w:p>
      <w:pPr>
        <w:jc w:val="center"/>
      </w:pPr>
      <w:r>
        <w:t>Alberto (Al) Leiva</w:t>
      </w:r>
    </w:p>
    <w:p>
      <w:pPr>
        <w:jc w:val="center"/>
      </w:pPr>
      <w:r>
        <w:t>Creada y dirigida por Alberto (Al) Leiva</w:t>
      </w:r>
    </w:p>
    <w:p>
      <w:pPr>
        <w:jc w:val="center"/>
      </w:pPr>
      <w:r>
        <w:t>Investigación, organización, edición y preparación del documento con la asistencia de ChatGPT, de OpenAI</w:t>
      </w:r>
    </w:p>
    <w:p>
      <w:pPr>
        <w:jc w:val="center"/>
      </w:pPr>
      <w:r>
        <w:t>Edición en español neutro • Versión 1.0 • Julio de 2026</w:t>
      </w:r>
    </w:p>
    <w:p/>
    <w:p>
      <w:pPr>
        <w:pStyle w:val="Callout"/>
      </w:pPr>
      <w:r>
        <w:rPr>
          <w:b/>
        </w:rPr>
        <w:t>La promesa de esta guía: nunca es demasiado tarde, ni se tiene demasiada edad, ni se carece de demasiados recursos, ni se es demasiado diferente o se está demasiado rezagado para volver a aprender. Esta guía no promete un camino fácil ni un empleo garantizado. Le ayuda a investigar opciones, protegerse de daños evitables y dar el siguiente paso realista.</w:t>
      </w:r>
      <w:r/>
    </w:p>
    <w:p>
      <w:r>
        <w:br w:type="page"/>
      </w:r>
    </w:p>
    <w:p>
      <w:pPr>
        <w:pStyle w:val="Heading1"/>
      </w:pPr>
      <w:r>
        <w:t>Dedicatoria</w:t>
      </w:r>
    </w:p>
    <w:p>
      <w:r>
        <w:t>Dedico esta guía a John Bear, cuyo trabajo sobre educación a distancia confiable y educación no tradicional cambió mi vida. Su ejemplo me mostró que la educación puede llegar a quienes no encajan en una trayectoria tradicional. Mediante este proyecto, mantengo ese principio: verificar la calidad, proteger a quien aprende, ampliar el acceso y nunca confundir la comodidad con la credibilidad.</w:t>
      </w:r>
    </w:p>
    <w:p>
      <w:r>
        <w:t>También dedico esta guía a la persona que quizá descubra, a través de estas páginas, que todavía es posible construir un futuro mejor.</w:t>
      </w:r>
    </w:p>
    <w:p>
      <w:pPr>
        <w:pStyle w:val="Heading1"/>
      </w:pPr>
      <w:r>
        <w:t>Acerca del autor y la misión</w:t>
      </w:r>
    </w:p>
    <w:p>
      <w:r>
        <w:t>Creé este proyecto después de toda una vida de aprendizaje, trabajo, mentoría y reinvención. Vivo con disgrafía y estoy dentro del espectro autista. Estas experiencias formaron mi compromiso con el lenguaje claro, la accesibilidad, la paciencia, la orientación ética y el respeto por capacidades que pueden permanecer ocultas detrás de barreras. Nací en 1956 y comencé este proyecto a los 70 años.</w:t>
      </w:r>
    </w:p>
    <w:p>
      <w:pPr>
        <w:pStyle w:val="Heading1"/>
      </w:pPr>
      <w:r>
        <w:t>Reconocimiento de la asistencia de inteligencia artificial</w:t>
      </w:r>
    </w:p>
    <w:p>
      <w:r>
        <w:t>Concebí y dirigí este proyecto, y asumo la responsabilidad por su contenido. Utilicé ChatGPT, de OpenAI, como herramienta de colaboración para investigar recursos públicos, organizar ideas, mejorar la ortografía y la gramática, aumentar la claridad y preparar documentos. La asistencia de inteligencia artificial no sustituye las fuentes oficiales, a los profesionales calificados, el criterio humano ni la responsabilidad de cada persona de verificar la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  <w:ind w:left="403" w:hanging="259"/>
      </w:pPr>
      <w:r>
        <w:t>Ninguna evaluación profesional puede garantizar que disfrutará un trabajo.</w:t>
      </w:r>
    </w:p>
    <w:p>
      <w:pPr>
        <w:pStyle w:val="ListBullet"/>
        <w:ind w:left="403" w:hanging="259"/>
      </w:pPr>
      <w:r>
        <w:t>Ninguna institución educativa, credencial, formación de aprendizaje, empresa, reclutador o programa gubernamental puede garantizar empleo, ascenso, financiamiento, licencia profesional o ingresos.</w:t>
      </w:r>
    </w:p>
    <w:p>
      <w:pPr>
        <w:pStyle w:val="ListBullet"/>
        <w:ind w:left="403" w:hanging="259"/>
      </w:pPr>
      <w:r>
        <w:t>Las normas sobre educación, impuestos, trabajo, inmigración, licencias profesionales, accesibilidad y beneficios varían según la jurisdicción y cambian con el tiempo.</w:t>
      </w:r>
    </w:p>
    <w:p>
      <w:pPr>
        <w:pStyle w:val="ListBullet"/>
        <w:ind w:left="403" w:hanging="259"/>
      </w:pPr>
      <w:r>
        <w:t>Esta guía ofrece educación y orientación generales, no asesoramiento profesional individualizado.</w:t>
      </w:r>
    </w:p>
    <w:p>
      <w:pPr>
        <w:pStyle w:val="ListBullet"/>
        <w:ind w:left="403" w:hanging="259"/>
      </w:pPr>
      <w:r>
        <w:t>Nunca pida dinero prestado ni pague una tarifa elevada no reembolsable porque alguien le presione para actuar de inmediato.</w:t>
      </w:r>
    </w:p>
    <w:p>
      <w:pPr>
        <w:pStyle w:val="ListBullet"/>
        <w:ind w:left="403" w:hanging="259"/>
      </w:pPr>
      <w:r>
        <w:t>La incertidumbre debe declararse, no ocultarse bajo una apariencia de seguridad.</w:t>
      </w:r>
    </w:p>
    <w:p>
      <w:r>
        <w:br w:type="page"/>
      </w:r>
    </w:p>
    <w:p>
      <w:pPr>
        <w:keepNext/>
        <w:spacing w:before="160" w:after="80"/>
      </w:pPr>
      <w:r>
        <w:rPr>
          <w:b/>
          <w:sz w:val="28"/>
        </w:rPr>
        <w:t>Tabla de contenido</w:t>
      </w:r>
    </w:p>
    <w:p>
      <w:pPr>
        <w:pStyle w:val="TOC1"/>
        <w:tabs>
          <w:tab w:pos="9432" w:val="right" w:leader="dot"/>
        </w:tabs>
        <w:spacing w:after="0" w:line="240" w:lineRule="auto" w:before="0"/>
        <w:ind w:left="403" w:hanging="259"/>
      </w:pPr>
      <w:r>
        <w:t>1. Utilice las guías como un sistema de decisión</w:t>
        <w:tab/>
        <w:t>4</w:t>
      </w:r>
    </w:p>
    <w:p>
      <w:pPr>
        <w:pStyle w:val="TOC2"/>
        <w:tabs>
          <w:tab w:pos="9432" w:val="right" w:leader="dot"/>
        </w:tabs>
        <w:spacing w:after="0" w:line="240" w:lineRule="auto" w:before="0"/>
        <w:ind w:left="720" w:hanging="259"/>
      </w:pPr>
      <w:r>
        <w:t>Explorar, verificar, financiar, capacitarse, ingresar, avanzar, adaptarse y salir</w:t>
        <w:tab/>
        <w:t>4</w:t>
      </w:r>
    </w:p>
    <w:p>
      <w:pPr>
        <w:pStyle w:val="TOC1"/>
        <w:tabs>
          <w:tab w:pos="9432" w:val="right" w:leader="dot"/>
        </w:tabs>
        <w:spacing w:after="0" w:line="240" w:lineRule="auto" w:before="0"/>
        <w:ind w:left="403" w:hanging="259"/>
      </w:pPr>
      <w:r>
        <w:t>2. Comience con la compatibilidad profesional</w:t>
        <w:tab/>
        <w:t>4</w:t>
      </w:r>
    </w:p>
    <w:p>
      <w:pPr>
        <w:pStyle w:val="TOC2"/>
        <w:tabs>
          <w:tab w:pos="9432" w:val="right" w:leader="dot"/>
        </w:tabs>
        <w:spacing w:after="0" w:line="240" w:lineRule="auto" w:before="0"/>
        <w:ind w:left="720" w:hanging="259"/>
      </w:pPr>
      <w:r>
        <w:t>Fortalezas, valores, condiciones y limitaciones</w:t>
        <w:tab/>
        <w:t>4</w:t>
      </w:r>
    </w:p>
    <w:p>
      <w:pPr>
        <w:pStyle w:val="TOC2"/>
        <w:spacing w:after="0" w:line="240" w:lineRule="auto" w:before="0"/>
        <w:ind w:left="720" w:hanging="259"/>
      </w:pPr>
      <w:r>
        <w:rPr>
          <w:sz w:val="16"/>
        </w:rPr>
        <w:t>Quién debería detenerse y evaluar</w:t>
      </w:r>
    </w:p>
    <w:p>
      <w:pPr>
        <w:pStyle w:val="TOC1"/>
        <w:tabs>
          <w:tab w:pos="9432" w:val="right" w:leader="dot"/>
        </w:tabs>
        <w:spacing w:after="0" w:line="240" w:lineRule="auto" w:before="0"/>
        <w:ind w:left="403" w:hanging="259"/>
      </w:pPr>
      <w:r>
        <w:t>3. Comprenda el trabajo real</w:t>
        <w:tab/>
        <w:t>4</w:t>
      </w:r>
    </w:p>
    <w:p>
      <w:pPr>
        <w:pStyle w:val="TOC2"/>
        <w:tabs>
          <w:tab w:pos="9432" w:val="right" w:leader="dot"/>
        </w:tabs>
        <w:spacing w:after="0" w:line="240" w:lineRule="auto" w:before="0"/>
        <w:ind w:left="720" w:hanging="259"/>
      </w:pPr>
      <w:r>
        <w:t>Tareas, herramientas, flujos de trabajo, límites y actividades para probar antes de inscribirse</w:t>
        <w:tab/>
        <w:t>4</w:t>
      </w:r>
    </w:p>
    <w:p>
      <w:pPr>
        <w:pStyle w:val="TOC1"/>
        <w:tabs>
          <w:tab w:pos="9432" w:val="right" w:leader="dot"/>
        </w:tabs>
        <w:spacing w:after="0" w:line="240" w:lineRule="auto" w:before="0"/>
        <w:ind w:left="403" w:hanging="259"/>
      </w:pPr>
      <w:r>
        <w:t>4. Investigue salarios, beneficios y perspectivas</w:t>
        <w:tab/>
        <w:t>4</w:t>
      </w:r>
    </w:p>
    <w:p>
      <w:pPr>
        <w:pStyle w:val="TOC2"/>
        <w:tabs>
          <w:tab w:pos="9432" w:val="right" w:leader="dot"/>
        </w:tabs>
        <w:spacing w:after="0" w:line="240" w:lineRule="auto" w:before="0"/>
        <w:ind w:left="720" w:hanging="259"/>
      </w:pPr>
      <w:r>
        <w:t>Contexto nacional y verificación local</w:t>
        <w:tab/>
        <w:t>4</w:t>
      </w:r>
    </w:p>
    <w:p>
      <w:pPr>
        <w:pStyle w:val="TOC1"/>
        <w:tabs>
          <w:tab w:pos="9432" w:val="right" w:leader="dot"/>
        </w:tabs>
        <w:spacing w:after="0" w:line="240" w:lineRule="auto" w:before="0"/>
        <w:ind w:left="403" w:hanging="259"/>
      </w:pPr>
      <w:r>
        <w:t>5. Construya una trayectoria educativa confiable</w:t>
        <w:tab/>
        <w:t>5</w:t>
      </w:r>
    </w:p>
    <w:p>
      <w:pPr>
        <w:pStyle w:val="TOC2"/>
        <w:spacing w:after="0" w:line="240" w:lineRule="auto" w:before="0"/>
        <w:ind w:left="720" w:hanging="259"/>
      </w:pPr>
      <w:r>
        <w:rPr>
          <w:sz w:val="16"/>
        </w:rPr>
        <w:t>Aprendizaje gratuito como primera opción</w:t>
      </w:r>
    </w:p>
    <w:p>
      <w:pPr>
        <w:pStyle w:val="TOC2"/>
        <w:spacing w:after="0" w:line="240" w:lineRule="auto" w:before="0"/>
        <w:ind w:left="720" w:hanging="259"/>
      </w:pPr>
      <w:r>
        <w:rPr>
          <w:sz w:val="16"/>
        </w:rPr>
        <w:t>Instituciones educativas, acreditación, licencias y portabilidad</w:t>
      </w:r>
    </w:p>
    <w:p>
      <w:pPr>
        <w:pStyle w:val="TOC1"/>
        <w:tabs>
          <w:tab w:pos="9432" w:val="right" w:leader="dot"/>
        </w:tabs>
        <w:spacing w:after="0" w:line="240" w:lineRule="auto" w:before="0"/>
        <w:ind w:left="403" w:hanging="259"/>
      </w:pPr>
      <w:r>
        <w:t>6. Utilice con cuidado la educación financiada por la empresa</w:t>
        <w:tab/>
        <w:t>5</w:t>
      </w:r>
    </w:p>
    <w:p>
      <w:pPr>
        <w:pStyle w:val="TOC2"/>
        <w:spacing w:after="0" w:line="240" w:lineRule="auto" w:before="0"/>
        <w:ind w:left="720" w:hanging="259"/>
      </w:pPr>
      <w:r>
        <w:rPr>
          <w:sz w:val="16"/>
        </w:rPr>
        <w:t>Asistencia educativa y reembolso</w:t>
      </w:r>
    </w:p>
    <w:p>
      <w:pPr>
        <w:pStyle w:val="TOC2"/>
        <w:spacing w:after="0" w:line="240" w:lineRule="auto" w:before="0"/>
        <w:ind w:left="720" w:hanging="259"/>
      </w:pPr>
      <w:r>
        <w:rPr>
          <w:sz w:val="16"/>
        </w:rPr>
        <w:t>Pasantías, programas de aprendizaje y trayectorias de ascenso</w:t>
      </w:r>
    </w:p>
    <w:p>
      <w:pPr>
        <w:pStyle w:val="TOC1"/>
        <w:tabs>
          <w:tab w:pos="9432" w:val="right" w:leader="dot"/>
        </w:tabs>
        <w:spacing w:after="0" w:line="240" w:lineRule="auto" w:before="0"/>
        <w:ind w:left="403" w:hanging="259"/>
      </w:pPr>
      <w:r>
        <w:t>7. Comprenda los beneficios tributarios para la educación</w:t>
        <w:tab/>
        <w:t>5</w:t>
      </w:r>
    </w:p>
    <w:p>
      <w:pPr>
        <w:pStyle w:val="TOC2"/>
        <w:tabs>
          <w:tab w:pos="9432" w:val="right" w:leader="dot"/>
        </w:tabs>
        <w:spacing w:after="0" w:line="240" w:lineRule="auto" w:before="0"/>
        <w:ind w:left="720" w:hanging="259"/>
      </w:pPr>
      <w:r>
        <w:t>Créditos federales, Sección 127 y límites sobre beneficios dobles</w:t>
        <w:tab/>
        <w:t>5</w:t>
      </w:r>
    </w:p>
    <w:p>
      <w:pPr>
        <w:pStyle w:val="TOC1"/>
        <w:tabs>
          <w:tab w:pos="9432" w:val="right" w:leader="dot"/>
        </w:tabs>
        <w:spacing w:after="0" w:line="240" w:lineRule="auto" w:before="0"/>
        <w:ind w:left="403" w:hanging="259"/>
      </w:pPr>
      <w:r>
        <w:t>8. Protéjase antes de inscribirse</w:t>
        <w:tab/>
        <w:t>5</w:t>
      </w:r>
    </w:p>
    <w:p>
      <w:pPr>
        <w:pStyle w:val="TOC2"/>
        <w:tabs>
          <w:tab w:pos="9432" w:val="right" w:leader="dot"/>
        </w:tabs>
        <w:spacing w:after="0" w:line="240" w:lineRule="auto" w:before="0"/>
        <w:ind w:left="720" w:hanging="259"/>
      </w:pPr>
      <w:r>
        <w:t>Costo total, resultados, cierre, reclamaciones y fraude</w:t>
        <w:tab/>
        <w:t>5</w:t>
      </w:r>
    </w:p>
    <w:p>
      <w:pPr>
        <w:pStyle w:val="TOC1"/>
        <w:tabs>
          <w:tab w:pos="9432" w:val="right" w:leader="dot"/>
        </w:tabs>
        <w:spacing w:after="0" w:line="240" w:lineRule="auto" w:before="0"/>
        <w:ind w:left="403" w:hanging="259"/>
      </w:pPr>
      <w:r>
        <w:t>9. Comprenda los derechos y riesgos laborales</w:t>
        <w:tab/>
        <w:t>6</w:t>
      </w:r>
    </w:p>
    <w:p>
      <w:pPr>
        <w:pStyle w:val="TOC2"/>
        <w:tabs>
          <w:tab w:pos="9432" w:val="right" w:leader="dot"/>
        </w:tabs>
        <w:spacing w:after="0" w:line="240" w:lineRule="auto" w:before="0"/>
        <w:ind w:left="720" w:hanging="259"/>
      </w:pPr>
      <w:r>
        <w:t>Pago, clasificación, verificaciones de antecedentes y autorización de trabajo</w:t>
        <w:tab/>
        <w:t>6</w:t>
      </w:r>
    </w:p>
    <w:p>
      <w:pPr>
        <w:pStyle w:val="TOC1"/>
        <w:tabs>
          <w:tab w:pos="9432" w:val="right" w:leader="dot"/>
        </w:tabs>
        <w:spacing w:after="0" w:line="240" w:lineRule="auto" w:before="0"/>
        <w:ind w:left="403" w:hanging="259"/>
      </w:pPr>
      <w:r>
        <w:t>10. Planifique la accesibilidad y la inclusión</w:t>
        <w:tab/>
        <w:t>6</w:t>
      </w:r>
    </w:p>
    <w:p>
      <w:pPr>
        <w:pStyle w:val="TOC2"/>
        <w:tabs>
          <w:tab w:pos="9432" w:val="right" w:leader="dot"/>
        </w:tabs>
        <w:spacing w:after="0" w:line="240" w:lineRule="auto" w:before="0"/>
        <w:ind w:left="720" w:hanging="259"/>
      </w:pPr>
      <w:r>
        <w:t>Ajustes razonables durante toda la trayectoria</w:t>
        <w:tab/>
        <w:t>6</w:t>
      </w:r>
    </w:p>
    <w:p>
      <w:pPr>
        <w:pStyle w:val="TOC1"/>
        <w:tabs>
          <w:tab w:pos="9432" w:val="right" w:leader="dot"/>
        </w:tabs>
        <w:spacing w:after="0" w:line="240" w:lineRule="auto" w:before="0"/>
        <w:ind w:left="403" w:hanging="259"/>
      </w:pPr>
      <w:r>
        <w:t>11. Proteja la seguridad, la privacidad y la integridad</w:t>
        <w:tab/>
        <w:t>6</w:t>
      </w:r>
    </w:p>
    <w:p>
      <w:pPr>
        <w:pStyle w:val="TOC2"/>
        <w:tabs>
          <w:tab w:pos="9432" w:val="right" w:leader="dot"/>
        </w:tabs>
        <w:spacing w:after="0" w:line="240" w:lineRule="auto" w:before="0"/>
        <w:ind w:left="720" w:hanging="259"/>
      </w:pPr>
      <w:r>
        <w:t>Ciberseguridad, inteligencia artificial ética y seguridad psicológica</w:t>
        <w:tab/>
        <w:t>6</w:t>
      </w:r>
    </w:p>
    <w:p>
      <w:pPr>
        <w:pStyle w:val="TOC1"/>
        <w:tabs>
          <w:tab w:pos="9432" w:val="right" w:leader="dot"/>
        </w:tabs>
        <w:spacing w:after="0" w:line="240" w:lineRule="auto" w:before="0"/>
        <w:ind w:left="403" w:hanging="259"/>
      </w:pPr>
      <w:r>
        <w:t>12. Planifique el avance y la salida</w:t>
        <w:tab/>
        <w:t>6</w:t>
      </w:r>
    </w:p>
    <w:p>
      <w:pPr>
        <w:pStyle w:val="TOC2"/>
        <w:tabs>
          <w:tab w:pos="9432" w:val="right" w:leader="dot"/>
        </w:tabs>
        <w:spacing w:after="0" w:line="240" w:lineRule="auto" w:before="0"/>
        <w:ind w:left="720" w:hanging="259"/>
      </w:pPr>
      <w:r>
        <w:t>Portabilidad, trabajo independiente y valor conservado</w:t>
        <w:tab/>
        <w:t>6</w:t>
      </w:r>
    </w:p>
    <w:p>
      <w:pPr>
        <w:pStyle w:val="TOC1"/>
        <w:tabs>
          <w:tab w:pos="9432" w:val="right" w:leader="dot"/>
        </w:tabs>
        <w:spacing w:after="0" w:line="240" w:lineRule="auto" w:before="0"/>
        <w:ind w:left="403" w:hanging="259"/>
      </w:pPr>
      <w:r>
        <w:t>13. Antes de inscribirse o firmar</w:t>
        <w:tab/>
        <w:t>7</w:t>
      </w:r>
    </w:p>
    <w:p>
      <w:pPr>
        <w:pStyle w:val="TOC2"/>
        <w:tabs>
          <w:tab w:pos="9432" w:val="right" w:leader="dot"/>
        </w:tabs>
        <w:spacing w:after="0" w:line="240" w:lineRule="auto" w:before="0"/>
        <w:ind w:left="720" w:hanging="259"/>
      </w:pPr>
      <w:r>
        <w:t>Lista de verificación por escrito</w:t>
        <w:tab/>
        <w:t>7</w:t>
      </w:r>
    </w:p>
    <w:p>
      <w:pPr>
        <w:pStyle w:val="TOC1"/>
        <w:tabs>
          <w:tab w:pos="9432" w:val="right" w:leader="dot"/>
        </w:tabs>
        <w:spacing w:after="0" w:line="240" w:lineRule="auto" w:before="0"/>
        <w:ind w:left="403" w:hanging="259"/>
      </w:pPr>
      <w:r>
        <w:t>14. ¿Esta trayectoria es adecuada para mí?</w:t>
        <w:tab/>
        <w:t>7</w:t>
      </w:r>
    </w:p>
    <w:p>
      <w:pPr>
        <w:pStyle w:val="TOC2"/>
        <w:tabs>
          <w:tab w:pos="9432" w:val="right" w:leader="dot"/>
        </w:tabs>
        <w:spacing w:after="0" w:line="240" w:lineRule="auto" w:before="0"/>
        <w:ind w:left="720" w:hanging="259"/>
      </w:pPr>
      <w:r>
        <w:t>Tabla de evaluación para decidir</w:t>
        <w:tab/>
        <w:t>7</w:t>
      </w:r>
    </w:p>
    <w:p>
      <w:pPr>
        <w:pStyle w:val="TOC1"/>
        <w:tabs>
          <w:tab w:pos="9432" w:val="right" w:leader="dot"/>
        </w:tabs>
        <w:spacing w:after="0" w:line="240" w:lineRule="auto" w:before="0"/>
        <w:ind w:left="403" w:hanging="259"/>
      </w:pPr>
      <w:r>
        <w:t>15. Plan de acción de doce semanas</w:t>
        <w:tab/>
        <w:t>7</w:t>
      </w:r>
    </w:p>
    <w:p>
      <w:pPr>
        <w:pStyle w:val="TOC2"/>
        <w:tabs>
          <w:tab w:pos="9432" w:val="right" w:leader="dot"/>
        </w:tabs>
        <w:spacing w:after="0" w:line="240" w:lineRule="auto" w:before="0"/>
        <w:ind w:left="720" w:hanging="259"/>
      </w:pPr>
      <w:r>
        <w:t>Plan secuencial</w:t>
        <w:tab/>
        <w:t>7</w:t>
      </w:r>
    </w:p>
    <w:p>
      <w:pPr>
        <w:pStyle w:val="TOC1"/>
        <w:tabs>
          <w:tab w:pos="9432" w:val="right" w:leader="dot"/>
        </w:tabs>
        <w:spacing w:after="0" w:line="240" w:lineRule="auto" w:before="0"/>
        <w:ind w:left="403" w:hanging="259"/>
      </w:pPr>
      <w:r>
        <w:t>16. Hojas de trabajo</w:t>
        <w:tab/>
        <w:t>8</w:t>
      </w:r>
    </w:p>
    <w:p>
      <w:pPr>
        <w:pStyle w:val="TOC2"/>
        <w:tabs>
          <w:tab w:pos="9432" w:val="right" w:leader="dot"/>
        </w:tabs>
        <w:spacing w:after="0" w:line="240" w:lineRule="auto" w:before="0"/>
        <w:ind w:left="720" w:hanging="259"/>
      </w:pPr>
      <w:r>
        <w:t>Compatibilidad profesional, costos y acuerdo con la empresa</w:t>
        <w:tab/>
        <w:t>8</w:t>
      </w:r>
    </w:p>
    <w:p>
      <w:pPr>
        <w:pStyle w:val="TOC1"/>
        <w:tabs>
          <w:tab w:pos="9432" w:val="right" w:leader="dot"/>
        </w:tabs>
        <w:spacing w:after="0" w:line="240" w:lineRule="auto" w:before="0"/>
        <w:ind w:left="403" w:hanging="259"/>
      </w:pPr>
      <w:r>
        <w:t>17. Fuentes, control de versiones y mantenimiento</w:t>
        <w:tab/>
        <w:t>8</w:t>
      </w:r>
    </w:p>
    <w:p>
      <w:pPr>
        <w:pStyle w:val="TOC2"/>
        <w:tabs>
          <w:tab w:pos="9432" w:val="right" w:leader="dot"/>
        </w:tabs>
        <w:spacing w:after="0" w:line="240" w:lineRule="auto" w:before="0"/>
        <w:ind w:left="720" w:hanging="259"/>
      </w:pPr>
      <w:r>
        <w:t>Criterios de publicación y proceso de corrección</w:t>
        <w:tab/>
        <w:t>8</w:t>
      </w:r>
    </w:p>
    <w:p>
      <w:pPr>
        <w:spacing w:after="0" w:line="216" w:lineRule="auto"/>
      </w:pPr>
      <w:r>
        <w:rPr>
          <w:sz w:val="16"/>
        </w:rPr>
        <w:br w:type="page"/>
      </w:r>
    </w:p>
    <w:p>
      <w:pPr>
        <w:pStyle w:val="Heading1"/>
      </w:pPr>
      <w:r>
        <w:t>1. Utilice las guías como un sistema de decisión</w:t>
      </w:r>
    </w:p>
    <w:p>
      <w:pPr>
        <w:pStyle w:val="Heading2"/>
      </w:pPr>
      <w:r>
        <w:t>Explorar, verificar, financiar, capacitarse, ingresar, avanzar, adaptarse y salir</w:t>
      </w:r>
    </w:p>
    <w:p>
      <w:pPr>
        <w:pStyle w:val="ListBullet"/>
        <w:ind w:left="403" w:hanging="259"/>
      </w:pPr>
      <w:r>
        <w:t>No comience eligiendo una institución educativa. Comience por comprender el trabajo y sus propias limitaciones.</w:t>
      </w:r>
    </w:p>
    <w:p>
      <w:pPr>
        <w:pStyle w:val="ListBullet"/>
        <w:ind w:left="403" w:hanging="259"/>
      </w:pPr>
      <w:r>
        <w:t>Distinga los requisitos legales de las preferencias de las empresas y de las ventajas opcionales.</w:t>
      </w:r>
    </w:p>
    <w:p>
      <w:pPr>
        <w:pStyle w:val="ListBullet"/>
        <w:ind w:left="403" w:hanging="259"/>
      </w:pPr>
      <w:r>
        <w:t>Deténgase a evaluar antes de pagar, endeudarse, mudarse o firmar un compromiso de servicio.</w:t>
      </w:r>
    </w:p>
    <w:p>
      <w:pPr>
        <w:pStyle w:val="ListBullet"/>
        <w:ind w:left="403" w:hanging="259"/>
      </w:pPr>
      <w:r>
        <w:t>Conserve pruebas por escrito de los costos, las aprobaciones, los resultados, los ajustes razonables y las condiciones de reembolso.</w:t>
      </w:r>
    </w:p>
    <w:p>
      <w:pPr>
        <w:pStyle w:val="Heading1"/>
      </w:pPr>
      <w:r>
        <w:t>2. Comience con la compatibilidad profesional</w:t>
      </w:r>
    </w:p>
    <w:p>
      <w:pPr>
        <w:pStyle w:val="Heading2"/>
      </w:pPr>
      <w:r>
        <w:t>Fortalezas, valores, condiciones y limitaciones</w:t>
      </w:r>
    </w:p>
    <w:p>
      <w:pPr>
        <w:pStyle w:val="ListBullet"/>
        <w:ind w:left="403" w:hanging="259"/>
      </w:pPr>
      <w:r>
        <w:t>Considere sus intereses, fortalezas demostradas, salud, horario, responsabilidades de cuidado, transporte, finanzas, necesidades de acceso, idioma y ubicación.</w:t>
      </w:r>
    </w:p>
    <w:p>
      <w:pPr>
        <w:pStyle w:val="ListBullet"/>
        <w:ind w:left="403" w:hanging="259"/>
      </w:pPr>
      <w:r>
        <w:t>Una carrera sostenible debe ser compatible con el trabajo diario real, no solo con el título o el prestigio imaginado.</w:t>
      </w:r>
    </w:p>
    <w:p>
      <w:pPr>
        <w:pStyle w:val="ListBullet"/>
        <w:ind w:left="403" w:hanging="259"/>
      </w:pPr>
      <w:r>
        <w:t>No minimice una preocupación importante relacionada con la seguridad, las licencias, la deuda, la accesibilidad o la familia por el hecho de que otros aspectos parezcan favorables.</w:t>
      </w:r>
    </w:p>
    <w:p>
      <w:pPr>
        <w:pStyle w:val="Heading1"/>
      </w:pPr>
      <w:r>
        <w:t>3. Comprenda el trabajo real</w:t>
      </w:r>
    </w:p>
    <w:p>
      <w:pPr>
        <w:pStyle w:val="Heading2"/>
      </w:pPr>
      <w:r>
        <w:t>Tareas, herramientas, flujos de trabajo, límites y actividades para probar antes de inscribirse</w:t>
      </w:r>
    </w:p>
    <w:p>
      <w:pPr>
        <w:pStyle w:val="ListBullet"/>
        <w:ind w:left="403" w:hanging="259"/>
      </w:pPr>
      <w:r>
        <w:t>Estudie los ciclos de trabajo diarios, semanales, mensuales y estacionales.</w:t>
      </w:r>
    </w:p>
    <w:p>
      <w:pPr>
        <w:pStyle w:val="ListBullet"/>
        <w:ind w:left="403" w:hanging="259"/>
      </w:pPr>
      <w:r>
        <w:t>Identifique las herramientas, el software, los registros, las tareas físicas, las exigencias emocionales y los requisitos de comunicación.</w:t>
      </w:r>
    </w:p>
    <w:p>
      <w:pPr>
        <w:pStyle w:val="ListBullet"/>
        <w:ind w:left="403" w:hanging="259"/>
      </w:pPr>
      <w:r>
        <w:t>Aprenda qué puede decidir la persona de manera independiente y qué requiere aprobación o escalamiento.</w:t>
      </w:r>
    </w:p>
    <w:p>
      <w:pPr>
        <w:pStyle w:val="ListBullet"/>
        <w:ind w:left="403" w:hanging="259"/>
      </w:pPr>
      <w:r>
        <w:t>Pruebe la compatibilidad mediante observación, entrevistas, simulaciones públicas o ficticias, aprendizaje gratuito y revisión de ofertas de empleo actuales.</w:t>
      </w:r>
    </w:p>
    <w:p>
      <w:pPr>
        <w:pStyle w:val="Heading1"/>
      </w:pPr>
      <w:r>
        <w:t>4. Investigue salarios, beneficios y perspectivas</w:t>
      </w:r>
    </w:p>
    <w:p>
      <w:pPr>
        <w:pStyle w:val="Heading2"/>
      </w:pPr>
      <w:r>
        <w:t>Contexto nacional y verificación local</w:t>
      </w:r>
    </w:p>
    <w:p>
      <w:pPr>
        <w:pStyle w:val="ListBullet"/>
        <w:ind w:left="403" w:hanging="259"/>
      </w:pPr>
      <w:r>
        <w:t>Utilice los datos oficiales actuales sobre salarios y proyecciones como punto de partida, no como promesa.</w:t>
      </w:r>
    </w:p>
    <w:p>
      <w:pPr>
        <w:pStyle w:val="ListBullet"/>
        <w:ind w:left="403" w:hanging="259"/>
      </w:pPr>
      <w:r>
        <w:t>Compare el pago por hora y anual para el puesto, las funciones, la ubicación, el horario y la modalidad laboral exactos.</w:t>
      </w:r>
    </w:p>
    <w:p>
      <w:pPr>
        <w:pStyle w:val="ListBullet"/>
        <w:ind w:left="403" w:hanging="259"/>
      </w:pPr>
      <w:r>
        <w:t>Distinga el salario base de las horas extra, bonificaciones, comisiones, propinas, diferenciales y viáticos.</w:t>
      </w:r>
    </w:p>
    <w:p>
      <w:pPr>
        <w:pStyle w:val="ListBullet"/>
        <w:ind w:left="403" w:hanging="259"/>
      </w:pPr>
      <w:r>
        <w:t>Calcule el valor del seguro de salud, la jubilación, las licencias pagadas, los beneficios educativos, las herramientas, las licencias profesionales, los viajes y los costos no remunerados.</w:t>
      </w:r>
    </w:p>
    <w:p>
      <w:pPr>
        <w:pStyle w:val="Heading1"/>
      </w:pPr>
      <w:r>
        <w:t>5. Construya una trayectoria educativa confiable</w:t>
      </w:r>
    </w:p>
    <w:p>
      <w:pPr>
        <w:pStyle w:val="Heading2"/>
      </w:pPr>
      <w:r>
        <w:t>Aprendizaje gratuito como primera opción; instituciones educativas, acreditación, licencias y portabilidad</w:t>
      </w:r>
    </w:p>
    <w:p>
      <w:pPr>
        <w:pStyle w:val="ListBullet"/>
        <w:ind w:left="403" w:hanging="259"/>
      </w:pPr>
      <w:r>
        <w:t>Comience con bibliotecas públicas, educación para personas adultas, cursos abiertos confiables, capacitación empresarial, instituciones públicas, sindicatos, programas de aprendizaje y programas reconocidos sin fines de lucro.</w:t>
      </w:r>
    </w:p>
    <w:p>
      <w:pPr>
        <w:pStyle w:val="ListBullet"/>
        <w:ind w:left="403" w:hanging="259"/>
      </w:pPr>
      <w:r>
        <w:t>Verifique la acreditación institucional y del programa, la aprobación para licencias, la elegibilidad para exámenes, la transferencia de créditos, las prácticas y la portabilidad de las credenciales.</w:t>
      </w:r>
    </w:p>
    <w:p>
      <w:pPr>
        <w:pStyle w:val="ListBullet"/>
        <w:ind w:left="403" w:hanging="259"/>
      </w:pPr>
      <w:r>
        <w:t>Revise la información sobre costo total, finalización, aprobación de exámenes, deuda, colocación laboral, reembolsos, reclamaciones, cierre institucional y acceso al expediente académico.</w:t>
      </w:r>
    </w:p>
    <w:p>
      <w:pPr>
        <w:pStyle w:val="Heading1"/>
      </w:pPr>
      <w:r>
        <w:t>6. Utilice con cuidado la educación financiada por la empresa</w:t>
      </w:r>
    </w:p>
    <w:p>
      <w:pPr>
        <w:pStyle w:val="Heading2"/>
      </w:pPr>
      <w:r>
        <w:t>Asistencia educativa, reembolso, pasantías, programas de aprendizaje y trayectorias de ascenso</w:t>
      </w:r>
    </w:p>
    <w:p>
      <w:pPr>
        <w:pStyle w:val="ListBullet"/>
        <w:ind w:left="403" w:hanging="259"/>
      </w:pPr>
      <w:r>
        <w:t>Las empresas pueden pagar directamente la matrícula, reembolsar los gastos al finalizar, cubrir exámenes y licencias, otorgar becas u ofrecer préstamos educativos condonables.</w:t>
      </w:r>
    </w:p>
    <w:p>
      <w:pPr>
        <w:pStyle w:val="ListBullet"/>
        <w:ind w:left="403" w:hanging="259"/>
      </w:pPr>
      <w:r>
        <w:t>Un compromiso de servicio puede durar hasta dos años y exigir el reembolso total o proporcional después de una salida voluntaria.</w:t>
      </w:r>
    </w:p>
    <w:p>
      <w:pPr>
        <w:pStyle w:val="ListBullet"/>
        <w:ind w:left="403" w:hanging="259"/>
      </w:pPr>
      <w:r>
        <w:t>Los acuerdos escritos deben contemplar despido por reducción de personal, eliminación del puesto, cierre, reestructuración, discapacidad, servicio militar, jubilación, fallecimiento y traslado ordenado por la empresa.</w:t>
      </w:r>
    </w:p>
    <w:p>
      <w:pPr>
        <w:pStyle w:val="ListBullet"/>
        <w:ind w:left="403" w:hanging="259"/>
      </w:pPr>
      <w:r>
        <w:t>Verifique el pago, los beneficios, la supervisión, las horas, el reconocimiento académico o para licencias, la progresión salarial, la cobertura por accidentes laborales y la portabilidad del aprendizaje basado en el trabajo.</w:t>
      </w:r>
    </w:p>
    <w:p>
      <w:pPr>
        <w:pStyle w:val="Heading1"/>
      </w:pPr>
      <w:r>
        <w:t>7. Comprenda los beneficios tributarios para la educación</w:t>
      </w:r>
    </w:p>
    <w:p>
      <w:pPr>
        <w:pStyle w:val="Heading2"/>
      </w:pPr>
      <w:r>
        <w:t>Créditos federales, Sección 127 y límites sobre beneficios dobles</w:t>
      </w:r>
    </w:p>
    <w:p>
      <w:pPr>
        <w:pStyle w:val="ListBullet"/>
        <w:ind w:left="403" w:hanging="259"/>
      </w:pPr>
      <w:r>
        <w:t>El Crédito Tributario de Oportunidad Estadounidense y el Crédito por Aprendizaje de por Vida tienen distintas reglas de elegibilidad, gastos, ingresos e inscripción.</w:t>
      </w:r>
    </w:p>
    <w:p>
      <w:pPr>
        <w:pStyle w:val="ListBullet"/>
        <w:ind w:left="403" w:hanging="259"/>
      </w:pPr>
      <w:r>
        <w:t>Un programa empresarial de asistencia educativa que cumpla los requisitos puede ofrecer beneficios tributarios conforme a la Sección 127 del Código de Impuestos Internos, sujeto a las normas vigentes.</w:t>
      </w:r>
    </w:p>
    <w:p>
      <w:pPr>
        <w:pStyle w:val="ListBullet"/>
        <w:ind w:left="403" w:hanging="259"/>
      </w:pPr>
      <w:r>
        <w:t>Por lo general, un mismo gasto no puede utilizarse para obtener varios beneficios tributarios.</w:t>
      </w:r>
    </w:p>
    <w:p>
      <w:pPr>
        <w:pStyle w:val="ListBullet"/>
        <w:ind w:left="403" w:hanging="259"/>
      </w:pPr>
      <w:r>
        <w:t>Consulte las orientaciones vigentes del IRS o asesoramiento tributario calificado para su situación particular.</w:t>
      </w:r>
    </w:p>
    <w:p>
      <w:pPr>
        <w:pStyle w:val="Heading1"/>
      </w:pPr>
      <w:r>
        <w:t>8. Protéjase antes de inscribirse</w:t>
      </w:r>
    </w:p>
    <w:p>
      <w:pPr>
        <w:pStyle w:val="Heading2"/>
      </w:pPr>
      <w:r>
        <w:t>Costo total, resultados, cierre, reclamaciones y fraude</w:t>
      </w:r>
    </w:p>
    <w:p>
      <w:pPr>
        <w:pStyle w:val="ListBullet"/>
        <w:ind w:left="403" w:hanging="259"/>
      </w:pPr>
      <w:r>
        <w:t>Calcule la matrícula, las tarifas, los libros, las herramientas, el software, los uniformes, los exámenes, las licencias, las verificaciones, los viajes, el estacionamiento, el cuidado infantil, la vivienda y los salarios perdidos.</w:t>
      </w:r>
    </w:p>
    <w:p>
      <w:pPr>
        <w:pStyle w:val="ListBullet"/>
        <w:ind w:left="403" w:hanging="259"/>
      </w:pPr>
      <w:r>
        <w:t>Pregunte cómo se define la colocación laboral y si se cuentan los trabajos temporales, de tiempo parcial o no relacionados.</w:t>
      </w:r>
    </w:p>
    <w:p>
      <w:pPr>
        <w:pStyle w:val="ListBullet"/>
        <w:ind w:left="403" w:hanging="259"/>
      </w:pPr>
      <w:r>
        <w:t>Verifique las protecciones relacionadas con la finalización del programa, el expediente académico, las transferencias, los reembolsos, las reclamaciones y el cierre institucional.</w:t>
      </w:r>
    </w:p>
    <w:p>
      <w:pPr>
        <w:pStyle w:val="ListBullet"/>
        <w:ind w:left="403" w:hanging="259"/>
      </w:pPr>
      <w:r>
        <w:t>Evite la presión, las afirmaciones de empleo garantizado, los costos ocultos, las afiliaciones empresariales falsas y las condiciones de reembolso ambiguas.</w:t>
      </w:r>
    </w:p>
    <w:p>
      <w:pPr>
        <w:pStyle w:val="Heading1"/>
      </w:pPr>
      <w:r>
        <w:t>9. Comprenda los derechos y riesgos laborales</w:t>
      </w:r>
    </w:p>
    <w:p>
      <w:pPr>
        <w:pStyle w:val="Heading2"/>
      </w:pPr>
      <w:r>
        <w:t>Pago, clasificación, verificaciones de antecedentes y autorización de trabajo</w:t>
      </w:r>
    </w:p>
    <w:p>
      <w:pPr>
        <w:pStyle w:val="ListBullet"/>
        <w:ind w:left="403" w:hanging="259"/>
      </w:pPr>
      <w:r>
        <w:t>La capacitación obligatoria, las horas extra, los traslados entre centros, las deducciones y las pasantías no remuneradas pueden estar regulados.</w:t>
      </w:r>
    </w:p>
    <w:p>
      <w:pPr>
        <w:pStyle w:val="ListBullet"/>
        <w:ind w:left="403" w:hanging="259"/>
      </w:pPr>
      <w:r>
        <w:t>Las clasificaciones como empleado, contratista, trabajador de plataforma, temporal, por jornada o exclusivamente por comisión tienen consecuencias diferentes.</w:t>
      </w:r>
    </w:p>
    <w:p>
      <w:pPr>
        <w:pStyle w:val="ListBullet"/>
        <w:ind w:left="403" w:hanging="259"/>
      </w:pPr>
      <w:r>
        <w:t>Los requisitos sobre antecedentes, pruebas de drogas, conducción, salud, huellas dactilares y conducta varían según la ocupación y la jurisdicción.</w:t>
      </w:r>
    </w:p>
    <w:p>
      <w:pPr>
        <w:pStyle w:val="ListBullet"/>
        <w:ind w:left="403" w:hanging="259"/>
      </w:pPr>
      <w:r>
        <w:t>La elegibilidad para recibir capacitación no crea automáticamente autorización de trabajo ni permiso para realizar labores sujetas a licencia.</w:t>
      </w:r>
    </w:p>
    <w:p>
      <w:pPr>
        <w:pStyle w:val="Heading1"/>
      </w:pPr>
      <w:r>
        <w:t>10. Planifique la accesibilidad y la inclusión</w:t>
      </w:r>
    </w:p>
    <w:p>
      <w:pPr>
        <w:pStyle w:val="Heading2"/>
      </w:pPr>
      <w:r>
        <w:t>Ajustes razonables durante toda la trayectoria</w:t>
      </w:r>
    </w:p>
    <w:p>
      <w:pPr>
        <w:pStyle w:val="ListBullet"/>
        <w:ind w:left="403" w:hanging="259"/>
      </w:pPr>
      <w:r>
        <w:t>Verifique los ajustes razonables para admisiones, clases, plataformas digitales, laboratorios, simulaciones, prácticas, programas de aprendizaje, transporte, procedimientos de emergencia y exámenes de certificación.</w:t>
      </w:r>
    </w:p>
    <w:p>
      <w:pPr>
        <w:pStyle w:val="ListBullet"/>
        <w:ind w:left="403" w:hanging="259"/>
      </w:pPr>
      <w:r>
        <w:t>Las instituciones educativas, empresas, entidades patrocinadoras, centros de prácticas y organismos examinadores pueden tener procesos separados.</w:t>
      </w:r>
    </w:p>
    <w:p>
      <w:pPr>
        <w:pStyle w:val="ListBullet"/>
        <w:ind w:left="403" w:hanging="259"/>
      </w:pPr>
      <w:r>
        <w:t>La admisión por sí sola no garantiza que toda la trayectoria sea accesible.</w:t>
      </w:r>
    </w:p>
    <w:p>
      <w:pPr>
        <w:pStyle w:val="ListBullet"/>
        <w:ind w:left="403" w:hanging="259"/>
      </w:pPr>
      <w:r>
        <w:t>Utilice un lenguaje que evite el edadismo, el capacitismo, los prejuicios de clase o migratorios, las suposiciones de género y el elitismo educativo.</w:t>
      </w:r>
    </w:p>
    <w:p>
      <w:pPr>
        <w:pStyle w:val="Heading1"/>
      </w:pPr>
      <w:r>
        <w:t>11. Proteja la seguridad, la privacidad y la integridad</w:t>
      </w:r>
    </w:p>
    <w:p>
      <w:pPr>
        <w:pStyle w:val="Heading2"/>
      </w:pPr>
      <w:r>
        <w:t>Ciberseguridad, inteligencia artificial ética y seguridad psicológica</w:t>
      </w:r>
    </w:p>
    <w:p>
      <w:pPr>
        <w:pStyle w:val="ListBullet"/>
        <w:ind w:left="403" w:hanging="259"/>
      </w:pPr>
      <w:r>
        <w:t>No introduzca información confidencial personal, empresarial, estudiantil, médica, de clientes o financiera en herramientas públicas de inteligencia artificial.</w:t>
      </w:r>
    </w:p>
    <w:p>
      <w:pPr>
        <w:pStyle w:val="ListBullet"/>
        <w:ind w:left="403" w:hanging="259"/>
      </w:pPr>
      <w:r>
        <w:t>Verifique los resultados de la inteligencia artificial con fuentes oficiales y con el criterio de personas responsables.</w:t>
      </w:r>
    </w:p>
    <w:p>
      <w:pPr>
        <w:pStyle w:val="ListBullet"/>
        <w:ind w:left="403" w:hanging="259"/>
      </w:pPr>
      <w:r>
        <w:t>No invente credenciales, referencias, logros, registros ni muestras de trabajo.</w:t>
      </w:r>
    </w:p>
    <w:p>
      <w:pPr>
        <w:pStyle w:val="ListBullet"/>
        <w:ind w:left="403" w:hanging="259"/>
      </w:pPr>
      <w:r>
        <w:t>Investigue la fatiga, el agotamiento, la exposición traumática, la violencia laboral, las lesiones por esfuerzo repetitivo, las condiciones peligrosas, la supervisión y la autoridad para detener el trabajo.</w:t>
      </w:r>
    </w:p>
    <w:p>
      <w:pPr>
        <w:pStyle w:val="Heading1"/>
      </w:pPr>
      <w:r>
        <w:t>12. Planifique el avance y la salida</w:t>
      </w:r>
    </w:p>
    <w:p>
      <w:pPr>
        <w:pStyle w:val="Heading2"/>
      </w:pPr>
      <w:r>
        <w:t>Portabilidad, trabajo independiente y valor conservado</w:t>
      </w:r>
    </w:p>
    <w:p>
      <w:pPr>
        <w:pStyle w:val="ListBullet"/>
        <w:ind w:left="403" w:hanging="259"/>
      </w:pPr>
      <w:r>
        <w:t>Trace los puestos de entrada, intermedios, especializados, de supervisión, enseñanza y áreas relacionadas.</w:t>
      </w:r>
    </w:p>
    <w:p>
      <w:pPr>
        <w:pStyle w:val="ListBullet"/>
        <w:ind w:left="403" w:hanging="259"/>
      </w:pPr>
      <w:r>
        <w:t>Verifique qué educación, experiencia, licencia, evidencias y cambio salarial requiere cada etapa.</w:t>
      </w:r>
    </w:p>
    <w:p>
      <w:pPr>
        <w:pStyle w:val="ListBullet"/>
        <w:ind w:left="403" w:hanging="259"/>
      </w:pPr>
      <w:r>
        <w:t>Conserve expedientes académicos, licencias, horas de aprendizaje, evaluaciones, registros tributarios, acuerdos de reembolso y decisiones sobre ajustes razonables.</w:t>
      </w:r>
    </w:p>
    <w:p>
      <w:pPr>
        <w:pStyle w:val="ListBullet"/>
        <w:ind w:left="403" w:hanging="259"/>
      </w:pPr>
      <w:r>
        <w:t>Identifique qué seguirá siendo útil si hace una pausa, se transfiere, se muda o abandona la trayectoria.</w:t>
      </w:r>
    </w:p>
    <w:p>
      <w:pPr>
        <w:pStyle w:val="Heading1"/>
      </w:pPr>
      <w:r>
        <w:t>13. Antes de inscribirse o firmar</w:t>
      </w:r>
    </w:p>
    <w:p>
      <w:pPr>
        <w:pStyle w:val="Heading2"/>
      </w:pPr>
      <w:r>
        <w:t>Lista de verificación por escrito</w:t>
      </w:r>
    </w:p>
    <w:p>
      <w:pPr>
        <w:pStyle w:val="ListBullet"/>
        <w:ind w:left="403" w:hanging="259"/>
      </w:pPr>
      <w:r>
        <w:t>Requisitos legales y empresariales exactos.</w:t>
      </w:r>
    </w:p>
    <w:p>
      <w:pPr>
        <w:pStyle w:val="ListBullet"/>
        <w:ind w:left="403" w:hanging="259"/>
      </w:pPr>
      <w:r>
        <w:t>Costo completo y plan de financiamiento prudente.</w:t>
      </w:r>
    </w:p>
    <w:p>
      <w:pPr>
        <w:pStyle w:val="ListBullet"/>
        <w:ind w:left="403" w:hanging="259"/>
      </w:pPr>
      <w:r>
        <w:t>Acreditación, aprobación, elegibilidad para exámenes, transferencia y portabilidad.</w:t>
      </w:r>
    </w:p>
    <w:p>
      <w:pPr>
        <w:pStyle w:val="ListBullet"/>
        <w:ind w:left="403" w:hanging="259"/>
      </w:pPr>
      <w:r>
        <w:t>Colocación laboral, resultados, reembolsos, reclamaciones, cierre y registros.</w:t>
      </w:r>
    </w:p>
    <w:p>
      <w:pPr>
        <w:pStyle w:val="ListBullet"/>
        <w:ind w:left="403" w:hanging="259"/>
      </w:pPr>
      <w:r>
        <w:t>Cobertura empresarial, periodo de servicio, reembolso proporcional, disposiciones por despido y deducciones.</w:t>
      </w:r>
    </w:p>
    <w:p>
      <w:pPr>
        <w:pStyle w:val="ListBullet"/>
        <w:ind w:left="403" w:hanging="259"/>
      </w:pPr>
      <w:r>
        <w:t>Impacto del horario, los viajes, las responsabilidades de cuidado, la salud, la accesibilidad y la seguridad.</w:t>
      </w:r>
    </w:p>
    <w:p>
      <w:pPr>
        <w:pStyle w:val="ListBullet"/>
        <w:ind w:left="403" w:hanging="259"/>
      </w:pPr>
      <w:r>
        <w:t>Lo que conserva y lo que debe si no puede terminar.</w:t>
      </w:r>
    </w:p>
    <w:p>
      <w:pPr>
        <w:pStyle w:val="Heading1"/>
      </w:pPr>
      <w:r>
        <w:t>14. ¿Esta trayectoria es adecuada para mí?</w:t>
      </w:r>
    </w:p>
    <w:p>
      <w:pPr>
        <w:pStyle w:val="Heading2"/>
      </w:pPr>
      <w:r>
        <w:t>Tabla de evaluación para decidir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D9EAF7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Pregunta</w:t>
            </w:r>
          </w:p>
        </w:tc>
        <w:tc>
          <w:tcPr>
            <w:tcW w:type="dxa" w:w="2541"/>
            <w:shd w:fill="D9EAF7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Sí</w:t>
            </w:r>
          </w:p>
        </w:tc>
        <w:tc>
          <w:tcPr>
            <w:tcW w:type="dxa" w:w="2541"/>
            <w:shd w:fill="D9EAF7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Todavía no</w:t>
            </w:r>
          </w:p>
        </w:tc>
        <w:tc>
          <w:tcPr>
            <w:tcW w:type="dxa" w:w="2541"/>
            <w:shd w:fill="D9EAF7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Preocupación importante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Comprendo el trabajo diario y puse a prueba mi interés.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Verifiqué los requisitos y salarios locales.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El costo total es asequible.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Comprendo las condiciones de reembolso de la empresa.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Toda la trayectoria es accesible.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El horario y el impacto en el hogar son manejables.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Tengo un plan de avance y salida.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</w:tbl>
    <w:p>
      <w:pPr>
        <w:pStyle w:val="Heading1"/>
      </w:pPr>
      <w:r>
        <w:t>15.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Semanas 1–2: Defina sus fortalezas, limitaciones, necesidades de acceso y condiciones no negociables.</w:t>
      </w:r>
    </w:p>
    <w:p>
      <w:pPr>
        <w:pStyle w:val="ListNumber"/>
      </w:pPr>
      <w:r>
        <w:t>Semanas 3–4: Estudie las ocupaciones, entornos, herramientas, flujos de trabajo, riesgos y límites.</w:t>
      </w:r>
    </w:p>
    <w:p>
      <w:pPr>
        <w:pStyle w:val="ListNumber"/>
      </w:pPr>
      <w:r>
        <w:t>Semanas 5–6: Revise ofertas de empleo locales, salarios, beneficios, horarios y requisitos.</w:t>
      </w:r>
    </w:p>
    <w:p>
      <w:pPr>
        <w:pStyle w:val="ListNumber"/>
      </w:pPr>
      <w:r>
        <w:t>Semanas 7–8: Compare instituciones educativas, programas de aprendizaje, trayectorias empresariales, credenciales y costos.</w:t>
      </w:r>
    </w:p>
    <w:p>
      <w:pPr>
        <w:pStyle w:val="ListNumber"/>
      </w:pPr>
      <w:r>
        <w:t>Semanas 9–10: Verifique el financiamiento, las cuestiones tributarias, los acuerdos de servicio, los ajustes razonables y las consecuencias de salida.</w:t>
      </w:r>
    </w:p>
    <w:p>
      <w:pPr>
        <w:pStyle w:val="ListNumber"/>
      </w:pPr>
      <w:r>
        <w:t>Semanas 11–12: Complete muestras de trabajo éticas, prepare evidencias para sus solicitudes y decida si continúa, hace una pausa o cambia de dirección.</w:t>
      </w:r>
    </w:p>
    <w:p>
      <w:pPr>
        <w:pStyle w:val="Heading1"/>
      </w:pPr>
      <w:r>
        <w:t>16. Hojas de trabajo</w:t>
      </w:r>
    </w:p>
    <w:p>
      <w:pPr>
        <w:pStyle w:val="Heading2"/>
      </w:pPr>
      <w:r>
        <w:t>Compatibilidad profesional, costos y acuerdo con la empresa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Pregunta sobre compatibilidad profesional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Sus notas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7"/>
              </w:rPr>
              <w:t>Tareas que disfrutaría realizar repetidamente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7"/>
              </w:rPr>
              <w:t>Tareas o condiciones que debería evitar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7"/>
              </w:rPr>
              <w:t>Límites de horario y transporte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7"/>
              </w:rPr>
              <w:t>Necesidades de accesibilidad y ajustes razonables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7"/>
              </w:rPr>
              <w:t>Consideraciones familiares y de cuidado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7"/>
              </w:rPr>
              <w:t>Evidencias de que esta trayectoria es adecuada para mí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D9EAF7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Categoría de costo</w:t>
            </w:r>
          </w:p>
        </w:tc>
        <w:tc>
          <w:tcPr>
            <w:tcW w:type="dxa" w:w="2541"/>
            <w:shd w:fill="D9EAF7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Estimación</w:t>
            </w:r>
          </w:p>
        </w:tc>
        <w:tc>
          <w:tcPr>
            <w:tcW w:type="dxa" w:w="2541"/>
            <w:shd w:fill="D9EAF7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¿Quién podría pagar?</w:t>
            </w:r>
          </w:p>
        </w:tc>
        <w:tc>
          <w:tcPr>
            <w:tcW w:type="dxa" w:w="2541"/>
            <w:shd w:fill="D9EAF7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Fuente/fecha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Matrícula y tarifas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Libros, software, herramientas y equipo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Exámenes, licencias y renovaciones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Viajes, estacionamiento, vivienda y comidas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Cuidado infantil o de personas mayores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Salarios perdidos o reducción de horas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Otros costos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Pregunta sobre el acuerdo con la empresa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Respuesta por escrito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7"/>
              </w:rPr>
              <w:t>¿Qué está cubierto?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7"/>
              </w:rPr>
              <w:t>¿Pago directo o reembolso?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7"/>
              </w:rPr>
              <w:t>¿Calificación o resultado de examen exigido?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7"/>
              </w:rPr>
              <w:t>¿Periodo de empleo?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7"/>
              </w:rPr>
              <w:t>¿Fórmula de reembolso proporcional?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7"/>
              </w:rPr>
              <w:t>¿Tratamiento en caso de despido o eliminación del puesto?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7"/>
              </w:rPr>
              <w:t>¿Tratamiento en caso de discapacidad, servicio militar, jubilación, traslado o cierre?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7"/>
              </w:rPr>
              <w:t>¿Autorización para deducir del salario final?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7"/>
              </w:rPr>
              <w:t>¿Propiedad de las credenciales y los registros?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</w:tbl>
    <w:p>
      <w:pPr>
        <w:pStyle w:val="Heading1"/>
      </w:pPr>
      <w:r>
        <w:t>17. Fuentes, control de versiones y mantenimiento</w:t>
      </w:r>
    </w:p>
    <w:p>
      <w:pPr>
        <w:pStyle w:val="Heading2"/>
      </w:pPr>
      <w:r>
        <w:t>Criterios de publicación y proceso de corrección</w:t>
      </w:r>
    </w:p>
    <w:p>
      <w:pPr>
        <w:pStyle w:val="ListBullet"/>
        <w:ind w:left="403" w:hanging="259"/>
      </w:pPr>
      <w:r>
        <w:t>Utilice leyes primarias, organismos reguladores, orientaciones tributarias, juntas de licencias, organismos de acreditación, estadísticas oficiales, patrocinadores de programas de aprendizaje, sindicatos, instituciones públicas y asociaciones profesionales reconocidas.</w:t>
      </w:r>
    </w:p>
    <w:p>
      <w:pPr>
        <w:pStyle w:val="ListBullet"/>
        <w:ind w:left="403" w:hanging="259"/>
      </w:pPr>
      <w:r>
        <w:t>Revise al menos una vez al año la información sobre salarios, perspectivas, impuestos, licencias, educación, programas de aprendizaje y enlaces.</w:t>
      </w:r>
    </w:p>
    <w:p>
      <w:pPr>
        <w:pStyle w:val="ListBullet"/>
        <w:ind w:left="403" w:hanging="259"/>
      </w:pPr>
      <w:r>
        <w:t>Una guía se convierte en v1.0 únicamente después de superar las revisiones factual, ética, de accesibilidad, editorial, de representación visual, de PDF con búsqueda, de análisis crítico y de aprobación del propietario.</w:t>
      </w:r>
    </w:p>
    <w:p>
      <w:pPr>
        <w:pStyle w:val="ListBullet"/>
        <w:ind w:left="403" w:hanging="259"/>
      </w:pPr>
      <w:r>
        <w:t>Utilice el proceso de corrección del proyecto para errores, enlaces rotos, barreras de accesibilidad e información desactualizada.</w:t>
      </w:r>
    </w:p>
    <w:p>
      <w:pPr>
        <w:pStyle w:val="ListBullet"/>
        <w:ind w:left="403" w:hanging="259"/>
      </w:pPr>
      <w:r>
        <w:t>Créditos educativos del IRS: https://www.irs.gov/credits-deductions/individuals/education-credits-aotc-and-llc</w:t>
      </w:r>
    </w:p>
    <w:p>
      <w:pPr>
        <w:pStyle w:val="ListBullet"/>
        <w:ind w:left="403" w:hanging="259"/>
      </w:pPr>
      <w:r>
        <w:t>Sección 127 del IRS: https://www.irs.gov/newsroom/irs-updates-frequently-asked-questions-about-section-127-educational-assistance-programs</w:t>
      </w:r>
    </w:p>
    <w:p>
      <w:pPr>
        <w:pStyle w:val="ListBullet"/>
        <w:ind w:left="403" w:hanging="259"/>
      </w:pPr>
      <w:r>
        <w:t>Apprenticeship.gov: https://www.apprenticeship.gov/</w:t>
      </w:r>
    </w:p>
    <w:p>
      <w:pPr>
        <w:pStyle w:val="ListBullet"/>
        <w:ind w:left="403" w:hanging="259"/>
      </w:pPr>
      <w:r>
        <w:t>Acreditación del Departamento de Educación de Estados Unidos: https://www.ed.gov/accreditation</w:t>
      </w:r>
    </w:p>
    <w:p>
      <w:pPr>
        <w:pStyle w:val="ListBullet"/>
        <w:ind w:left="403" w:hanging="259"/>
      </w:pPr>
      <w:r>
        <w:t>Discriminación por discapacidad de la EEOC: https://www.eeoc.gov/disability-discrimination</w:t>
      </w:r>
    </w:p>
    <w:p>
      <w:pPr>
        <w:pStyle w:val="ListBullet"/>
        <w:ind w:left="403" w:hanging="259"/>
      </w:pPr>
      <w:r>
        <w:t>Recursos para trabajadores del Departamento de Trabajo de Estados Unidos: https://www.dol.gov/general/topic</w:t>
      </w:r>
    </w:p>
    <w:p>
      <w:pPr>
        <w:pStyle w:val="Callout"/>
      </w:pPr>
      <w:r>
        <w:rPr>
          <w:b/>
        </w:rPr>
        <w:t>Principio rector final: cuando la rapidez y la integridad entran en conflicto, prevalece la integridad. Cuando la seguridad aparente y la incertidumbre entran en conflicto, debe declararse la incertidumbre. Cuando el interés de una institución entra en conflicto con la protección de quien lee, la persona lectora ocupa el primer lugar.</w:t>
      </w:r>
      <w:r/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Recurso educativo gratuito • Alberto (Al) Leiva • CC BY-NC-SA 4.0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Oportunidad para Toda la Vida | Foundation Guide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ind w:left="360" w:right="360"/>
    </w:pPr>
    <w:rPr>
      <w:rFonts w:ascii="Aptos" w:hAnsi="Aptos"/>
      <w:i/>
      <w:sz w:val="20"/>
    </w:rPr>
  </w:style>
  <w:style w:type="paragraph" w:customStyle="1" w:styleId="TOC1">
    <w:name w:val="TOC 1"/>
    <w:basedOn w:val="Normal"/>
    <w:pPr>
      <w:tabs>
        <w:tab w:pos="9432" w:val="right" w:leader="dot"/>
      </w:tabs>
      <w:spacing w:before="0" w:after="0" w:line="240" w:lineRule="auto"/>
      <w:ind w:left="0" w:firstLine="0"/>
    </w:pPr>
    <w:rPr>
      <w:sz w:val="20"/>
    </w:rPr>
  </w:style>
  <w:style w:type="paragraph" w:customStyle="1" w:styleId="TOC2">
    <w:name w:val="TOC 2"/>
    <w:basedOn w:val="Normal"/>
    <w:pPr>
      <w:tabs>
        <w:tab w:pos="9432" w:val="right" w:leader="dot"/>
      </w:tabs>
      <w:spacing w:before="0" w:after="0" w:line="240" w:lineRule="auto"/>
      <w:ind w:left="317" w:firstLine="0"/>
    </w:pPr>
    <w:rPr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Oportunidad para Toda la Vida: Elegir un trabajo que pueda disfrutar</dc:title>
  <dc:subject>Guía fundamental en español neutro</dc:subject>
  <dc:creator>Alberto (Al) Leiva</dc:creator>
  <cp:keywords>educación, orientación profesional, accesibilidad, reinvención, español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