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d08cec72ff0ab641bb2dafd225f14d4b37b106"/>
    <w:p>
      <w:pPr>
        <w:pStyle w:val="Heading1"/>
      </w:pPr>
      <w:r>
        <w:t xml:space="preserve">Guía Fundacional de Oportunidades para Toda la Vida</w:t>
      </w:r>
    </w:p>
    <w:bookmarkStart w:id="20" w:name="elegir-un-trabajo-que-pueda-disfrutar"/>
    <w:p>
      <w:pPr>
        <w:pStyle w:val="Heading2"/>
      </w:pPr>
      <w:r>
        <w:t xml:space="preserve">Elegir un trabajo que pueda disfrutar</w:t>
      </w:r>
    </w:p>
    <w:p>
      <w:pPr>
        <w:pStyle w:val="FirstParagraph"/>
      </w:pPr>
      <w:r>
        <w:rPr>
          <w:bCs/>
          <w:b/>
        </w:rPr>
        <w:t xml:space="preserve">Una guía gratuita sobre afinidad profesional, educación accesible, inclusión, financiamiento y reinvención a lo largo de la vida</w:t>
      </w:r>
    </w:p>
    <w:p>
      <w:pPr>
        <w:pStyle w:val="BodyText"/>
      </w:pPr>
      <w:r>
        <w:t xml:space="preserve">Para personas de todas las edades, capacidades, trayectorias y niveles de ingreso.</w:t>
      </w:r>
    </w:p>
    <w:p>
      <w:pPr>
        <w:pStyle w:val="BodyText"/>
      </w:pPr>
      <w:r>
        <w:rPr>
          <w:bCs/>
          <w:b/>
        </w:rPr>
        <w:t xml:space="preserve">Creada y dirigida por:</w:t>
      </w:r>
      <w:r>
        <w:t xml:space="preserve"> </w:t>
      </w:r>
      <w:r>
        <w:t xml:space="preserve">Alberto “Al” Leiva</w:t>
      </w:r>
      <w:r>
        <w:br/>
      </w:r>
      <w:r>
        <w:rPr>
          <w:bCs/>
          <w:b/>
        </w:rPr>
        <w:t xml:space="preserve">Edición en español latinoamericano neutral:</w:t>
      </w:r>
      <w:r>
        <w:t xml:space="preserve"> </w:t>
      </w:r>
      <w:r>
        <w:t xml:space="preserve">Versión 1.1, borrador maestro integrado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 de agosto de 2026</w:t>
      </w:r>
      <w:r>
        <w:br/>
      </w:r>
      <w:r>
        <w:rPr>
          <w:bCs/>
          <w:b/>
        </w:rPr>
        <w:t xml:space="preserve">Licencia:</w:t>
      </w:r>
      <w:r>
        <w:t xml:space="preserve"> </w:t>
      </w:r>
      <w:r>
        <w:t xml:space="preserve">CC BY-NC-SA 4.0</w:t>
      </w:r>
    </w:p>
    <w:p>
      <w:pPr>
        <w:pStyle w:val="BodyText"/>
      </w:pPr>
      <w:r>
        <w:rPr>
          <w:bCs/>
          <w:b/>
        </w:rPr>
        <w:t xml:space="preserve">Estado editorial:</w:t>
      </w:r>
      <w:r>
        <w:t xml:space="preserve"> </w:t>
      </w:r>
      <w:r>
        <w:t xml:space="preserve">traducción asistida por IA y revisada para integridad, terminología, estructura y legibilidad. No ha sido certificada de manera independiente por un traductor profesional, organismo acreditador ni entidad reguladora.</w:t>
      </w:r>
    </w:p>
    <w:bookmarkEnd w:id="20"/>
    <w:bookmarkStart w:id="21" w:name="la-promesa-de-esta-guía"/>
    <w:p>
      <w:pPr>
        <w:pStyle w:val="Heading2"/>
      </w:pPr>
      <w:r>
        <w:t xml:space="preserve">La promesa de esta guía</w:t>
      </w:r>
    </w:p>
    <w:p>
      <w:pPr>
        <w:pStyle w:val="FirstParagraph"/>
      </w:pPr>
      <w:r>
        <w:t xml:space="preserve">No es demasiado tarde para volver a aprender. La edad, una discapacidad, los ingresos limitados, una trayectoria educativa interrumpida o un cambio de país pueden hacer que el camino sea más complejo, pero no eliminan la capacidad de aprender, contribuir y avanzar.</w:t>
      </w:r>
    </w:p>
    <w:p>
      <w:pPr>
        <w:pStyle w:val="BodyText"/>
      </w:pPr>
      <w:r>
        <w:t xml:space="preserve">Esta guía no promete empleo, financiamiento, admisión, licencia, certificación ni un nivel de ingresos. Su objetivo es ayudar a comprender el trabajo real, comparar rutas creíbles y asequibles, evitar decisiones apresuradas y elegir un siguiente paso realista.</w:t>
      </w:r>
    </w:p>
    <w:bookmarkEnd w:id="21"/>
    <w:bookmarkStart w:id="22" w:name="sobre-el-autor-y-la-misión"/>
    <w:p>
      <w:pPr>
        <w:pStyle w:val="Heading2"/>
      </w:pPr>
      <w:r>
        <w:t xml:space="preserve">Sobre el autor y la misión</w:t>
      </w:r>
    </w:p>
    <w:p>
      <w:pPr>
        <w:pStyle w:val="FirstParagraph"/>
      </w:pPr>
      <w:r>
        <w:t xml:space="preserve">Creé las Guías de Oportunidades para Toda la Vida después de una vida de aprendizaje, trabajo, mentoría y reinvención. Vivo con disgrafía y estoy dentro del espectro autista. Estas experiencias orientan mi compromiso con el lenguaje claro, la accesibilidad, la paciencia, la orientación ética y el respeto por capacidades que a veces quedan ocultas por barreras educativas o de comunicación.</w:t>
      </w:r>
    </w:p>
    <w:p>
      <w:pPr>
        <w:pStyle w:val="BodyText"/>
      </w:pPr>
      <w:r>
        <w:t xml:space="preserve">Comencé este proyecto a los 70 años. El mensaje es práctico: el aprendizaje no pertenece solo a las personas jóvenes y una carrera no tiene que ser una elección inmutable. Podemos seguir aprendiendo, contribuyendo, adaptándonos y reinventándonos durante toda la vida.</w:t>
      </w:r>
    </w:p>
    <w:bookmarkEnd w:id="22"/>
    <w:bookmarkStart w:id="23" w:name="reconocimiento-del-uso-de-ia"/>
    <w:p>
      <w:pPr>
        <w:pStyle w:val="Heading2"/>
      </w:pPr>
      <w:r>
        <w:t xml:space="preserve">Reconocimiento del uso de IA</w:t>
      </w:r>
    </w:p>
    <w:p>
      <w:pPr>
        <w:pStyle w:val="FirstParagraph"/>
      </w:pPr>
      <w:r>
        <w:t xml:space="preserve">Concebí, dirigí y mantengo la responsabilidad sobre este proyecto. ChatGPT de OpenAI apoyó la investigación, organización, edición, traducción asistida y preparación documental bajo mi dirección. La asistencia de IA no sustituye las fuentes oficiales, la revisión humana independiente, la asesoría profesional ni la responsabilidad del lector de verificar decisiones importantes.</w:t>
      </w:r>
    </w:p>
    <w:bookmarkEnd w:id="23"/>
    <w:bookmarkStart w:id="24" w:name="límites-éticos-y-prácticos"/>
    <w:p>
      <w:pPr>
        <w:pStyle w:val="Heading2"/>
      </w:pPr>
      <w:r>
        <w:t xml:space="preserve">Límites éticos y prácticos</w:t>
      </w:r>
    </w:p>
    <w:p>
      <w:pPr>
        <w:numPr>
          <w:ilvl w:val="0"/>
          <w:numId w:val="1001"/>
        </w:numPr>
        <w:pStyle w:val="Compact"/>
      </w:pPr>
      <w:r>
        <w:t xml:space="preserve">Ninguna evaluación puede garantizar que una persona disfrute o tenga éxito en un trabajo.</w:t>
      </w:r>
    </w:p>
    <w:p>
      <w:pPr>
        <w:numPr>
          <w:ilvl w:val="0"/>
          <w:numId w:val="1001"/>
        </w:numPr>
        <w:pStyle w:val="Compact"/>
      </w:pPr>
      <w:r>
        <w:t xml:space="preserve">Ninguna institución, credencial, curso intensivo, aprendizaje laboral, empresa, reclutador o programa gubernamental puede garantizar empleo, financiamiento, licencia, ascenso o ingresos.</w:t>
      </w:r>
    </w:p>
    <w:p>
      <w:pPr>
        <w:numPr>
          <w:ilvl w:val="0"/>
          <w:numId w:val="1001"/>
        </w:numPr>
        <w:pStyle w:val="Compact"/>
      </w:pPr>
      <w:r>
        <w:t xml:space="preserve">Los requisitos, salarios, costos, beneficios, horarios, licencias y reconocimientos cambian según la jurisdicción, el empleador y el tiempo.</w:t>
      </w:r>
    </w:p>
    <w:p>
      <w:pPr>
        <w:numPr>
          <w:ilvl w:val="0"/>
          <w:numId w:val="1001"/>
        </w:numPr>
        <w:pStyle w:val="Compact"/>
      </w:pPr>
      <w:r>
        <w:t xml:space="preserve">Esta guía ofrece educación y orientación general. No constituye asesoría legal, médica, psicológica, migratoria, financiera, tributaria ni vocacional individualizada.</w:t>
      </w:r>
    </w:p>
    <w:p>
      <w:pPr>
        <w:numPr>
          <w:ilvl w:val="0"/>
          <w:numId w:val="1001"/>
        </w:numPr>
        <w:pStyle w:val="Compact"/>
      </w:pPr>
      <w:r>
        <w:t xml:space="preserve">No tome préstamos ni pague cuotas altas no reembolsables por presión o urgencia artificial.</w:t>
      </w:r>
    </w:p>
    <w:p>
      <w:pPr>
        <w:numPr>
          <w:ilvl w:val="0"/>
          <w:numId w:val="1001"/>
        </w:numPr>
        <w:pStyle w:val="Compact"/>
      </w:pPr>
      <w:r>
        <w:t xml:space="preserve">No ingrese información confidencial o identificable de empresas, clientes, pacientes, estudiantes, solicitantes, finanzas, seguridad o identidad en herramientas públicas de IA.</w:t>
      </w:r>
    </w:p>
    <w:bookmarkEnd w:id="24"/>
    <w:bookmarkEnd w:id="25"/>
    <w:bookmarkStart w:id="26" w:name="X67892b8c9ade1ac42b2077a3ae4d4571a0a3cf1"/>
    <w:p>
      <w:pPr>
        <w:pStyle w:val="Heading1"/>
      </w:pPr>
      <w:r>
        <w:t xml:space="preserve">1. Utilice las guías como un sistema de decisión</w:t>
      </w:r>
    </w:p>
    <w:p>
      <w:pPr>
        <w:pStyle w:val="FirstParagraph"/>
      </w:pPr>
      <w:r>
        <w:t xml:space="preserve">No empiece por elegir una escuela. Empiece por comprender su situación, el trabajo y las oportunidades disponibles en un lugar donde realmente pueda vivir y trabajar.</w:t>
      </w:r>
    </w:p>
    <w:p>
      <w:pPr>
        <w:pStyle w:val="BodyText"/>
      </w:pPr>
      <w:r>
        <w:t xml:space="preserve">Secuencia recomendada:</w:t>
      </w:r>
    </w:p>
    <w:p>
      <w:pPr>
        <w:numPr>
          <w:ilvl w:val="0"/>
          <w:numId w:val="1002"/>
        </w:numPr>
        <w:pStyle w:val="Compact"/>
      </w:pPr>
      <w:r>
        <w:t xml:space="preserve">Describa su punto de partida sin vergüenza.</w:t>
      </w:r>
    </w:p>
    <w:p>
      <w:pPr>
        <w:numPr>
          <w:ilvl w:val="0"/>
          <w:numId w:val="1002"/>
        </w:numPr>
        <w:pStyle w:val="Compact"/>
      </w:pPr>
      <w:r>
        <w:t xml:space="preserve">Identifique fortalezas, valores, restricciones, necesidades de acceso y condiciones laborales preferidas.</w:t>
      </w:r>
    </w:p>
    <w:p>
      <w:pPr>
        <w:numPr>
          <w:ilvl w:val="0"/>
          <w:numId w:val="1002"/>
        </w:numPr>
        <w:pStyle w:val="Compact"/>
      </w:pPr>
      <w:r>
        <w:t xml:space="preserve">Explore entre tres y cinco familias ocupacionales en lugar de buscar un solo trabajo perfecto.</w:t>
      </w:r>
    </w:p>
    <w:p>
      <w:pPr>
        <w:numPr>
          <w:ilvl w:val="0"/>
          <w:numId w:val="1002"/>
        </w:numPr>
        <w:pStyle w:val="Compact"/>
      </w:pPr>
      <w:r>
        <w:t xml:space="preserve">Estudie las tareas reales, incluidas las funciones rutinarias, estresantes, físicas, emocionales y administrativas.</w:t>
      </w:r>
    </w:p>
    <w:p>
      <w:pPr>
        <w:numPr>
          <w:ilvl w:val="0"/>
          <w:numId w:val="1002"/>
        </w:numPr>
        <w:pStyle w:val="Compact"/>
      </w:pPr>
      <w:r>
        <w:t xml:space="preserve">Pruebe el trabajo mediante observación, entrevistas informativas y actividades pequeñas de práctica.</w:t>
      </w:r>
    </w:p>
    <w:p>
      <w:pPr>
        <w:numPr>
          <w:ilvl w:val="0"/>
          <w:numId w:val="1002"/>
        </w:numPr>
        <w:pStyle w:val="Compact"/>
      </w:pPr>
      <w:r>
        <w:t xml:space="preserve">Revise vacantes actuales que correspondan a su ubicación y autorización de trabajo.</w:t>
      </w:r>
    </w:p>
    <w:p>
      <w:pPr>
        <w:numPr>
          <w:ilvl w:val="0"/>
          <w:numId w:val="1002"/>
        </w:numPr>
        <w:pStyle w:val="Compact"/>
      </w:pPr>
      <w:r>
        <w:t xml:space="preserve">Investigue remuneración, beneficios, perspectivas, licencias y requisitos de contratación.</w:t>
      </w:r>
    </w:p>
    <w:p>
      <w:pPr>
        <w:numPr>
          <w:ilvl w:val="0"/>
          <w:numId w:val="1002"/>
        </w:numPr>
        <w:pStyle w:val="Compact"/>
      </w:pPr>
      <w:r>
        <w:t xml:space="preserve">Compare rutas gratuitas, financiadas, apoyadas por empleadores, de aprendizaje remunerado y de bajo costo antes de considerar deuda.</w:t>
      </w:r>
    </w:p>
    <w:p>
      <w:pPr>
        <w:numPr>
          <w:ilvl w:val="0"/>
          <w:numId w:val="1002"/>
        </w:numPr>
        <w:pStyle w:val="Compact"/>
      </w:pPr>
      <w:r>
        <w:t xml:space="preserve">Verifique por escrito reconocimiento, transferibilidad, adaptaciones, costo total y obligaciones de pago.</w:t>
      </w:r>
    </w:p>
    <w:p>
      <w:pPr>
        <w:numPr>
          <w:ilvl w:val="0"/>
          <w:numId w:val="1002"/>
        </w:numPr>
        <w:pStyle w:val="Compact"/>
      </w:pPr>
      <w:r>
        <w:t xml:space="preserve">Construya evidencia ética de capacidad y postúlese a puntos de entrada honestos.</w:t>
      </w:r>
    </w:p>
    <w:p>
      <w:pPr>
        <w:numPr>
          <w:ilvl w:val="0"/>
          <w:numId w:val="1002"/>
        </w:numPr>
        <w:pStyle w:val="Compact"/>
      </w:pPr>
      <w:r>
        <w:t xml:space="preserve">Revise el plan con regularidad y cambie de dirección cuando la evidencia indique una opción mejor.</w:t>
      </w:r>
    </w:p>
    <w:bookmarkEnd w:id="26"/>
    <w:bookmarkStart w:id="27" w:name="Xd22754485b4430843e6e91c00ab6b6364b61f6b"/>
    <w:p>
      <w:pPr>
        <w:pStyle w:val="Heading1"/>
      </w:pPr>
      <w:r>
        <w:t xml:space="preserve">2. Empiece por la afinidad profesional</w:t>
      </w:r>
    </w:p>
    <w:p>
      <w:pPr>
        <w:pStyle w:val="FirstParagraph"/>
      </w:pPr>
      <w:r>
        <w:t xml:space="preserve">Una ruta sostenible debe ajustarse a la persona real, no a una versión idealizada.</w:t>
      </w:r>
    </w:p>
    <w:p>
      <w:pPr>
        <w:pStyle w:val="BodyText"/>
      </w:pPr>
      <w:r>
        <w:t xml:space="preserve">Considere intereses, fortalezas demostradas, salud, resistencia, movilidad, necesidades sensoriales, horarios, responsabilidades de cuidado, transporte, urgencia de ingresos, presupuesto seguro, idioma, tecnología, internet, autorización de trabajo, antecedentes, límites de edad, licencias y preferencia por interacción, concentración, rutina o cambio frecuente.</w:t>
      </w:r>
    </w:p>
    <w:p>
      <w:pPr>
        <w:pStyle w:val="BodyText"/>
      </w:pPr>
      <w:r>
        <w:t xml:space="preserve">No minimice una barrera grave de seguridad, licencia, deuda, accesibilidad, familia o transporte. Un solo obstáculo importante puede pesar más que varias ventajas atractivas.</w:t>
      </w:r>
    </w:p>
    <w:bookmarkEnd w:id="27"/>
    <w:bookmarkStart w:id="28" w:name="Xf815265aa2accbbcefe8ed5b596400475655542"/>
    <w:p>
      <w:pPr>
        <w:pStyle w:val="Heading1"/>
      </w:pPr>
      <w:r>
        <w:t xml:space="preserve">3. Comprenda el trabajo real</w:t>
      </w:r>
    </w:p>
    <w:p>
      <w:pPr>
        <w:pStyle w:val="FirstParagraph"/>
      </w:pPr>
      <w:r>
        <w:t xml:space="preserve">Los títulos de los cargos pueden ocultar diferencias importantes. Investigue tareas, herramientas, flujos de trabajo, autoridad, supervisión, registros, indicadores, horarios, viajes y condiciones laborales.</w:t>
      </w:r>
    </w:p>
    <w:p>
      <w:pPr>
        <w:pStyle w:val="BodyText"/>
      </w:pPr>
      <w:r>
        <w:t xml:space="preserve">Pregunte:</w:t>
      </w:r>
    </w:p>
    <w:p>
      <w:pPr>
        <w:numPr>
          <w:ilvl w:val="0"/>
          <w:numId w:val="1003"/>
        </w:numPr>
        <w:pStyle w:val="Compact"/>
      </w:pPr>
      <w:r>
        <w:t xml:space="preserve">¿Cómo es un día y una semana normales?</w:t>
      </w:r>
    </w:p>
    <w:p>
      <w:pPr>
        <w:numPr>
          <w:ilvl w:val="0"/>
          <w:numId w:val="1003"/>
        </w:numPr>
        <w:pStyle w:val="Compact"/>
      </w:pPr>
      <w:r>
        <w:t xml:space="preserve">¿Qué tareas son repetitivas, estresantes, físicas, emocionalmente exigentes o críticas para la seguridad?</w:t>
      </w:r>
    </w:p>
    <w:p>
      <w:pPr>
        <w:numPr>
          <w:ilvl w:val="0"/>
          <w:numId w:val="1003"/>
        </w:numPr>
        <w:pStyle w:val="Compact"/>
      </w:pPr>
      <w:r>
        <w:t xml:space="preserve">¿Qué puede decidir una persona principiante?</w:t>
      </w:r>
    </w:p>
    <w:p>
      <w:pPr>
        <w:numPr>
          <w:ilvl w:val="0"/>
          <w:numId w:val="1003"/>
        </w:numPr>
        <w:pStyle w:val="Compact"/>
      </w:pPr>
      <w:r>
        <w:t xml:space="preserve">¿Qué requiere autorización, escalamiento, licencia o supervisión?</w:t>
      </w:r>
    </w:p>
    <w:p>
      <w:pPr>
        <w:numPr>
          <w:ilvl w:val="0"/>
          <w:numId w:val="1003"/>
        </w:numPr>
        <w:pStyle w:val="Compact"/>
      </w:pPr>
      <w:r>
        <w:t xml:space="preserve">¿Qué herramientas, programas, equipos y registros se usan?</w:t>
      </w:r>
    </w:p>
    <w:p>
      <w:pPr>
        <w:numPr>
          <w:ilvl w:val="0"/>
          <w:numId w:val="1003"/>
        </w:numPr>
        <w:pStyle w:val="Compact"/>
      </w:pPr>
      <w:r>
        <w:t xml:space="preserve">¿Por qué las personas abandonan esta ocupación?</w:t>
      </w:r>
    </w:p>
    <w:p>
      <w:pPr>
        <w:numPr>
          <w:ilvl w:val="0"/>
          <w:numId w:val="1003"/>
        </w:numPr>
        <w:pStyle w:val="Compact"/>
      </w:pPr>
      <w:r>
        <w:t xml:space="preserve">¿Qué puede practicarse de forma segura y gratuita?</w:t>
      </w:r>
    </w:p>
    <w:p>
      <w:pPr>
        <w:pStyle w:val="FirstParagraph"/>
      </w:pPr>
      <w:r>
        <w:t xml:space="preserve">Use información pública, ficticia o completamente anonimizada para practicar. No use datos confidenciales ni presente una simulación como experiencia profesional.</w:t>
      </w:r>
    </w:p>
    <w:bookmarkEnd w:id="28"/>
    <w:bookmarkStart w:id="30" w:name="X157d3e1aa66da47d0049c42ea14aeceffc87c7a"/>
    <w:p>
      <w:pPr>
        <w:pStyle w:val="Heading1"/>
      </w:pPr>
      <w:r>
        <w:t xml:space="preserve">4. Investigue remuneración, beneficios y perspectivas</w:t>
      </w:r>
    </w:p>
    <w:p>
      <w:pPr>
        <w:pStyle w:val="FirstParagraph"/>
      </w:pPr>
      <w:r>
        <w:t xml:space="preserve">Las cifras nacionales ofrecen contexto, no un pronóstico personal. La remuneración puede variar por ubicación, industria, convenio colectivo, licencia, experiencia, idioma, turno, horas extra, comisión, modalidad contractual y beneficios.</w:t>
      </w:r>
    </w:p>
    <w:bookmarkStart w:id="29" w:name="X8888c8f9243a9ccbc200a82a183cd458850198c"/>
    <w:p>
      <w:pPr>
        <w:pStyle w:val="Heading2"/>
      </w:pPr>
      <w:r>
        <w:t xml:space="preserve">Método obligatorio de investigación de ingresos</w:t>
      </w:r>
    </w:p>
    <w:p>
      <w:pPr>
        <w:pStyle w:val="FirstParagraph"/>
      </w:pPr>
      <w:r>
        <w:t xml:space="preserve">Cada guía ocupacional debe utilizar más de una fuente cuando existan datos:</w:t>
      </w:r>
    </w:p>
    <w:p>
      <w:pPr>
        <w:numPr>
          <w:ilvl w:val="0"/>
          <w:numId w:val="1004"/>
        </w:numPr>
        <w:pStyle w:val="Compact"/>
      </w:pPr>
      <w:r>
        <w:t xml:space="preserve">Estadísticas oficiales nacionales o regionales.</w:t>
      </w:r>
    </w:p>
    <w:p>
      <w:pPr>
        <w:numPr>
          <w:ilvl w:val="0"/>
          <w:numId w:val="1004"/>
        </w:numPr>
        <w:pStyle w:val="Compact"/>
      </w:pPr>
      <w:r>
        <w:t xml:space="preserve">Vacantes actuales de empleadores con remuneración publicada.</w:t>
      </w:r>
    </w:p>
    <w:p>
      <w:pPr>
        <w:numPr>
          <w:ilvl w:val="0"/>
          <w:numId w:val="1004"/>
        </w:numPr>
        <w:pStyle w:val="Compact"/>
      </w:pPr>
      <w:r>
        <w:t xml:space="preserve">Estimaciones comerciales o aportadas por usuarios, como Glassdoor, Indeed Salaries, PayScale, Salary.com, Talent.com o información salarial de LinkedIn.</w:t>
      </w:r>
    </w:p>
    <w:p>
      <w:pPr>
        <w:numPr>
          <w:ilvl w:val="0"/>
          <w:numId w:val="1004"/>
        </w:numPr>
        <w:pStyle w:val="Compact"/>
      </w:pPr>
      <w:r>
        <w:t xml:space="preserve">Escalas sindicales, convenios colectivos, encuestas profesionales o escalas públicas cuando sean pertinentes.</w:t>
      </w:r>
    </w:p>
    <w:p>
      <w:pPr>
        <w:pStyle w:val="FirstParagraph"/>
      </w:pPr>
      <w:r>
        <w:t xml:space="preserve">Registre país, región, fecha de consulta, base horaria, mensual, anual, por comisión, contrato o trabajo independiente, salario base, compensación total, niveles de entrada y experiencia, horas extra, recargos, bonos, propinas, comisiones y limitaciones de muestra o metodología.</w:t>
      </w:r>
    </w:p>
    <w:p>
      <w:pPr>
        <w:pStyle w:val="BodyText"/>
      </w:pPr>
      <w:r>
        <w:t xml:space="preserve">Las estimaciones aportadas por usuarios son evidencia complementaria, no garantía. Los ingresos de trabajo independiente no equivalen al ingreso disponible: deben descontarse impuestos, seguros, herramientas, software, transporte, mercadeo, tiempo no facturable y periodos sin clientes.</w:t>
      </w:r>
    </w:p>
    <w:p>
      <w:pPr>
        <w:pStyle w:val="BodyText"/>
      </w:pPr>
      <w:r>
        <w:t xml:space="preserve">Revise al menos 25 vacantes actuales para la función y ubicación cuando exista suficiente oferta. Registre patrones repetidos y no dependa de un solo anuncio.</w:t>
      </w:r>
    </w:p>
    <w:bookmarkEnd w:id="29"/>
    <w:bookmarkEnd w:id="30"/>
    <w:bookmarkStart w:id="32" w:name="Xfdb71afa6acc9628c9ed09a3416c4c80b726b69"/>
    <w:p>
      <w:pPr>
        <w:pStyle w:val="Heading1"/>
      </w:pPr>
      <w:r>
        <w:t xml:space="preserve">5. Construya una ruta educativa creíble</w:t>
      </w:r>
    </w:p>
    <w:p>
      <w:pPr>
        <w:pStyle w:val="FirstParagraph"/>
      </w:pPr>
      <w:r>
        <w:t xml:space="preserve">Empiece por el paso creíble menos costoso que produzca competencia, evidencia o una siguiente opción verificable.</w:t>
      </w:r>
    </w:p>
    <w:bookmarkStart w:id="31" w:name="escalera-educativa"/>
    <w:p>
      <w:pPr>
        <w:pStyle w:val="Heading2"/>
      </w:pPr>
      <w:r>
        <w:t xml:space="preserve">Escalera educativa</w:t>
      </w:r>
    </w:p>
    <w:p>
      <w:pPr>
        <w:pStyle w:val="FirstParagraph"/>
      </w:pPr>
      <w:r>
        <w:rPr>
          <w:bCs/>
          <w:b/>
        </w:rPr>
        <w:t xml:space="preserve">Nivel 1 — Exploración gratuita:</w:t>
      </w:r>
      <w:r>
        <w:t xml:space="preserve"> </w:t>
      </w:r>
      <w:r>
        <w:t xml:space="preserve">bibliotecas, recursos públicos, cursos introductorios, videos, ejercicios e entrevistas informativas.</w:t>
      </w:r>
    </w:p>
    <w:p>
      <w:pPr>
        <w:pStyle w:val="BodyText"/>
      </w:pPr>
      <w:r>
        <w:rPr>
          <w:bCs/>
          <w:b/>
        </w:rPr>
        <w:t xml:space="preserve">Nivel 2 — Preparación básica:</w:t>
      </w:r>
      <w:r>
        <w:t xml:space="preserve"> </w:t>
      </w:r>
      <w:r>
        <w:t xml:space="preserve">alfabetización digital, idioma, matemáticas, escritura, estudio, comunicación y seguridad.</w:t>
      </w:r>
    </w:p>
    <w:p>
      <w:pPr>
        <w:pStyle w:val="BodyText"/>
      </w:pPr>
      <w:r>
        <w:rPr>
          <w:bCs/>
          <w:b/>
        </w:rPr>
        <w:t xml:space="preserve">Nivel 3 — Evidencia de bajo costo:</w:t>
      </w:r>
      <w:r>
        <w:t xml:space="preserve"> </w:t>
      </w:r>
      <w:r>
        <w:t xml:space="preserve">curso reconocido, examen, portafolio, proyecto supervisado o credencial inicial.</w:t>
      </w:r>
    </w:p>
    <w:p>
      <w:pPr>
        <w:pStyle w:val="BodyText"/>
      </w:pPr>
      <w:r>
        <w:rPr>
          <w:bCs/>
          <w:b/>
        </w:rPr>
        <w:t xml:space="preserve">Nivel 4 — Aprendizaje remunerado:</w:t>
      </w:r>
      <w:r>
        <w:t xml:space="preserve"> </w:t>
      </w:r>
      <w:r>
        <w:t xml:space="preserve">aprendizaje profesional, capacitación del empleador, pasantía, programa cooperativo, formación laboral o empleo inicial con aprendizaje estructurado.</w:t>
      </w:r>
    </w:p>
    <w:p>
      <w:pPr>
        <w:pStyle w:val="BodyText"/>
      </w:pPr>
      <w:r>
        <w:rPr>
          <w:bCs/>
          <w:b/>
        </w:rPr>
        <w:t xml:space="preserve">Nivel 5 — Educación reconocida:</w:t>
      </w:r>
      <w:r>
        <w:t xml:space="preserve"> </w:t>
      </w:r>
      <w:r>
        <w:t xml:space="preserve">instituto técnico público, community college, institución oficialmente reconocida, programa por competencias o universidad abierta cuando la credencial aporte una ventaja comprobable.</w:t>
      </w:r>
    </w:p>
    <w:p>
      <w:pPr>
        <w:pStyle w:val="BodyText"/>
      </w:pPr>
      <w:r>
        <w:rPr>
          <w:bCs/>
          <w:b/>
        </w:rPr>
        <w:t xml:space="preserve">Nivel 6 — Avance:</w:t>
      </w:r>
      <w:r>
        <w:t xml:space="preserve"> </w:t>
      </w:r>
      <w:r>
        <w:t xml:space="preserve">especialización, licencia, finalización de título, liderazgo, docencia, consultoría o emprendimiento.</w:t>
      </w:r>
    </w:p>
    <w:bookmarkEnd w:id="31"/>
    <w:bookmarkEnd w:id="32"/>
    <w:bookmarkStart w:id="33" w:name="Xf4bda79b20c8df442f9e7bf2618d8f2258a2337"/>
    <w:p>
      <w:pPr>
        <w:pStyle w:val="Heading1"/>
      </w:pPr>
      <w:r>
        <w:t xml:space="preserve">6. Verifique reconocimiento, acreditación y licencia</w:t>
      </w:r>
    </w:p>
    <w:p>
      <w:pPr>
        <w:pStyle w:val="FirstParagraph"/>
      </w:pPr>
      <w:r>
        <w:t xml:space="preserve">Una institución puede operar legalmente sin contar con el reconocimiento requerido por empleadores, organismos de licencia, universidades, autoridades migratorias o evaluadores de credenciales.</w:t>
      </w:r>
    </w:p>
    <w:p>
      <w:pPr>
        <w:pStyle w:val="BodyText"/>
      </w:pPr>
      <w:r>
        <w:t xml:space="preserve">Verifique por separado:</w:t>
      </w:r>
    </w:p>
    <w:p>
      <w:pPr>
        <w:numPr>
          <w:ilvl w:val="0"/>
          <w:numId w:val="1005"/>
        </w:numPr>
        <w:pStyle w:val="Compact"/>
      </w:pPr>
      <w:r>
        <w:t xml:space="preserve">¿La institución está oficialmente reconocida?</w:t>
      </w:r>
    </w:p>
    <w:p>
      <w:pPr>
        <w:numPr>
          <w:ilvl w:val="0"/>
          <w:numId w:val="1005"/>
        </w:numPr>
        <w:pStyle w:val="Compact"/>
      </w:pPr>
      <w:r>
        <w:t xml:space="preserve">¿El programa específico está autorizado cuando corresponde?</w:t>
      </w:r>
    </w:p>
    <w:p>
      <w:pPr>
        <w:numPr>
          <w:ilvl w:val="0"/>
          <w:numId w:val="1005"/>
        </w:numPr>
        <w:pStyle w:val="Compact"/>
      </w:pPr>
      <w:r>
        <w:t xml:space="preserve">¿El programa permite cumplir los requisitos de licencia o certificación previstos?</w:t>
      </w:r>
    </w:p>
    <w:p>
      <w:pPr>
        <w:numPr>
          <w:ilvl w:val="0"/>
          <w:numId w:val="1005"/>
        </w:numPr>
        <w:pStyle w:val="Compact"/>
      </w:pPr>
      <w:r>
        <w:t xml:space="preserve">¿La entidad receptora aceptará la credencial?</w:t>
      </w:r>
    </w:p>
    <w:p>
      <w:pPr>
        <w:pStyle w:val="FirstParagraph"/>
      </w:pPr>
      <w:r>
        <w:t xml:space="preserve">Obtenga respuestas por escrito y conserve catálogos, evaluaciones de transferencia, declaraciones de licencia, estimaciones de matrícula, políticas de reembolso y acuerdos de adaptación.</w:t>
      </w:r>
    </w:p>
    <w:bookmarkEnd w:id="33"/>
    <w:bookmarkStart w:id="41" w:name="X4dc31ffdbf54a4e8df0acd10c6fcccbfd6af727"/>
    <w:p>
      <w:pPr>
        <w:pStyle w:val="Heading1"/>
      </w:pPr>
      <w:r>
        <w:t xml:space="preserve">7. Localizador de financiamiento, formación gratuita o de bajo costo, ayuda educativa y aprendizaje profesional</w:t>
      </w:r>
    </w:p>
    <w:p>
      <w:pPr>
        <w:pStyle w:val="FirstParagraph"/>
      </w:pPr>
      <w:r>
        <w:t xml:space="preserve">Distinga siempre entre formación gratuita, formación subsidiada, becas, subvenciones, ayuda condonable, educación pagada o reembolsada por el empleador, aprendizaje remunerado, programas cooperativos, prácticas no remuneradas y préstamos reembolsables.</w:t>
      </w:r>
    </w:p>
    <w:p>
      <w:pPr>
        <w:pStyle w:val="BodyText"/>
      </w:pPr>
      <w:r>
        <w:t xml:space="preserve">Los préstamos no deben ser la primera opción. Revise primero subvenciones, fondos públicos, apoyo del empleador, aprendizajes, becas, bibliotecas y rutas de bajo costo.</w:t>
      </w:r>
    </w:p>
    <w:bookmarkStart w:id="34" w:name="estados-unidos"/>
    <w:p>
      <w:pPr>
        <w:pStyle w:val="Heading2"/>
      </w:pPr>
      <w:r>
        <w:t xml:space="preserve">Estados Unidos</w:t>
      </w:r>
    </w:p>
    <w:p>
      <w:pPr>
        <w:numPr>
          <w:ilvl w:val="0"/>
          <w:numId w:val="1006"/>
        </w:numPr>
        <w:pStyle w:val="Compact"/>
      </w:pPr>
      <w:r>
        <w:t xml:space="preserve">CareerOneStop y American Job Centers para servicios laborales y capacitación local.</w:t>
      </w:r>
    </w:p>
    <w:p>
      <w:pPr>
        <w:numPr>
          <w:ilvl w:val="0"/>
          <w:numId w:val="1006"/>
        </w:numPr>
        <w:pStyle w:val="Compact"/>
      </w:pPr>
      <w:r>
        <w:t xml:space="preserve">Programas financiados por WIOA mediante sistemas estatales y locales; la elegibilidad no es automática.</w:t>
      </w:r>
    </w:p>
    <w:p>
      <w:pPr>
        <w:numPr>
          <w:ilvl w:val="0"/>
          <w:numId w:val="1006"/>
        </w:numPr>
        <w:pStyle w:val="Compact"/>
      </w:pPr>
      <w:r>
        <w:t xml:space="preserve">Apprenticeship.gov para información y vacantes de Registered Apprenticeship.</w:t>
      </w:r>
    </w:p>
    <w:p>
      <w:pPr>
        <w:numPr>
          <w:ilvl w:val="0"/>
          <w:numId w:val="1006"/>
        </w:numPr>
        <w:pStyle w:val="Compact"/>
      </w:pPr>
      <w:r>
        <w:t xml:space="preserve">Federal Student Aid para subvenciones, Federal Work-Study y préstamos; diferencie claramente ayuda no reembolsable, salario de trabajo-estudio y deuda.</w:t>
      </w:r>
    </w:p>
    <w:p>
      <w:pPr>
        <w:numPr>
          <w:ilvl w:val="0"/>
          <w:numId w:val="1006"/>
        </w:numPr>
        <w:pStyle w:val="Compact"/>
      </w:pPr>
      <w:r>
        <w:t xml:space="preserve">Agencias estatales de rehabilitación vocacional para personas elegibles con discapacidad.</w:t>
      </w:r>
    </w:p>
    <w:p>
      <w:pPr>
        <w:numPr>
          <w:ilvl w:val="0"/>
          <w:numId w:val="1006"/>
        </w:numPr>
        <w:pStyle w:val="Compact"/>
      </w:pPr>
      <w:r>
        <w:t xml:space="preserve">SNAP Employment and Training, cuya oferta varía por estado.</w:t>
      </w:r>
    </w:p>
    <w:bookmarkEnd w:id="34"/>
    <w:bookmarkStart w:id="35" w:name="canadá"/>
    <w:p>
      <w:pPr>
        <w:pStyle w:val="Heading2"/>
      </w:pPr>
      <w:r>
        <w:t xml:space="preserve">Canadá</w:t>
      </w:r>
    </w:p>
    <w:p>
      <w:pPr>
        <w:numPr>
          <w:ilvl w:val="0"/>
          <w:numId w:val="1007"/>
        </w:numPr>
        <w:pStyle w:val="Compact"/>
      </w:pPr>
      <w:r>
        <w:t xml:space="preserve">Job Bank para ocupaciones, salarios, perspectivas y vacantes.</w:t>
      </w:r>
    </w:p>
    <w:p>
      <w:pPr>
        <w:numPr>
          <w:ilvl w:val="0"/>
          <w:numId w:val="1007"/>
        </w:numPr>
        <w:pStyle w:val="Compact"/>
      </w:pPr>
      <w:r>
        <w:t xml:space="preserve">Servicios de capacitación y ayuda estudiantil de Canada.ca.</w:t>
      </w:r>
    </w:p>
    <w:p>
      <w:pPr>
        <w:numPr>
          <w:ilvl w:val="0"/>
          <w:numId w:val="1007"/>
        </w:numPr>
        <w:pStyle w:val="Compact"/>
      </w:pPr>
      <w:r>
        <w:t xml:space="preserve">Autoridades provinciales y territoriales de aprendizaje y certificación.</w:t>
      </w:r>
    </w:p>
    <w:p>
      <w:pPr>
        <w:numPr>
          <w:ilvl w:val="0"/>
          <w:numId w:val="1007"/>
        </w:numPr>
        <w:pStyle w:val="Compact"/>
      </w:pPr>
      <w:r>
        <w:t xml:space="preserve">Red Seal para oficios designados; no todos los oficios están incluidos.</w:t>
      </w:r>
    </w:p>
    <w:p>
      <w:pPr>
        <w:numPr>
          <w:ilvl w:val="0"/>
          <w:numId w:val="1007"/>
        </w:numPr>
        <w:pStyle w:val="Compact"/>
      </w:pPr>
      <w:r>
        <w:t xml:space="preserve">Employment Insurance para aprendices elegibles durante formación técnica.</w:t>
      </w:r>
    </w:p>
    <w:p>
      <w:pPr>
        <w:numPr>
          <w:ilvl w:val="0"/>
          <w:numId w:val="1007"/>
        </w:numPr>
        <w:pStyle w:val="Compact"/>
      </w:pPr>
      <w:r>
        <w:t xml:space="preserve">Canada Apprentice Loan, que es crédito reembolsable y no una beca.</w:t>
      </w:r>
    </w:p>
    <w:p>
      <w:pPr>
        <w:pStyle w:val="FirstParagraph"/>
      </w:pPr>
      <w:r>
        <w:t xml:space="preserve">El Apprenticeship Incentive Grant y el Apprenticeship Completion Grant cerraron a nuevas solicitudes el 31 de marzo de 2025. No deben presentarse como programas abiertos.</w:t>
      </w:r>
    </w:p>
    <w:bookmarkEnd w:id="35"/>
    <w:bookmarkStart w:id="36" w:name="colombia"/>
    <w:p>
      <w:pPr>
        <w:pStyle w:val="Heading2"/>
      </w:pPr>
      <w:r>
        <w:t xml:space="preserve">Colombia</w:t>
      </w:r>
    </w:p>
    <w:p>
      <w:pPr>
        <w:numPr>
          <w:ilvl w:val="0"/>
          <w:numId w:val="1008"/>
        </w:numPr>
        <w:pStyle w:val="Compact"/>
      </w:pPr>
      <w:r>
        <w:t xml:space="preserve">SENA para formación técnica, tecnológica, complementaria, virtual y rutas relacionadas con aprendizaje profesional.</w:t>
      </w:r>
    </w:p>
    <w:p>
      <w:pPr>
        <w:numPr>
          <w:ilvl w:val="0"/>
          <w:numId w:val="1008"/>
        </w:numPr>
        <w:pStyle w:val="Compact"/>
      </w:pPr>
      <w:r>
        <w:t xml:space="preserve">Servicio Público de Empleo para registro de hojas de vida, orientación, vacantes y prestadores autorizados. El servicio no garantiza entrevista ni contratación.</w:t>
      </w:r>
    </w:p>
    <w:p>
      <w:pPr>
        <w:numPr>
          <w:ilvl w:val="0"/>
          <w:numId w:val="1008"/>
        </w:numPr>
        <w:pStyle w:val="Compact"/>
      </w:pPr>
      <w:r>
        <w:t xml:space="preserve">SNIES y los sistemas del Ministerio de Educación para verificar instituciones y programas.</w:t>
      </w:r>
    </w:p>
    <w:p>
      <w:pPr>
        <w:numPr>
          <w:ilvl w:val="0"/>
          <w:numId w:val="1008"/>
        </w:numPr>
        <w:pStyle w:val="Compact"/>
      </w:pPr>
      <w:r>
        <w:t xml:space="preserve">Registro Calificado y acreditación de alta calidad son conceptos diferentes; aparecer en SNIES no equivale automáticamente a acreditación de alta calidad.</w:t>
      </w:r>
    </w:p>
    <w:p>
      <w:pPr>
        <w:numPr>
          <w:ilvl w:val="0"/>
          <w:numId w:val="1008"/>
        </w:numPr>
        <w:pStyle w:val="Compact"/>
      </w:pPr>
      <w:r>
        <w:t xml:space="preserve">ICETEX administra becas, fondos y crédito educativo. El crédito es reembolsable salvo que las condiciones oficiales indiquen expresamente un componente condonable o no reembolsable.</w:t>
      </w:r>
    </w:p>
    <w:p>
      <w:pPr>
        <w:numPr>
          <w:ilvl w:val="0"/>
          <w:numId w:val="1008"/>
        </w:numPr>
        <w:pStyle w:val="Compact"/>
      </w:pPr>
      <w:r>
        <w:t xml:space="preserve">Universidades públicas, cajas de compensación, gobiernos territoriales y programas empresariales pueden ofrecer apoyos adicionales.</w:t>
      </w:r>
    </w:p>
    <w:bookmarkEnd w:id="36"/>
    <w:bookmarkStart w:id="37" w:name="brasil"/>
    <w:p>
      <w:pPr>
        <w:pStyle w:val="Heading2"/>
      </w:pPr>
      <w:r>
        <w:t xml:space="preserve">Brasil</w:t>
      </w:r>
    </w:p>
    <w:p>
      <w:pPr>
        <w:numPr>
          <w:ilvl w:val="0"/>
          <w:numId w:val="1009"/>
        </w:numPr>
        <w:pStyle w:val="Compact"/>
      </w:pPr>
      <w:r>
        <w:t xml:space="preserve">QualificaPro y otras rutas federales de cualificación pueden ofrecer cursos gratuitos presenciales o remotos.</w:t>
      </w:r>
    </w:p>
    <w:p>
      <w:pPr>
        <w:numPr>
          <w:ilvl w:val="0"/>
          <w:numId w:val="1009"/>
        </w:numPr>
        <w:pStyle w:val="Compact"/>
      </w:pPr>
      <w:r>
        <w:t xml:space="preserve">Caminho Digital / Escola do Trabalhador 4.0 ofrece formación digital gratuita. Un certificado de finalización no equivale a licencia profesional ni garantiza reconocimiento empresarial.</w:t>
      </w:r>
    </w:p>
    <w:p>
      <w:pPr>
        <w:numPr>
          <w:ilvl w:val="0"/>
          <w:numId w:val="1009"/>
        </w:numPr>
        <w:pStyle w:val="Compact"/>
      </w:pPr>
      <w:r>
        <w:t xml:space="preserve">Aprendizagem Profissional se dirige, por regla general, a personas de 14 a 24 años; las personas con discapacidad no están sujetas al mismo límite máximo de edad.</w:t>
      </w:r>
    </w:p>
    <w:p>
      <w:pPr>
        <w:numPr>
          <w:ilvl w:val="0"/>
          <w:numId w:val="1009"/>
        </w:numPr>
        <w:pStyle w:val="Compact"/>
      </w:pPr>
      <w:r>
        <w:t xml:space="preserve">Prouni es una ruta de becas sujeta a selección y elegibilidad.</w:t>
      </w:r>
    </w:p>
    <w:p>
      <w:pPr>
        <w:numPr>
          <w:ilvl w:val="0"/>
          <w:numId w:val="1009"/>
        </w:numPr>
        <w:pStyle w:val="Compact"/>
      </w:pPr>
      <w:r>
        <w:t xml:space="preserve">Sisu es un sistema de admisión a instituciones públicas, no una beca por sí mismo.</w:t>
      </w:r>
    </w:p>
    <w:p>
      <w:pPr>
        <w:numPr>
          <w:ilvl w:val="0"/>
          <w:numId w:val="1009"/>
        </w:numPr>
        <w:pStyle w:val="Compact"/>
      </w:pPr>
      <w:r>
        <w:t xml:space="preserve">FIES es financiamiento educativo reembolsable, no una beca.</w:t>
      </w:r>
    </w:p>
    <w:bookmarkEnd w:id="37"/>
    <w:bookmarkStart w:id="38" w:name="méxico"/>
    <w:p>
      <w:pPr>
        <w:pStyle w:val="Heading2"/>
      </w:pPr>
      <w:r>
        <w:t xml:space="preserve">México</w:t>
      </w:r>
    </w:p>
    <w:p>
      <w:pPr>
        <w:pStyle w:val="FirstParagraph"/>
      </w:pPr>
      <w:r>
        <w:t xml:space="preserve">Jóvenes Construyendo el Futuro es una ruta gubernamental de capacitación en centros de trabajo, generalmente para personas de 18 a 29 años que no estudian ni tienen empleo al ingresar. Puede durar hasta 12 meses e incluir apoyo económico mensual y cobertura médica del IMSS.</w:t>
      </w:r>
    </w:p>
    <w:p>
      <w:pPr>
        <w:pStyle w:val="BodyText"/>
      </w:pPr>
      <w:r>
        <w:t xml:space="preserve">Debe describirse como capacitación laboral con apoyo público, no como contrato laboral ordinario ni garantía de contratación posterior. Verifique el monto vigente, la disponibilidad territorial, la documentación y el periodo de vinculación antes de solicitar ingreso.</w:t>
      </w:r>
    </w:p>
    <w:bookmarkEnd w:id="38"/>
    <w:bookmarkStart w:id="39" w:name="argentina"/>
    <w:p>
      <w:pPr>
        <w:pStyle w:val="Heading2"/>
      </w:pPr>
      <w:r>
        <w:t xml:space="preserve">Argentina</w:t>
      </w:r>
    </w:p>
    <w:p>
      <w:pPr>
        <w:pStyle w:val="FirstParagraph"/>
      </w:pPr>
      <w:r>
        <w:t xml:space="preserve">Progresar Formación Profesional / Progresar Trabajo ofrece apoyo educativo sujeto a edad, residencia, ingresos y validación del curso. El periodo anunciado para 2026 fue del 27 de abril al 27 de noviembre de 2026; debe tratarse como una fecha histórica verificada y volver a comprobarse antes de una nueva publicación o solicitud.</w:t>
      </w:r>
    </w:p>
    <w:p>
      <w:pPr>
        <w:pStyle w:val="BodyText"/>
      </w:pPr>
      <w:r>
        <w:t xml:space="preserve">Los pagos son apoyo educativo condicionado, no salario ni empleo garantizado.</w:t>
      </w:r>
    </w:p>
    <w:bookmarkEnd w:id="39"/>
    <w:bookmarkStart w:id="40" w:name="chile"/>
    <w:p>
      <w:pPr>
        <w:pStyle w:val="Heading2"/>
      </w:pPr>
      <w:r>
        <w:t xml:space="preserve">Chile</w:t>
      </w:r>
    </w:p>
    <w:p>
      <w:pPr>
        <w:pStyle w:val="FirstParagraph"/>
      </w:pPr>
      <w:r>
        <w:t xml:space="preserve">SENCE administra rutas de capacitación financiadas mediante convocatorias específicas. Algunos beneficios dependen de la condición frente al seguro de cesantía.</w:t>
      </w:r>
    </w:p>
    <w:p>
      <w:pPr>
        <w:pStyle w:val="BodyText"/>
      </w:pPr>
      <w:r>
        <w:t xml:space="preserve">La convocatoria del Programa Becas Fondo Cesantía Solidario revisada para esta edición figuraba cerrada el 28 de mayo de 2026. No debe presentarse como abierta sin una nueva confirmación oficial.</w:t>
      </w:r>
    </w:p>
    <w:bookmarkEnd w:id="40"/>
    <w:bookmarkEnd w:id="41"/>
    <w:bookmarkStart w:id="42" w:name="Xfa4bb4f50da30a487320d5c111b9fe9ffaed7ba"/>
    <w:p>
      <w:pPr>
        <w:pStyle w:val="Heading1"/>
      </w:pPr>
      <w:r>
        <w:t xml:space="preserve">8. Use con cuidado el apoyo educativo del empleador</w:t>
      </w:r>
    </w:p>
    <w:p>
      <w:pPr>
        <w:pStyle w:val="FirstParagraph"/>
      </w:pPr>
      <w:r>
        <w:t xml:space="preserve">El apoyo puede incluir pago directo, reembolso, certificaciones, aprendizaje, matrícula o tiempo de estudio remunerado. Obtenga el acuerdo antes de inscribirse.</w:t>
      </w:r>
    </w:p>
    <w:p>
      <w:pPr>
        <w:pStyle w:val="BodyText"/>
      </w:pPr>
      <w:r>
        <w:t xml:space="preserve">Confirme qué cubre, si el pago es directo o posterior, la nota mínima, el periodo de permanencia, la devolución prorrateada, el tratamiento de despido, discapacidad, jubilación, traslado o cierre del programa, posibles descuentos del salario final y propiedad de credenciales, registros, portafolios o productos de trabajo.</w:t>
      </w:r>
    </w:p>
    <w:p>
      <w:pPr>
        <w:pStyle w:val="BodyText"/>
      </w:pPr>
      <w:r>
        <w:t xml:space="preserve">No considere el apoyo “gratuito” hasta comprender las condiciones de permanencia y devolución.</w:t>
      </w:r>
    </w:p>
    <w:bookmarkEnd w:id="42"/>
    <w:bookmarkStart w:id="43" w:name="Xea3a534bc2a73011ee7fc6e1642198c43c220a0"/>
    <w:p>
      <w:pPr>
        <w:pStyle w:val="Heading1"/>
      </w:pPr>
      <w:r>
        <w:t xml:space="preserve">9. Protéjase antes de inscribirse</w:t>
      </w:r>
    </w:p>
    <w:p>
      <w:pPr>
        <w:pStyle w:val="FirstParagraph"/>
      </w:pPr>
      <w:r>
        <w:t xml:space="preserve">Compare rutas completas, no anuncios ni cuotas mensuales.</w:t>
      </w:r>
    </w:p>
    <w:p>
      <w:pPr>
        <w:pStyle w:val="BodyText"/>
      </w:pPr>
      <w:r>
        <w:t xml:space="preserve">Incluya matrícula, tasas, libros, software, herramientas, equipo, uniforme, exámenes, licencias, renovaciones, asociaciones, transporte, vivienda, alimentación, cuidado infantil o de mayores, pérdida de salario, intereses, conversión de moneda, repeticiones, retiro y transferencia.</w:t>
      </w:r>
    </w:p>
    <w:p>
      <w:pPr>
        <w:pStyle w:val="BodyText"/>
      </w:pPr>
      <w:r>
        <w:t xml:space="preserve">La mejor relación costo-beneficio es la ruta creíble menos costosa que desarrolle las competencias requeridas y conduzca a un siguiente paso verificable.</w:t>
      </w:r>
    </w:p>
    <w:bookmarkEnd w:id="43"/>
    <w:bookmarkStart w:id="44" w:name="X60940060e720abf2ef5bf0b8779332ebf3c6ad6"/>
    <w:p>
      <w:pPr>
        <w:pStyle w:val="Heading1"/>
      </w:pPr>
      <w:r>
        <w:t xml:space="preserve">10. Accesibilidad e inclusión</w:t>
      </w:r>
    </w:p>
    <w:p>
      <w:pPr>
        <w:pStyle w:val="FirstParagraph"/>
      </w:pPr>
      <w:r>
        <w:t xml:space="preserve">La accesibilidad forma parte de la planificación profesional.</w:t>
      </w:r>
    </w:p>
    <w:p>
      <w:pPr>
        <w:pStyle w:val="BodyText"/>
      </w:pPr>
      <w:r>
        <w:t xml:space="preserve">Considere lectura, escritura, audición, visión, movilidad, levantamiento de peso, movimientos repetitivos, concentración, memoria, función ejecutiva, sensibilidad sensorial, comunicación, fatiga, dolor, ansiedad, trauma y condiciones fluctuantes.</w:t>
      </w:r>
    </w:p>
    <w:p>
      <w:pPr>
        <w:pStyle w:val="BodyText"/>
      </w:pPr>
      <w:r>
        <w:t xml:space="preserve">Los apoyos pueden incluir tecnología asistiva, subtítulos, formatos alternativos, ergonomía, instrucciones escritas, listas de verificación, horarios flexibles, ambientes con menos distracciones, participación remota, acompañamiento laboral, tiempo adicional en exámenes y herramientas o funciones modificadas cuando estén permitidas.</w:t>
      </w:r>
    </w:p>
    <w:p>
      <w:pPr>
        <w:pStyle w:val="BodyText"/>
      </w:pPr>
      <w:r>
        <w:t xml:space="preserve">Una adaptación puede cambiar la manera de realizar el trabajo, pero no necesariamente elimina requisitos esenciales de competencia, licencia o seguridad.</w:t>
      </w:r>
    </w:p>
    <w:bookmarkEnd w:id="44"/>
    <w:bookmarkStart w:id="45" w:name="X5639ab965204849b1c43318142f9459d8b0a60c"/>
    <w:p>
      <w:pPr>
        <w:pStyle w:val="Heading1"/>
      </w:pPr>
      <w:r>
        <w:t xml:space="preserve">11. Proteja la seguridad, la privacidad y la integridad</w:t>
      </w:r>
    </w:p>
    <w:p>
      <w:pPr>
        <w:pStyle w:val="FirstParagraph"/>
      </w:pPr>
      <w:r>
        <w:t xml:space="preserve">No realice trabajo regulado, peligroso, clínico, legal, financiero, eléctrico, mecánico o crítico para la seguridad sin capacitación, autorización, supervisión y protección adecuadas.</w:t>
      </w:r>
    </w:p>
    <w:p>
      <w:pPr>
        <w:pStyle w:val="BodyText"/>
      </w:pPr>
      <w:r>
        <w:t xml:space="preserve">Use la IA con cuidado:</w:t>
      </w:r>
    </w:p>
    <w:p>
      <w:pPr>
        <w:numPr>
          <w:ilvl w:val="0"/>
          <w:numId w:val="1010"/>
        </w:numPr>
        <w:pStyle w:val="Compact"/>
      </w:pPr>
      <w:r>
        <w:t xml:space="preserve">No cargue información confidencial o identificable.</w:t>
      </w:r>
    </w:p>
    <w:p>
      <w:pPr>
        <w:numPr>
          <w:ilvl w:val="0"/>
          <w:numId w:val="1010"/>
        </w:numPr>
        <w:pStyle w:val="Compact"/>
      </w:pPr>
      <w:r>
        <w:t xml:space="preserve">Verifique afirmaciones, cálculos, leyes, citas e instrucciones.</w:t>
      </w:r>
    </w:p>
    <w:p>
      <w:pPr>
        <w:numPr>
          <w:ilvl w:val="0"/>
          <w:numId w:val="1010"/>
        </w:numPr>
        <w:pStyle w:val="Compact"/>
      </w:pPr>
      <w:r>
        <w:t xml:space="preserve">No invente experiencia, credenciales, referencias, resultados o fuentes.</w:t>
      </w:r>
    </w:p>
    <w:p>
      <w:pPr>
        <w:numPr>
          <w:ilvl w:val="0"/>
          <w:numId w:val="1010"/>
        </w:numPr>
        <w:pStyle w:val="Compact"/>
      </w:pPr>
      <w:r>
        <w:t xml:space="preserve">Mantenga responsabilidad humana sobre decisiones que afecten seguridad, derechos, empleo, educación, dinero o salud.</w:t>
      </w:r>
    </w:p>
    <w:p>
      <w:pPr>
        <w:numPr>
          <w:ilvl w:val="0"/>
          <w:numId w:val="1010"/>
        </w:numPr>
        <w:pStyle w:val="Compact"/>
      </w:pPr>
      <w:r>
        <w:t xml:space="preserve">Declare el uso de IA cuando lo exijan la institución, el empleador, el proyecto o la plataforma.</w:t>
      </w:r>
    </w:p>
    <w:bookmarkEnd w:id="45"/>
    <w:bookmarkStart w:id="46" w:name="X8d3931af15b674969468a48d18fe18991231857"/>
    <w:p>
      <w:pPr>
        <w:pStyle w:val="Heading1"/>
      </w:pPr>
      <w:r>
        <w:t xml:space="preserve">12. Construya evidencia y postúlese con honestidad</w:t>
      </w:r>
    </w:p>
    <w:p>
      <w:pPr>
        <w:pStyle w:val="FirstParagraph"/>
      </w:pPr>
      <w:r>
        <w:t xml:space="preserve">La evidencia útil puede incluir portafolios, estudios de caso, muestras de escritura, hojas de cálculo, diseños, mapas, código, prácticas supervisadas, registros de aprendizaje, demostraciones de habilidades, voluntariado o referencias.</w:t>
      </w:r>
    </w:p>
    <w:p>
      <w:pPr>
        <w:pStyle w:val="BodyText"/>
      </w:pPr>
      <w:r>
        <w:t xml:space="preserve">Use material sintético, público o autorizado y explique su contribución personal a trabajos de equipo.</w:t>
      </w:r>
    </w:p>
    <w:bookmarkEnd w:id="46"/>
    <w:bookmarkStart w:id="47" w:name="Xb75ec6eb9e078b3ed07a8da0324d7a9a2912d39"/>
    <w:p>
      <w:pPr>
        <w:pStyle w:val="Heading1"/>
      </w:pPr>
      <w:r>
        <w:t xml:space="preserve">13. Planifique avance, adaptación y salida</w:t>
      </w:r>
    </w:p>
    <w:p>
      <w:pPr>
        <w:pStyle w:val="FirstParagraph"/>
      </w:pPr>
      <w:r>
        <w:t xml:space="preserve">Construya tres rutas: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Ruta principal:</w:t>
      </w:r>
      <w:r>
        <w:t xml:space="preserve"> </w:t>
      </w:r>
      <w:r>
        <w:t xml:space="preserve">el trabajo que busca ahora.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Ruta adyacente:</w:t>
      </w:r>
      <w:r>
        <w:t xml:space="preserve"> </w:t>
      </w:r>
      <w:r>
        <w:t xml:space="preserve">una función relacionada que utilice muchas de las mismas competencias.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Ruta con menos barreras:</w:t>
      </w:r>
      <w:r>
        <w:t xml:space="preserve"> </w:t>
      </w:r>
      <w:r>
        <w:t xml:space="preserve">una función que pueda iniciarse más rápido, de forma remota, con menor exigencia física o mediante capacitación más corta.</w:t>
      </w:r>
    </w:p>
    <w:p>
      <w:pPr>
        <w:pStyle w:val="FirstParagraph"/>
      </w:pPr>
      <w:r>
        <w:t xml:space="preserve">Cambiar de dirección después de reunir mejor evidencia es buen juicio, no fracaso.</w:t>
      </w:r>
    </w:p>
    <w:bookmarkEnd w:id="47"/>
    <w:bookmarkStart w:id="51" w:name="X6013889aa526ccb6121a9d2cf9600d1a3fb04cb"/>
    <w:p>
      <w:pPr>
        <w:pStyle w:val="Heading1"/>
      </w:pPr>
      <w:r>
        <w:t xml:space="preserve">14. Investigación de 30 días y ruta de 90 días</w:t>
      </w:r>
    </w:p>
    <w:bookmarkStart w:id="48" w:name="primeros-30-días"/>
    <w:p>
      <w:pPr>
        <w:pStyle w:val="Heading2"/>
      </w:pPr>
      <w:r>
        <w:t xml:space="preserve">Primeros 30 días</w:t>
      </w:r>
    </w:p>
    <w:p>
      <w:pPr>
        <w:numPr>
          <w:ilvl w:val="0"/>
          <w:numId w:val="1012"/>
        </w:numPr>
        <w:pStyle w:val="Compact"/>
      </w:pPr>
      <w:r>
        <w:t xml:space="preserve">Documente su punto de partida y límite seguro de gasto.</w:t>
      </w:r>
    </w:p>
    <w:p>
      <w:pPr>
        <w:numPr>
          <w:ilvl w:val="0"/>
          <w:numId w:val="1012"/>
        </w:numPr>
        <w:pStyle w:val="Compact"/>
      </w:pPr>
      <w:r>
        <w:t xml:space="preserve">Revise intereses, valores, habilidades y accesibilidad.</w:t>
      </w:r>
    </w:p>
    <w:p>
      <w:pPr>
        <w:numPr>
          <w:ilvl w:val="0"/>
          <w:numId w:val="1012"/>
        </w:numPr>
        <w:pStyle w:val="Compact"/>
      </w:pPr>
      <w:r>
        <w:t xml:space="preserve">Seleccione tres familias ocupacionales.</w:t>
      </w:r>
    </w:p>
    <w:p>
      <w:pPr>
        <w:numPr>
          <w:ilvl w:val="0"/>
          <w:numId w:val="1012"/>
        </w:numPr>
        <w:pStyle w:val="Compact"/>
      </w:pPr>
      <w:r>
        <w:t xml:space="preserve">Consulte descripciones oficiales y vacantes actuales.</w:t>
      </w:r>
    </w:p>
    <w:p>
      <w:pPr>
        <w:numPr>
          <w:ilvl w:val="0"/>
          <w:numId w:val="1012"/>
        </w:numPr>
        <w:pStyle w:val="Compact"/>
      </w:pPr>
      <w:r>
        <w:t xml:space="preserve">Complete una tarea de muestra por cada opción principal.</w:t>
      </w:r>
    </w:p>
    <w:p>
      <w:pPr>
        <w:numPr>
          <w:ilvl w:val="0"/>
          <w:numId w:val="1012"/>
        </w:numPr>
        <w:pStyle w:val="Compact"/>
      </w:pPr>
      <w:r>
        <w:t xml:space="preserve">Hable con personas que realizan el trabajo.</w:t>
      </w:r>
    </w:p>
    <w:p>
      <w:pPr>
        <w:numPr>
          <w:ilvl w:val="0"/>
          <w:numId w:val="1012"/>
        </w:numPr>
        <w:pStyle w:val="Compact"/>
      </w:pPr>
      <w:r>
        <w:t xml:space="preserve">Identifique aprendizaje gratuito y financiado.</w:t>
      </w:r>
    </w:p>
    <w:bookmarkEnd w:id="48"/>
    <w:bookmarkStart w:id="49" w:name="días-31-a-60"/>
    <w:p>
      <w:pPr>
        <w:pStyle w:val="Heading2"/>
      </w:pPr>
      <w:r>
        <w:t xml:space="preserve">Días 31 a 60</w:t>
      </w:r>
    </w:p>
    <w:p>
      <w:pPr>
        <w:numPr>
          <w:ilvl w:val="0"/>
          <w:numId w:val="1013"/>
        </w:numPr>
        <w:pStyle w:val="Compact"/>
      </w:pPr>
      <w:r>
        <w:t xml:space="preserve">Seleccione una opción principal y una adyacente.</w:t>
      </w:r>
    </w:p>
    <w:p>
      <w:pPr>
        <w:numPr>
          <w:ilvl w:val="0"/>
          <w:numId w:val="1013"/>
        </w:numPr>
        <w:pStyle w:val="Compact"/>
      </w:pPr>
      <w:r>
        <w:t xml:space="preserve">Verifique educación, licencia, reconocimiento, costo total y adaptaciones.</w:t>
      </w:r>
    </w:p>
    <w:p>
      <w:pPr>
        <w:numPr>
          <w:ilvl w:val="0"/>
          <w:numId w:val="1013"/>
        </w:numPr>
        <w:pStyle w:val="Compact"/>
      </w:pPr>
      <w:r>
        <w:t xml:space="preserve">Investigue fuentes oficiales y no gubernamentales de remuneración.</w:t>
      </w:r>
    </w:p>
    <w:p>
      <w:pPr>
        <w:numPr>
          <w:ilvl w:val="0"/>
          <w:numId w:val="1013"/>
        </w:numPr>
        <w:pStyle w:val="Compact"/>
      </w:pPr>
      <w:r>
        <w:t xml:space="preserve">Contacte programas de empleo, aprendizaje, discapacidad, becas, empleadores y capacitación.</w:t>
      </w:r>
    </w:p>
    <w:p>
      <w:pPr>
        <w:numPr>
          <w:ilvl w:val="0"/>
          <w:numId w:val="1013"/>
        </w:numPr>
        <w:pStyle w:val="Compact"/>
      </w:pPr>
      <w:r>
        <w:t xml:space="preserve">Inicie formación básica y construya una muestra ética de trabajo.</w:t>
      </w:r>
    </w:p>
    <w:bookmarkEnd w:id="49"/>
    <w:bookmarkStart w:id="50" w:name="días-61-a-90"/>
    <w:p>
      <w:pPr>
        <w:pStyle w:val="Heading2"/>
      </w:pPr>
      <w:r>
        <w:t xml:space="preserve">Días 61 a 90</w:t>
      </w:r>
    </w:p>
    <w:p>
      <w:pPr>
        <w:numPr>
          <w:ilvl w:val="0"/>
          <w:numId w:val="1014"/>
        </w:numPr>
        <w:pStyle w:val="Compact"/>
      </w:pPr>
      <w:r>
        <w:t xml:space="preserve">Complete una segunda muestra o actividad supervisada.</w:t>
      </w:r>
    </w:p>
    <w:p>
      <w:pPr>
        <w:numPr>
          <w:ilvl w:val="0"/>
          <w:numId w:val="1014"/>
        </w:numPr>
        <w:pStyle w:val="Compact"/>
      </w:pPr>
      <w:r>
        <w:t xml:space="preserve">Prepare un currículum veraz y un registro de postulaciones.</w:t>
      </w:r>
    </w:p>
    <w:p>
      <w:pPr>
        <w:numPr>
          <w:ilvl w:val="0"/>
          <w:numId w:val="1014"/>
        </w:numPr>
        <w:pStyle w:val="Compact"/>
      </w:pPr>
      <w:r>
        <w:t xml:space="preserve">Postúlese de forma selectiva a puntos de entrada realistas.</w:t>
      </w:r>
    </w:p>
    <w:p>
      <w:pPr>
        <w:numPr>
          <w:ilvl w:val="0"/>
          <w:numId w:val="1014"/>
        </w:numPr>
        <w:pStyle w:val="Compact"/>
      </w:pPr>
      <w:r>
        <w:t xml:space="preserve">Registre respuestas, entrevistas y brechas repetidas.</w:t>
      </w:r>
    </w:p>
    <w:p>
      <w:pPr>
        <w:numPr>
          <w:ilvl w:val="0"/>
          <w:numId w:val="1014"/>
        </w:numPr>
        <w:pStyle w:val="Compact"/>
      </w:pPr>
      <w:r>
        <w:t xml:space="preserve">Ajuste el plan con evidencia y sin culpabilizarse.</w:t>
      </w:r>
    </w:p>
    <w:bookmarkEnd w:id="50"/>
    <w:bookmarkEnd w:id="51"/>
    <w:bookmarkStart w:id="52" w:name="X209f38425bff5e9ecc9c647f5458e6674b3a067"/>
    <w:p>
      <w:pPr>
        <w:pStyle w:val="Heading1"/>
      </w:pPr>
      <w:r>
        <w:t xml:space="preserve">15. Hojas de trabajo requeridas</w:t>
      </w:r>
    </w:p>
    <w:p>
      <w:pPr>
        <w:pStyle w:val="FirstParagraph"/>
      </w:pPr>
      <w:r>
        <w:t xml:space="preserve">Cada guía ocupacional debe incluir o enlazar:</w:t>
      </w:r>
    </w:p>
    <w:p>
      <w:pPr>
        <w:numPr>
          <w:ilvl w:val="0"/>
          <w:numId w:val="1015"/>
        </w:numPr>
        <w:pStyle w:val="Compact"/>
      </w:pPr>
      <w:r>
        <w:t xml:space="preserve">Punto de partida y restricciones.</w:t>
      </w:r>
    </w:p>
    <w:p>
      <w:pPr>
        <w:numPr>
          <w:ilvl w:val="0"/>
          <w:numId w:val="1015"/>
        </w:numPr>
        <w:pStyle w:val="Compact"/>
      </w:pPr>
      <w:r>
        <w:t xml:space="preserve">Revisión de afinidad y realidad del trabajo.</w:t>
      </w:r>
    </w:p>
    <w:p>
      <w:pPr>
        <w:numPr>
          <w:ilvl w:val="0"/>
          <w:numId w:val="1015"/>
        </w:numPr>
        <w:pStyle w:val="Compact"/>
      </w:pPr>
      <w:r>
        <w:t xml:space="preserve">Tabla de evidencia de vacantes.</w:t>
      </w:r>
    </w:p>
    <w:p>
      <w:pPr>
        <w:numPr>
          <w:ilvl w:val="0"/>
          <w:numId w:val="1015"/>
        </w:numPr>
        <w:pStyle w:val="Compact"/>
      </w:pPr>
      <w:r>
        <w:t xml:space="preserve">Comparación de fuentes de remuneración.</w:t>
      </w:r>
    </w:p>
    <w:p>
      <w:pPr>
        <w:numPr>
          <w:ilvl w:val="0"/>
          <w:numId w:val="1015"/>
        </w:numPr>
        <w:pStyle w:val="Compact"/>
      </w:pPr>
      <w:r>
        <w:t xml:space="preserve">Verificación del proveedor educativo.</w:t>
      </w:r>
    </w:p>
    <w:p>
      <w:pPr>
        <w:numPr>
          <w:ilvl w:val="0"/>
          <w:numId w:val="1015"/>
        </w:numPr>
        <w:pStyle w:val="Compact"/>
      </w:pPr>
      <w:r>
        <w:t xml:space="preserve">Localizador de financiamiento y aprendizaje.</w:t>
      </w:r>
    </w:p>
    <w:p>
      <w:pPr>
        <w:numPr>
          <w:ilvl w:val="0"/>
          <w:numId w:val="1015"/>
        </w:numPr>
        <w:pStyle w:val="Compact"/>
      </w:pPr>
      <w:r>
        <w:t xml:space="preserve">Comparación de costo total.</w:t>
      </w:r>
    </w:p>
    <w:p>
      <w:pPr>
        <w:numPr>
          <w:ilvl w:val="0"/>
          <w:numId w:val="1015"/>
        </w:numPr>
        <w:pStyle w:val="Compact"/>
      </w:pPr>
      <w:r>
        <w:t xml:space="preserve">Preguntas sobre apoyo del empleador.</w:t>
      </w:r>
    </w:p>
    <w:p>
      <w:pPr>
        <w:numPr>
          <w:ilvl w:val="0"/>
          <w:numId w:val="1015"/>
        </w:numPr>
        <w:pStyle w:val="Compact"/>
      </w:pPr>
      <w:r>
        <w:t xml:space="preserve">Plan de accesibilidad y apoyo.</w:t>
      </w:r>
    </w:p>
    <w:p>
      <w:pPr>
        <w:numPr>
          <w:ilvl w:val="0"/>
          <w:numId w:val="1015"/>
        </w:numPr>
        <w:pStyle w:val="Compact"/>
      </w:pPr>
      <w:r>
        <w:t xml:space="preserve">Plan ético de portafolio.</w:t>
      </w:r>
    </w:p>
    <w:p>
      <w:pPr>
        <w:numPr>
          <w:ilvl w:val="0"/>
          <w:numId w:val="1015"/>
        </w:numPr>
        <w:pStyle w:val="Compact"/>
      </w:pPr>
      <w:r>
        <w:t xml:space="preserve">Seguimiento de postulaciones.</w:t>
      </w:r>
    </w:p>
    <w:p>
      <w:pPr>
        <w:numPr>
          <w:ilvl w:val="0"/>
          <w:numId w:val="1015"/>
        </w:numPr>
        <w:pStyle w:val="Compact"/>
      </w:pPr>
      <w:r>
        <w:t xml:space="preserve">Plan de 30, 60 y 90 días.</w:t>
      </w:r>
    </w:p>
    <w:bookmarkEnd w:id="52"/>
    <w:bookmarkStart w:id="53" w:name="X339f256613082cf675696f50de5db6fd3d0d61d"/>
    <w:p>
      <w:pPr>
        <w:pStyle w:val="Heading1"/>
      </w:pPr>
      <w:r>
        <w:t xml:space="preserve">16. Términos de búsqueda regionales y de idioma</w:t>
      </w:r>
    </w:p>
    <w:p>
      <w:pPr>
        <w:pStyle w:val="FirstParagraph"/>
      </w:pPr>
      <w:r>
        <w:t xml:space="preserve">Cada guía debe incluir términos prácticos en inglés, español latinoamericano neutral y portugués brasileño para cargos, puestos de entrada, aprendizaje, trainee, capacitación gubernamental, becas, subvenciones, apoyo del empleador y licencias locales.</w:t>
      </w:r>
    </w:p>
    <w:p>
      <w:pPr>
        <w:pStyle w:val="BodyText"/>
      </w:pPr>
      <w:r>
        <w:t xml:space="preserve">Las traducciones deben conservar significado, advertencias, estado de las fuentes y límites jurisdiccionales. No deben declararse certificadas o acreditadas de forma independiente sin evidencia real de esa revisión externa.</w:t>
      </w:r>
    </w:p>
    <w:bookmarkEnd w:id="53"/>
    <w:bookmarkStart w:id="55" w:name="X9c19812ee9b0987accf3bf41fae5cc7a7f829ab"/>
    <w:p>
      <w:pPr>
        <w:pStyle w:val="Heading1"/>
      </w:pPr>
      <w:r>
        <w:t xml:space="preserve">17. Fuentes, versiones y mantenimiento</w:t>
      </w:r>
    </w:p>
    <w:p>
      <w:pPr>
        <w:pStyle w:val="FirstParagraph"/>
      </w:pPr>
      <w:r>
        <w:t xml:space="preserve">Utilice leyes, reguladores, ministerios, entidades educativas, organismos de licencia, estadísticas laborales, patrocinadores de aprendizaje, sindicatos, instituciones públicas y asociaciones reconocidas siempre que sea posible.</w:t>
      </w:r>
    </w:p>
    <w:p>
      <w:pPr>
        <w:pStyle w:val="BodyText"/>
      </w:pPr>
      <w:r>
        <w:t xml:space="preserve">Las fuentes comerciales pueden complementar, pero no sustituir, la evidencia oficial.</w:t>
      </w:r>
    </w:p>
    <w:p>
      <w:pPr>
        <w:pStyle w:val="BodyText"/>
      </w:pPr>
      <w:r>
        <w:t xml:space="preserve">Cada edición debe mostrar versión y fecha. Los programas, cifras salariales y convocatorias deben indicar fecha de última verificación. Los enlaces rotos, cambios de elegibilidad, programas cerrados, costos inexactos y cambios de licencia deben corregirse y documentarse.</w:t>
      </w:r>
    </w:p>
    <w:p>
      <w:pPr>
        <w:pStyle w:val="BodyText"/>
      </w:pPr>
      <w:r>
        <w:t xml:space="preserve">Una guía solo está lista para publicación después de superar revisiones factual, ética, editorial, de accesibilidad, enlaces, traducción, DOCX, PDF buscable, páginas renderizadas, metadatos y revisión del propietario.</w:t>
      </w:r>
    </w:p>
    <w:bookmarkStart w:id="54" w:name="fuentes-oficiales-iniciales"/>
    <w:p>
      <w:pPr>
        <w:pStyle w:val="Heading2"/>
      </w:pPr>
      <w:r>
        <w:t xml:space="preserve">Fuentes oficiales iniciales</w:t>
      </w:r>
    </w:p>
    <w:p>
      <w:pPr>
        <w:numPr>
          <w:ilvl w:val="0"/>
          <w:numId w:val="1016"/>
        </w:numPr>
        <w:pStyle w:val="Compact"/>
      </w:pPr>
      <w:r>
        <w:t xml:space="preserve">O*NET y CareerOneStop.</w:t>
      </w:r>
    </w:p>
    <w:p>
      <w:pPr>
        <w:numPr>
          <w:ilvl w:val="0"/>
          <w:numId w:val="1016"/>
        </w:numPr>
        <w:pStyle w:val="Compact"/>
      </w:pPr>
      <w:r>
        <w:t xml:space="preserve">U.S. Bureau of Labor Statistics Occupational Outlook Handbook.</w:t>
      </w:r>
    </w:p>
    <w:p>
      <w:pPr>
        <w:numPr>
          <w:ilvl w:val="0"/>
          <w:numId w:val="1016"/>
        </w:numPr>
        <w:pStyle w:val="Compact"/>
      </w:pPr>
      <w:r>
        <w:t xml:space="preserve">Apprenticeship.gov.</w:t>
      </w:r>
    </w:p>
    <w:p>
      <w:pPr>
        <w:numPr>
          <w:ilvl w:val="0"/>
          <w:numId w:val="1016"/>
        </w:numPr>
        <w:pStyle w:val="Compact"/>
      </w:pPr>
      <w:r>
        <w:t xml:space="preserve">Federal Student Aid.</w:t>
      </w:r>
    </w:p>
    <w:p>
      <w:pPr>
        <w:numPr>
          <w:ilvl w:val="0"/>
          <w:numId w:val="1016"/>
        </w:numPr>
        <w:pStyle w:val="Compact"/>
      </w:pPr>
      <w:r>
        <w:t xml:space="preserve">Job Accommodation Network.</w:t>
      </w:r>
    </w:p>
    <w:p>
      <w:pPr>
        <w:numPr>
          <w:ilvl w:val="0"/>
          <w:numId w:val="1016"/>
        </w:numPr>
        <w:pStyle w:val="Compact"/>
      </w:pPr>
      <w:r>
        <w:t xml:space="preserve">Government of Canada Job Bank y servicios de capacitación.</w:t>
      </w:r>
    </w:p>
    <w:p>
      <w:pPr>
        <w:numPr>
          <w:ilvl w:val="0"/>
          <w:numId w:val="1016"/>
        </w:numPr>
        <w:pStyle w:val="Compact"/>
      </w:pPr>
      <w:r>
        <w:t xml:space="preserve">Autoridades provinciales y territoriales de aprendizaje de Canadá.</w:t>
      </w:r>
    </w:p>
    <w:p>
      <w:pPr>
        <w:numPr>
          <w:ilvl w:val="0"/>
          <w:numId w:val="1016"/>
        </w:numPr>
        <w:pStyle w:val="Compact"/>
      </w:pPr>
      <w:r>
        <w:t xml:space="preserve">SENA, Servicio Público de Empleo, Ministerio de Educación, Ministerio del Trabajo e ICETEX de Colombia.</w:t>
      </w:r>
    </w:p>
    <w:p>
      <w:pPr>
        <w:numPr>
          <w:ilvl w:val="0"/>
          <w:numId w:val="1016"/>
        </w:numPr>
        <w:pStyle w:val="Compact"/>
      </w:pPr>
      <w:r>
        <w:t xml:space="preserve">Portales oficiales de Brasil, México, Argentina y Chile indicados en el registro de verificación de fuentes.</w:t>
      </w:r>
    </w:p>
    <w:p>
      <w:pPr>
        <w:pStyle w:val="FirstParagraph"/>
      </w:pPr>
      <w:r>
        <w:rPr>
          <w:bCs/>
          <w:b/>
        </w:rPr>
        <w:t xml:space="preserve">Última verificación del borrador maestro:</w:t>
      </w:r>
      <w:r>
        <w:t xml:space="preserve"> </w:t>
      </w:r>
      <w:r>
        <w:t xml:space="preserve">2 de agosto de 2026.</w:t>
      </w:r>
    </w:p>
    <w:bookmarkEnd w:id="54"/>
    <w:bookmarkEnd w:id="55"/>
    <w:bookmarkStart w:id="56" w:name="un-siguiente-paso-honesto"/>
    <w:p>
      <w:pPr>
        <w:pStyle w:val="Heading1"/>
      </w:pPr>
      <w:r>
        <w:t xml:space="preserve">Un siguiente paso honesto</w:t>
      </w:r>
    </w:p>
    <w:p>
      <w:pPr>
        <w:pStyle w:val="FirstParagraph"/>
      </w:pPr>
      <w:r>
        <w:t xml:space="preserve">No necesita resolver toda su vida hoy.</w:t>
      </w:r>
    </w:p>
    <w:p>
      <w:pPr>
        <w:pStyle w:val="BodyText"/>
      </w:pPr>
      <w:r>
        <w:t xml:space="preserve">Descubra qué es verdad. Protéjase de la presión. Pida apoyo. Pruebe el trabajo. Elija la ruta creíble menos costosa. Construya evidencia. Revise lo aprendido. Luego dé un siguiente paso honesto.</w:t>
      </w:r>
    </w:p>
    <w:p>
      <w:pPr>
        <w:pStyle w:val="BodyText"/>
      </w:pPr>
      <w:r>
        <w:t xml:space="preserve">Sin importar su edad, discapacidad, ingreso, ubicación o educación previa, su capacidad de aprender y contribuir merece respeto.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2026-08-08T08:15:39Z</dcterms:created>
  <dcterms:modified xsi:type="dcterms:W3CDTF">2026-08-08T08:15:39Z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