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8bebd84cec2d1336949d8bea3f8037a55d24535"/>
    <w:p>
      <w:pPr>
        <w:pStyle w:val="Heading1"/>
      </w:pPr>
      <w:r>
        <w:t xml:space="preserve">Guia de Oportunidades para Toda a Vida 76 — Assistente de Relações Públicas e Coordenador(a) de Comunicação</w:t>
      </w:r>
    </w:p>
    <w:p>
      <w:pPr>
        <w:pStyle w:val="FirstParagraph"/>
      </w:pPr>
      <w:r>
        <w:rPr>
          <w:bCs/>
          <w:b/>
        </w:rPr>
        <w:t xml:space="preserve">Versão:</w:t>
      </w:r>
      <w:r>
        <w:t xml:space="preserve"> </w:t>
      </w:r>
      <w:r>
        <w:t xml:space="preserve">1.0 localização controlada pt-BR</w:t>
      </w:r>
      <w:r>
        <w:br/>
      </w:r>
      <w:r>
        <w:rPr>
          <w:bCs/>
          <w:b/>
        </w:rPr>
        <w:t xml:space="preserve">Idioma:</w:t>
      </w:r>
      <w:r>
        <w:t xml:space="preserve"> </w:t>
      </w:r>
      <w:r>
        <w:t xml:space="preserve">Português brasileiro (pt-BR)</w:t>
      </w:r>
      <w:r>
        <w:br/>
      </w:r>
      <w:r>
        <w:rPr>
          <w:bCs/>
          <w:b/>
        </w:rPr>
        <w:t xml:space="preserve">Referência ocupacional dos EUA:</w:t>
      </w:r>
      <w:r>
        <w:t xml:space="preserve"> </w:t>
      </w:r>
      <w:r>
        <w:t xml:space="preserve">O*NET-SOC 27-3031.00 — Public Relations Specialists</w:t>
      </w:r>
      <w:r>
        <w:br/>
      </w:r>
      <w:r>
        <w:rPr>
          <w:bCs/>
          <w:b/>
        </w:rPr>
        <w:t xml:space="preserve">Comparação com o Canadá:</w:t>
      </w:r>
      <w:r>
        <w:t xml:space="preserve"> </w:t>
      </w:r>
      <w:r>
        <w:t xml:space="preserve">NOC 11202 — Professional occupations in advertising, marketing and public relations</w:t>
      </w:r>
      <w:r>
        <w:br/>
      </w:r>
      <w:r>
        <w:rPr>
          <w:bCs/>
          <w:b/>
        </w:rPr>
        <w:t xml:space="preserve">Comparações com a Colômbia:</w:t>
      </w:r>
      <w:r>
        <w:t xml:space="preserve"> </w:t>
      </w:r>
      <w:r>
        <w:t xml:space="preserve">CUOC 24320 — Profesionales de relaciones públicas y comunicaciones; CUOC 33392 — Asistentes de mercadeo, publicidad y comunicaciones</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Assistentes de relações públicas e coordenadores de comunicação ajudam organizações a preparar, organizar, publicar, monitorar e melhorar comunicações para funcionários, clientes, mídia, comunidades, parceiros e outros públicos. O trabalho pode incluir listas de imprensa, materiais de imprensa, comunicados internos, mídias sociais, newsletters, comunicações de eventos, atualizações de sites, apoio a apresentações, monitoramento de mídia, apoio a comunicações executivas, registros de partes interessadas e relatórios de desempenho.</w:t>
      </w:r>
    </w:p>
    <w:p>
      <w:pPr>
        <w:pStyle w:val="BodyText"/>
      </w:pPr>
      <w:r>
        <w:t xml:space="preserve">Os títulos variam bastante. Empregadores podem usar nomes como assistente de comunicação, assistente de relações públicas, coordenador de RP, coordenador de comunicação, assistente de relações com a imprensa, especialista em comunicação, coordenador de relações comunitárias, coordenador de conteúdo, assistente de comunicação corporativa, coordenador de comunicação interna ou coordenador de mídias sociais.</w:t>
      </w:r>
    </w:p>
    <w:p>
      <w:pPr>
        <w:pStyle w:val="BodyText"/>
      </w:pPr>
      <w:r>
        <w:t xml:space="preserve">Este guia usa</w:t>
      </w:r>
      <w:r>
        <w:t xml:space="preserve"> </w:t>
      </w:r>
      <w:r>
        <w:rPr>
          <w:bCs/>
          <w:b/>
        </w:rPr>
        <w:t xml:space="preserve">O*NET-SOC 27-3031.00 — Public Relations Specialists</w:t>
      </w:r>
      <w:r>
        <w:t xml:space="preserve"> </w:t>
      </w:r>
      <w:r>
        <w:t xml:space="preserve">como referência ampla dos Estados Unidos. Essa ocupação costuma ser mais profissional e autônoma do que muitos cargos iniciais de assistente. Por isso, o guia separa trabalho de apoio da autoridade de porta-voz, especialista, gerente, jurídico e executivo, em vez de presumir que todos os títulos tenham a mesma responsabilidade.</w:t>
      </w:r>
    </w:p>
    <w:bookmarkEnd w:id="20"/>
    <w:bookmarkStart w:id="21" w:name="X4b201e4a186a1ae60bd83516ebcc75ac7d44759"/>
    <w:p>
      <w:pPr>
        <w:pStyle w:val="Heading2"/>
      </w:pPr>
      <w:r>
        <w:t xml:space="preserve">Por que este cargo pode ser uma oportunidade</w:t>
      </w:r>
    </w:p>
    <w:p>
      <w:pPr>
        <w:pStyle w:val="FirstParagraph"/>
      </w:pPr>
      <w:r>
        <w:t xml:space="preserve">O trabalho de comunicação combina redação, pesquisa, organização, tecnologia, atendimento ao cliente, coordenação de projetos, apoio a eventos, gestão de relacionamentos e julgamento profissional. Habilidades podem ser transferidas de administração de escritório, jornalismo, atendimento ao cliente, marketing, hospitalidade, organizações sem fins lucrativos, educação, vendas, coordenação de eventos, conteúdo digital, serviço comunitário ou mídias sociais.</w:t>
      </w:r>
    </w:p>
    <w:p>
      <w:pPr>
        <w:pStyle w:val="BodyText"/>
      </w:pPr>
      <w:r>
        <w:t xml:space="preserve">A área pode ser adequada para pessoas que gostam de:</w:t>
      </w:r>
    </w:p>
    <w:p>
      <w:pPr>
        <w:numPr>
          <w:ilvl w:val="0"/>
          <w:numId w:val="1001"/>
        </w:numPr>
        <w:pStyle w:val="Compact"/>
      </w:pPr>
      <w:r>
        <w:t xml:space="preserve">escrever e editar mensagens claras;</w:t>
      </w:r>
    </w:p>
    <w:p>
      <w:pPr>
        <w:numPr>
          <w:ilvl w:val="0"/>
          <w:numId w:val="1001"/>
        </w:numPr>
        <w:pStyle w:val="Compact"/>
      </w:pPr>
      <w:r>
        <w:t xml:space="preserve">organizar prazos, aprovações e calendários de conteúdo;</w:t>
      </w:r>
    </w:p>
    <w:p>
      <w:pPr>
        <w:numPr>
          <w:ilvl w:val="0"/>
          <w:numId w:val="1001"/>
        </w:numPr>
        <w:pStyle w:val="Compact"/>
      </w:pPr>
      <w:r>
        <w:t xml:space="preserve">conferir cuidadosamente nomes, datas, citações e fontes;</w:t>
      </w:r>
    </w:p>
    <w:p>
      <w:pPr>
        <w:numPr>
          <w:ilvl w:val="0"/>
          <w:numId w:val="1001"/>
        </w:numPr>
        <w:pStyle w:val="Compact"/>
      </w:pPr>
      <w:r>
        <w:t xml:space="preserve">aprender sobre uma organização e explicá-la para públicos diferentes;</w:t>
      </w:r>
    </w:p>
    <w:p>
      <w:pPr>
        <w:numPr>
          <w:ilvl w:val="0"/>
          <w:numId w:val="1001"/>
        </w:numPr>
        <w:pStyle w:val="Compact"/>
      </w:pPr>
      <w:r>
        <w:t xml:space="preserve">coordenar com gerentes, designers, mídia, fornecedores e equipes de eventos;</w:t>
      </w:r>
    </w:p>
    <w:p>
      <w:pPr>
        <w:numPr>
          <w:ilvl w:val="0"/>
          <w:numId w:val="1001"/>
        </w:numPr>
        <w:pStyle w:val="Compact"/>
      </w:pPr>
      <w:r>
        <w:t xml:space="preserve">monitorar informações públicas e resumir o que importa;</w:t>
      </w:r>
    </w:p>
    <w:p>
      <w:pPr>
        <w:numPr>
          <w:ilvl w:val="0"/>
          <w:numId w:val="1001"/>
        </w:numPr>
        <w:pStyle w:val="Compact"/>
      </w:pPr>
      <w:r>
        <w:t xml:space="preserve">ajudar a tornar comunicações mais acessíveis e inclusivas;</w:t>
      </w:r>
    </w:p>
    <w:p>
      <w:pPr>
        <w:numPr>
          <w:ilvl w:val="0"/>
          <w:numId w:val="1001"/>
        </w:numPr>
        <w:pStyle w:val="Compact"/>
      </w:pPr>
      <w:r>
        <w:t xml:space="preserve">equilibrar velocidade com precisão e requisitos de aprovação.</w:t>
      </w:r>
    </w:p>
    <w:p>
      <w:pPr>
        <w:pStyle w:val="FirstParagraph"/>
      </w:pPr>
      <w:r>
        <w:t xml:space="preserve">O trabalho também pode ser de alta pressão. Crises, anúncios executivos, prazos de imprensa, críticas públicas, incidentes em redes sociais, mudanças em eventos, questões jurídicas e desinformação podem exigir ação rápida. Um profissional júnior nunca deve confundir velocidade com autoridade. Boa prática em comunicação significa saber o que pode ser publicado, o que precisa de aprovação e o que deve ser escalado.</w:t>
      </w:r>
    </w:p>
    <w:bookmarkEnd w:id="21"/>
    <w:bookmarkStart w:id="26" w:name="X6e06c785c5ad182d4ab225ca73746067af39d21"/>
    <w:p>
      <w:pPr>
        <w:pStyle w:val="Heading2"/>
      </w:pPr>
      <w:r>
        <w:t xml:space="preserve">Assistente, coordenador, especialista, porta-voz e gerente têm níveis de responsabilidade diferentes</w:t>
      </w:r>
    </w:p>
    <w:bookmarkStart w:id="22" w:name="Xa1ca707dc32bc7be8c76cfb5b349055e12ab270"/>
    <w:p>
      <w:pPr>
        <w:pStyle w:val="Heading3"/>
      </w:pPr>
      <w:r>
        <w:t xml:space="preserve">Assistente de comunicação ou relações públicas</w:t>
      </w:r>
    </w:p>
    <w:p>
      <w:pPr>
        <w:pStyle w:val="FirstParagraph"/>
      </w:pPr>
      <w:r>
        <w:t xml:space="preserve">Um assistente pode:</w:t>
      </w:r>
    </w:p>
    <w:p>
      <w:pPr>
        <w:numPr>
          <w:ilvl w:val="0"/>
          <w:numId w:val="1002"/>
        </w:numPr>
        <w:pStyle w:val="Compact"/>
      </w:pPr>
      <w:r>
        <w:t xml:space="preserve">manter listas de mídia ou partes interessadas;</w:t>
      </w:r>
    </w:p>
    <w:p>
      <w:pPr>
        <w:numPr>
          <w:ilvl w:val="0"/>
          <w:numId w:val="1002"/>
        </w:numPr>
        <w:pStyle w:val="Compact"/>
      </w:pPr>
      <w:r>
        <w:t xml:space="preserve">monitorar canais aprovados de notícias e mídias sociais;</w:t>
      </w:r>
    </w:p>
    <w:p>
      <w:pPr>
        <w:numPr>
          <w:ilvl w:val="0"/>
          <w:numId w:val="1002"/>
        </w:numPr>
        <w:pStyle w:val="Compact"/>
      </w:pPr>
      <w:r>
        <w:t xml:space="preserve">redigir textos rotineiros para revisão;</w:t>
      </w:r>
    </w:p>
    <w:p>
      <w:pPr>
        <w:numPr>
          <w:ilvl w:val="0"/>
          <w:numId w:val="1002"/>
        </w:numPr>
        <w:pStyle w:val="Compact"/>
      </w:pPr>
      <w:r>
        <w:t xml:space="preserve">preparar primeiras versões de newsletters ou comunicados internos;</w:t>
      </w:r>
    </w:p>
    <w:p>
      <w:pPr>
        <w:numPr>
          <w:ilvl w:val="0"/>
          <w:numId w:val="1002"/>
        </w:numPr>
        <w:pStyle w:val="Compact"/>
      </w:pPr>
      <w:r>
        <w:t xml:space="preserve">organizar imagens e documentos aprovados;</w:t>
      </w:r>
    </w:p>
    <w:p>
      <w:pPr>
        <w:numPr>
          <w:ilvl w:val="0"/>
          <w:numId w:val="1002"/>
        </w:numPr>
        <w:pStyle w:val="Compact"/>
      </w:pPr>
      <w:r>
        <w:t xml:space="preserve">atualizar calendários e controles;</w:t>
      </w:r>
    </w:p>
    <w:p>
      <w:pPr>
        <w:numPr>
          <w:ilvl w:val="0"/>
          <w:numId w:val="1002"/>
        </w:numPr>
        <w:pStyle w:val="Compact"/>
      </w:pPr>
      <w:r>
        <w:t xml:space="preserve">agendar conteúdo aprovado;</w:t>
      </w:r>
    </w:p>
    <w:p>
      <w:pPr>
        <w:numPr>
          <w:ilvl w:val="0"/>
          <w:numId w:val="1002"/>
        </w:numPr>
        <w:pStyle w:val="Compact"/>
      </w:pPr>
      <w:r>
        <w:t xml:space="preserve">compilar métricas de engajamento;</w:t>
      </w:r>
    </w:p>
    <w:p>
      <w:pPr>
        <w:numPr>
          <w:ilvl w:val="0"/>
          <w:numId w:val="1002"/>
        </w:numPr>
        <w:pStyle w:val="Compact"/>
      </w:pPr>
      <w:r>
        <w:t xml:space="preserve">preparar notas de reuniões e listas de ações;</w:t>
      </w:r>
    </w:p>
    <w:p>
      <w:pPr>
        <w:numPr>
          <w:ilvl w:val="0"/>
          <w:numId w:val="1002"/>
        </w:numPr>
        <w:pStyle w:val="Compact"/>
      </w:pPr>
      <w:r>
        <w:t xml:space="preserve">apoiar inscrições de eventos ou logística de mídia;</w:t>
      </w:r>
    </w:p>
    <w:p>
      <w:pPr>
        <w:numPr>
          <w:ilvl w:val="0"/>
          <w:numId w:val="1002"/>
        </w:numPr>
        <w:pStyle w:val="Compact"/>
      </w:pPr>
      <w:r>
        <w:t xml:space="preserve">revisar nomes, datas, links e formatação;</w:t>
      </w:r>
    </w:p>
    <w:p>
      <w:pPr>
        <w:numPr>
          <w:ilvl w:val="0"/>
          <w:numId w:val="1002"/>
        </w:numPr>
        <w:pStyle w:val="Compact"/>
      </w:pPr>
      <w:r>
        <w:t xml:space="preserve">escalar dúvidas ou possíveis erros.</w:t>
      </w:r>
    </w:p>
    <w:bookmarkEnd w:id="22"/>
    <w:bookmarkStart w:id="23" w:name="coordenadora-de-comunicação"/>
    <w:p>
      <w:pPr>
        <w:pStyle w:val="Heading3"/>
      </w:pPr>
      <w:r>
        <w:t xml:space="preserve">Coordenador(a) de comunicação</w:t>
      </w:r>
    </w:p>
    <w:p>
      <w:pPr>
        <w:pStyle w:val="FirstParagraph"/>
      </w:pPr>
      <w:r>
        <w:t xml:space="preserve">Um coordenador pode também:</w:t>
      </w:r>
    </w:p>
    <w:p>
      <w:pPr>
        <w:numPr>
          <w:ilvl w:val="0"/>
          <w:numId w:val="1003"/>
        </w:numPr>
        <w:pStyle w:val="Compact"/>
      </w:pPr>
      <w:r>
        <w:t xml:space="preserve">coordenar calendários de conteúdo e fluxos de aprovação;</w:t>
      </w:r>
    </w:p>
    <w:p>
      <w:pPr>
        <w:numPr>
          <w:ilvl w:val="0"/>
          <w:numId w:val="1003"/>
        </w:numPr>
        <w:pStyle w:val="Compact"/>
      </w:pPr>
      <w:r>
        <w:t xml:space="preserve">gerenciar projetos rotineiros de comunicação;</w:t>
      </w:r>
    </w:p>
    <w:p>
      <w:pPr>
        <w:numPr>
          <w:ilvl w:val="0"/>
          <w:numId w:val="1003"/>
        </w:numPr>
        <w:pStyle w:val="Compact"/>
      </w:pPr>
      <w:r>
        <w:t xml:space="preserve">coordenar fornecedores, designers, fotógrafos ou apoio a eventos;</w:t>
      </w:r>
    </w:p>
    <w:p>
      <w:pPr>
        <w:numPr>
          <w:ilvl w:val="0"/>
          <w:numId w:val="1003"/>
        </w:numPr>
        <w:pStyle w:val="Compact"/>
      </w:pPr>
      <w:r>
        <w:t xml:space="preserve">preparar rascunhos de releases, pontos de fala, perguntas frequentes ou documentos de briefing;</w:t>
      </w:r>
    </w:p>
    <w:p>
      <w:pPr>
        <w:numPr>
          <w:ilvl w:val="0"/>
          <w:numId w:val="1003"/>
        </w:numPr>
        <w:pStyle w:val="Compact"/>
      </w:pPr>
      <w:r>
        <w:t xml:space="preserve">coordenar listas de distribuição internas e externas;</w:t>
      </w:r>
    </w:p>
    <w:p>
      <w:pPr>
        <w:numPr>
          <w:ilvl w:val="0"/>
          <w:numId w:val="1003"/>
        </w:numPr>
        <w:pStyle w:val="Compact"/>
      </w:pPr>
      <w:r>
        <w:t xml:space="preserve">administrar fluxos aprovados de publicação em mídias sociais;</w:t>
      </w:r>
    </w:p>
    <w:p>
      <w:pPr>
        <w:numPr>
          <w:ilvl w:val="0"/>
          <w:numId w:val="1003"/>
        </w:numPr>
        <w:pStyle w:val="Compact"/>
      </w:pPr>
      <w:r>
        <w:t xml:space="preserve">apoiar solicitações da imprensa segundo procedimentos definidos;</w:t>
      </w:r>
    </w:p>
    <w:p>
      <w:pPr>
        <w:numPr>
          <w:ilvl w:val="0"/>
          <w:numId w:val="1003"/>
        </w:numPr>
        <w:pStyle w:val="Compact"/>
      </w:pPr>
      <w:r>
        <w:t xml:space="preserve">acompanhar cobertura e preparar resumos;</w:t>
      </w:r>
    </w:p>
    <w:p>
      <w:pPr>
        <w:numPr>
          <w:ilvl w:val="0"/>
          <w:numId w:val="1003"/>
        </w:numPr>
        <w:pStyle w:val="Compact"/>
      </w:pPr>
      <w:r>
        <w:t xml:space="preserve">manter registros de projetos e histórico de versões;</w:t>
      </w:r>
    </w:p>
    <w:p>
      <w:pPr>
        <w:numPr>
          <w:ilvl w:val="0"/>
          <w:numId w:val="1003"/>
        </w:numPr>
        <w:pStyle w:val="Compact"/>
      </w:pPr>
      <w:r>
        <w:t xml:space="preserve">coordenar fluxos de acessibilidade e tradução quando designado.</w:t>
      </w:r>
    </w:p>
    <w:bookmarkEnd w:id="23"/>
    <w:bookmarkStart w:id="24" w:name="Xe5eccf4b142843ef9fdacb69bdaa9c6c68a98b4"/>
    <w:p>
      <w:pPr>
        <w:pStyle w:val="Heading3"/>
      </w:pPr>
      <w:r>
        <w:t xml:space="preserve">Especialista em comunicação ou relações públicas</w:t>
      </w:r>
    </w:p>
    <w:p>
      <w:pPr>
        <w:pStyle w:val="FirstParagraph"/>
      </w:pPr>
      <w:r>
        <w:t xml:space="preserve">Um especialista pode ter responsabilidade maior por:</w:t>
      </w:r>
    </w:p>
    <w:p>
      <w:pPr>
        <w:numPr>
          <w:ilvl w:val="0"/>
          <w:numId w:val="1004"/>
        </w:numPr>
        <w:pStyle w:val="Compact"/>
      </w:pPr>
      <w:r>
        <w:t xml:space="preserve">relações com a mídia;</w:t>
      </w:r>
    </w:p>
    <w:p>
      <w:pPr>
        <w:numPr>
          <w:ilvl w:val="0"/>
          <w:numId w:val="1004"/>
        </w:numPr>
        <w:pStyle w:val="Compact"/>
      </w:pPr>
      <w:r>
        <w:t xml:space="preserve">estratégia de partes interessadas;</w:t>
      </w:r>
    </w:p>
    <w:p>
      <w:pPr>
        <w:numPr>
          <w:ilvl w:val="0"/>
          <w:numId w:val="1004"/>
        </w:numPr>
        <w:pStyle w:val="Compact"/>
      </w:pPr>
      <w:r>
        <w:t xml:space="preserve">planejamento de campanhas;</w:t>
      </w:r>
    </w:p>
    <w:p>
      <w:pPr>
        <w:numPr>
          <w:ilvl w:val="0"/>
          <w:numId w:val="1004"/>
        </w:numPr>
        <w:pStyle w:val="Compact"/>
      </w:pPr>
      <w:r>
        <w:t xml:space="preserve">comunicação executiva;</w:t>
      </w:r>
    </w:p>
    <w:p>
      <w:pPr>
        <w:numPr>
          <w:ilvl w:val="0"/>
          <w:numId w:val="1004"/>
        </w:numPr>
        <w:pStyle w:val="Compact"/>
      </w:pPr>
      <w:r>
        <w:t xml:space="preserve">monitoramento de reputação;</w:t>
      </w:r>
    </w:p>
    <w:p>
      <w:pPr>
        <w:numPr>
          <w:ilvl w:val="0"/>
          <w:numId w:val="1004"/>
        </w:numPr>
        <w:pStyle w:val="Compact"/>
      </w:pPr>
      <w:r>
        <w:t xml:space="preserve">gestão de questões sensíveis;</w:t>
      </w:r>
    </w:p>
    <w:p>
      <w:pPr>
        <w:numPr>
          <w:ilvl w:val="0"/>
          <w:numId w:val="1004"/>
        </w:numPr>
        <w:pStyle w:val="Compact"/>
      </w:pPr>
      <w:r>
        <w:t xml:space="preserve">programas de comunicação interna;</w:t>
      </w:r>
    </w:p>
    <w:p>
      <w:pPr>
        <w:numPr>
          <w:ilvl w:val="0"/>
          <w:numId w:val="1004"/>
        </w:numPr>
        <w:pStyle w:val="Compact"/>
      </w:pPr>
      <w:r>
        <w:t xml:space="preserve">relações comunitárias;</w:t>
      </w:r>
    </w:p>
    <w:p>
      <w:pPr>
        <w:numPr>
          <w:ilvl w:val="0"/>
          <w:numId w:val="1004"/>
        </w:numPr>
        <w:pStyle w:val="Compact"/>
      </w:pPr>
      <w:r>
        <w:t xml:space="preserve">medição e análise de comunicação;</w:t>
      </w:r>
    </w:p>
    <w:p>
      <w:pPr>
        <w:numPr>
          <w:ilvl w:val="0"/>
          <w:numId w:val="1004"/>
        </w:numPr>
        <w:pStyle w:val="Compact"/>
      </w:pPr>
      <w:r>
        <w:t xml:space="preserve">desenvolvimento de discursos ou briefings.</w:t>
      </w:r>
    </w:p>
    <w:bookmarkEnd w:id="24"/>
    <w:bookmarkStart w:id="25" w:name="porta-voz-ou-gerente"/>
    <w:p>
      <w:pPr>
        <w:pStyle w:val="Heading3"/>
      </w:pPr>
      <w:r>
        <w:t xml:space="preserve">Porta-voz ou gerente</w:t>
      </w:r>
    </w:p>
    <w:p>
      <w:pPr>
        <w:pStyle w:val="FirstParagraph"/>
      </w:pPr>
      <w:r>
        <w:t xml:space="preserve">Um porta-voz ou gerente pode ter autoridade sobre:</w:t>
      </w:r>
    </w:p>
    <w:p>
      <w:pPr>
        <w:numPr>
          <w:ilvl w:val="0"/>
          <w:numId w:val="1005"/>
        </w:numPr>
        <w:pStyle w:val="Compact"/>
      </w:pPr>
      <w:r>
        <w:t xml:space="preserve">declarações públicas aprovadas;</w:t>
      </w:r>
    </w:p>
    <w:p>
      <w:pPr>
        <w:numPr>
          <w:ilvl w:val="0"/>
          <w:numId w:val="1005"/>
        </w:numPr>
        <w:pStyle w:val="Compact"/>
      </w:pPr>
      <w:r>
        <w:t xml:space="preserve">entrevistas com a mídia;</w:t>
      </w:r>
    </w:p>
    <w:p>
      <w:pPr>
        <w:numPr>
          <w:ilvl w:val="0"/>
          <w:numId w:val="1005"/>
        </w:numPr>
        <w:pStyle w:val="Compact"/>
      </w:pPr>
      <w:r>
        <w:t xml:space="preserve">estratégia de comunicação de crise;</w:t>
      </w:r>
    </w:p>
    <w:p>
      <w:pPr>
        <w:numPr>
          <w:ilvl w:val="0"/>
          <w:numId w:val="1005"/>
        </w:numPr>
        <w:pStyle w:val="Compact"/>
      </w:pPr>
      <w:r>
        <w:t xml:space="preserve">mensagens executivas;</w:t>
      </w:r>
    </w:p>
    <w:p>
      <w:pPr>
        <w:numPr>
          <w:ilvl w:val="0"/>
          <w:numId w:val="1005"/>
        </w:numPr>
        <w:pStyle w:val="Compact"/>
      </w:pPr>
      <w:r>
        <w:t xml:space="preserve">coordenação jurídica e de compliance;</w:t>
      </w:r>
    </w:p>
    <w:p>
      <w:pPr>
        <w:numPr>
          <w:ilvl w:val="0"/>
          <w:numId w:val="1005"/>
        </w:numPr>
        <w:pStyle w:val="Compact"/>
      </w:pPr>
      <w:r>
        <w:t xml:space="preserve">decisões orçamentárias e de fornecedores;</w:t>
      </w:r>
    </w:p>
    <w:p>
      <w:pPr>
        <w:numPr>
          <w:ilvl w:val="0"/>
          <w:numId w:val="1005"/>
        </w:numPr>
        <w:pStyle w:val="Compact"/>
      </w:pPr>
      <w:r>
        <w:t xml:space="preserve">supervisão de equipe;</w:t>
      </w:r>
    </w:p>
    <w:p>
      <w:pPr>
        <w:numPr>
          <w:ilvl w:val="0"/>
          <w:numId w:val="1005"/>
        </w:numPr>
        <w:pStyle w:val="Compact"/>
      </w:pPr>
      <w:r>
        <w:t xml:space="preserve">escalonamento de questões;</w:t>
      </w:r>
    </w:p>
    <w:p>
      <w:pPr>
        <w:numPr>
          <w:ilvl w:val="0"/>
          <w:numId w:val="1005"/>
        </w:numPr>
        <w:pStyle w:val="Compact"/>
      </w:pPr>
      <w:r>
        <w:t xml:space="preserve">aprovação final de publicações;</w:t>
      </w:r>
    </w:p>
    <w:p>
      <w:pPr>
        <w:numPr>
          <w:ilvl w:val="0"/>
          <w:numId w:val="1005"/>
        </w:numPr>
        <w:pStyle w:val="Compact"/>
      </w:pPr>
      <w:r>
        <w:t xml:space="preserve">decisões de risco reputacional.</w:t>
      </w:r>
    </w:p>
    <w:p>
      <w:pPr>
        <w:pStyle w:val="FirstParagraph"/>
      </w:pPr>
      <w:r>
        <w:t xml:space="preserve">Esses limites são apenas exemplos. Política do empregador, autoridade delegada, lei, contratos, obrigações regulatórias, regras de confidencialidade e natureza do evento ou assunto determinam o que uma pessoa realmente pode fazer.</w:t>
      </w:r>
    </w:p>
    <w:bookmarkEnd w:id="25"/>
    <w:bookmarkEnd w:id="26"/>
    <w:bookmarkStart w:id="27" w:name="responsabilidades-típicas"/>
    <w:p>
      <w:pPr>
        <w:pStyle w:val="Heading2"/>
      </w:pPr>
      <w:r>
        <w:t xml:space="preserve">Responsabilidades típicas</w:t>
      </w:r>
    </w:p>
    <w:p>
      <w:pPr>
        <w:pStyle w:val="FirstParagraph"/>
      </w:pPr>
      <w:r>
        <w:t xml:space="preserve">Dependendo do empregador, um assistente de RP ou coordenador de comunicação pode:</w:t>
      </w:r>
    </w:p>
    <w:p>
      <w:pPr>
        <w:numPr>
          <w:ilvl w:val="0"/>
          <w:numId w:val="1006"/>
        </w:numPr>
        <w:pStyle w:val="Compact"/>
      </w:pPr>
      <w:r>
        <w:t xml:space="preserve">manter um calendário de comunicação;</w:t>
      </w:r>
    </w:p>
    <w:p>
      <w:pPr>
        <w:numPr>
          <w:ilvl w:val="0"/>
          <w:numId w:val="1006"/>
        </w:numPr>
        <w:pStyle w:val="Compact"/>
      </w:pPr>
      <w:r>
        <w:t xml:space="preserve">coletar requisitos de gerentes ou clientes internos;</w:t>
      </w:r>
    </w:p>
    <w:p>
      <w:pPr>
        <w:numPr>
          <w:ilvl w:val="0"/>
          <w:numId w:val="1006"/>
        </w:numPr>
        <w:pStyle w:val="Compact"/>
      </w:pPr>
      <w:r>
        <w:t xml:space="preserve">redigir para revisão comunicados rotineiros, newsletters, textos de site, posts sociais, avisos de eventos ou materiais para imprensa;</w:t>
      </w:r>
    </w:p>
    <w:p>
      <w:pPr>
        <w:numPr>
          <w:ilvl w:val="0"/>
          <w:numId w:val="1006"/>
        </w:numPr>
        <w:pStyle w:val="Compact"/>
      </w:pPr>
      <w:r>
        <w:t xml:space="preserve">pesquisar informações de contexto em fontes aprovadas;</w:t>
      </w:r>
    </w:p>
    <w:p>
      <w:pPr>
        <w:numPr>
          <w:ilvl w:val="0"/>
          <w:numId w:val="1006"/>
        </w:numPr>
        <w:pStyle w:val="Compact"/>
      </w:pPr>
      <w:r>
        <w:t xml:space="preserve">verificar nomes, cargos, datas, estatísticas, citações e links;</w:t>
      </w:r>
    </w:p>
    <w:p>
      <w:pPr>
        <w:numPr>
          <w:ilvl w:val="0"/>
          <w:numId w:val="1006"/>
        </w:numPr>
        <w:pStyle w:val="Compact"/>
      </w:pPr>
      <w:r>
        <w:t xml:space="preserve">manter contatos de mídia e listas de distribuição em sistemas aprovados;</w:t>
      </w:r>
    </w:p>
    <w:p>
      <w:pPr>
        <w:numPr>
          <w:ilvl w:val="0"/>
          <w:numId w:val="1006"/>
        </w:numPr>
        <w:pStyle w:val="Compact"/>
      </w:pPr>
      <w:r>
        <w:t xml:space="preserve">monitorar cobertura de notícias e conversas sociais;</w:t>
      </w:r>
    </w:p>
    <w:p>
      <w:pPr>
        <w:numPr>
          <w:ilvl w:val="0"/>
          <w:numId w:val="1006"/>
        </w:numPr>
        <w:pStyle w:val="Compact"/>
      </w:pPr>
      <w:r>
        <w:t xml:space="preserve">preparar relatórios de cobertura ou resumos diários;</w:t>
      </w:r>
    </w:p>
    <w:p>
      <w:pPr>
        <w:numPr>
          <w:ilvl w:val="0"/>
          <w:numId w:val="1006"/>
        </w:numPr>
        <w:pStyle w:val="Compact"/>
      </w:pPr>
      <w:r>
        <w:t xml:space="preserve">coordenar entrevistas, eventos, coletivas de imprensa, webinars ou atividades comunitárias;</w:t>
      </w:r>
    </w:p>
    <w:p>
      <w:pPr>
        <w:numPr>
          <w:ilvl w:val="0"/>
          <w:numId w:val="1006"/>
        </w:numPr>
        <w:pStyle w:val="Compact"/>
      </w:pPr>
      <w:r>
        <w:t xml:space="preserve">organizar fotografias, vídeos, gráficos, logotipos, biografias e ativos de marca aprovados;</w:t>
      </w:r>
    </w:p>
    <w:p>
      <w:pPr>
        <w:numPr>
          <w:ilvl w:val="0"/>
          <w:numId w:val="1006"/>
        </w:numPr>
        <w:pStyle w:val="Compact"/>
      </w:pPr>
      <w:r>
        <w:t xml:space="preserve">apoiar comunicação interna e comunicados a funcionários;</w:t>
      </w:r>
    </w:p>
    <w:p>
      <w:pPr>
        <w:numPr>
          <w:ilvl w:val="0"/>
          <w:numId w:val="1006"/>
        </w:numPr>
        <w:pStyle w:val="Compact"/>
      </w:pPr>
      <w:r>
        <w:t xml:space="preserve">coordenar tradução ou localização aprovada;</w:t>
      </w:r>
    </w:p>
    <w:p>
      <w:pPr>
        <w:numPr>
          <w:ilvl w:val="0"/>
          <w:numId w:val="1006"/>
        </w:numPr>
        <w:pStyle w:val="Compact"/>
      </w:pPr>
      <w:r>
        <w:t xml:space="preserve">preparar apresentações ou pacotes de briefing;</w:t>
      </w:r>
    </w:p>
    <w:p>
      <w:pPr>
        <w:numPr>
          <w:ilvl w:val="0"/>
          <w:numId w:val="1006"/>
        </w:numPr>
        <w:pStyle w:val="Compact"/>
      </w:pPr>
      <w:r>
        <w:t xml:space="preserve">documentar aprovações, revisões e datas de publicação;</w:t>
      </w:r>
    </w:p>
    <w:p>
      <w:pPr>
        <w:numPr>
          <w:ilvl w:val="0"/>
          <w:numId w:val="1006"/>
        </w:numPr>
        <w:pStyle w:val="Compact"/>
      </w:pPr>
      <w:r>
        <w:t xml:space="preserve">atualizar sites ou sistemas de gestão de conteúdo dentro das permissões atribuídas;</w:t>
      </w:r>
    </w:p>
    <w:p>
      <w:pPr>
        <w:numPr>
          <w:ilvl w:val="0"/>
          <w:numId w:val="1006"/>
        </w:numPr>
        <w:pStyle w:val="Compact"/>
      </w:pPr>
      <w:r>
        <w:t xml:space="preserve">agendar conteúdo aprovado em mídias sociais;</w:t>
      </w:r>
    </w:p>
    <w:p>
      <w:pPr>
        <w:numPr>
          <w:ilvl w:val="0"/>
          <w:numId w:val="1006"/>
        </w:numPr>
        <w:pStyle w:val="Compact"/>
      </w:pPr>
      <w:r>
        <w:t xml:space="preserve">coletar métricas aprovadas de engajamento e comunicação;</w:t>
      </w:r>
    </w:p>
    <w:p>
      <w:pPr>
        <w:numPr>
          <w:ilvl w:val="0"/>
          <w:numId w:val="1006"/>
        </w:numPr>
        <w:pStyle w:val="Compact"/>
      </w:pPr>
      <w:r>
        <w:t xml:space="preserve">apoiar verificações de acessibilidade em documentos, web, vídeo e eventos;</w:t>
      </w:r>
    </w:p>
    <w:p>
      <w:pPr>
        <w:numPr>
          <w:ilvl w:val="0"/>
          <w:numId w:val="1006"/>
        </w:numPr>
        <w:pStyle w:val="Compact"/>
      </w:pPr>
      <w:r>
        <w:t xml:space="preserve">proteger rascunhos confidenciais, informações sob embargo, contatos de mídia, credenciais e dados pessoais;</w:t>
      </w:r>
    </w:p>
    <w:p>
      <w:pPr>
        <w:numPr>
          <w:ilvl w:val="0"/>
          <w:numId w:val="1006"/>
        </w:numPr>
        <w:pStyle w:val="Compact"/>
      </w:pPr>
      <w:r>
        <w:t xml:space="preserve">reportar phishing, comprometimento de contas, falsidade ideológica digital, solicitações fraudulentas ou suspeita de exposição de dados;</w:t>
      </w:r>
    </w:p>
    <w:p>
      <w:pPr>
        <w:numPr>
          <w:ilvl w:val="0"/>
          <w:numId w:val="1006"/>
        </w:numPr>
        <w:pStyle w:val="Compact"/>
      </w:pPr>
      <w:r>
        <w:t xml:space="preserve">arquivar registros conforme a política da organização.</w:t>
      </w:r>
    </w:p>
    <w:bookmarkEnd w:id="27"/>
    <w:bookmarkStart w:id="28" w:name="limites-profissionais-e-éticos"/>
    <w:p>
      <w:pPr>
        <w:pStyle w:val="Heading2"/>
      </w:pPr>
      <w:r>
        <w:t xml:space="preserve">Limites profissionais e éticos</w:t>
      </w:r>
    </w:p>
    <w:p>
      <w:pPr>
        <w:pStyle w:val="FirstParagraph"/>
      </w:pPr>
      <w:r>
        <w:t xml:space="preserve">Um cargo em comunicação</w:t>
      </w:r>
      <w:r>
        <w:t xml:space="preserve"> </w:t>
      </w:r>
      <w:r>
        <w:rPr>
          <w:bCs/>
          <w:b/>
        </w:rPr>
        <w:t xml:space="preserve">não</w:t>
      </w:r>
      <w:r>
        <w:t xml:space="preserve"> </w:t>
      </w:r>
      <w:r>
        <w:t xml:space="preserve">autoriza automaticamente uma pessoa a:</w:t>
      </w:r>
    </w:p>
    <w:p>
      <w:pPr>
        <w:numPr>
          <w:ilvl w:val="0"/>
          <w:numId w:val="1007"/>
        </w:numPr>
        <w:pStyle w:val="Compact"/>
      </w:pPr>
      <w:r>
        <w:t xml:space="preserve">falar em nome da organização sem aprovação;</w:t>
      </w:r>
    </w:p>
    <w:p>
      <w:pPr>
        <w:numPr>
          <w:ilvl w:val="0"/>
          <w:numId w:val="1007"/>
        </w:numPr>
        <w:pStyle w:val="Compact"/>
      </w:pPr>
      <w:r>
        <w:t xml:space="preserve">fornecer orientação jurídica, médica, financeira, regulatória, de segurança ou de crise fora da autoridade designada;</w:t>
      </w:r>
    </w:p>
    <w:p>
      <w:pPr>
        <w:numPr>
          <w:ilvl w:val="0"/>
          <w:numId w:val="1007"/>
        </w:numPr>
        <w:pStyle w:val="Compact"/>
      </w:pPr>
      <w:r>
        <w:t xml:space="preserve">publicar declaração executiva, resposta de crise, posição jurídica, resultado financeiro, anúncio de pessoal ou divulgação regulatória sem aprovação;</w:t>
      </w:r>
    </w:p>
    <w:p>
      <w:pPr>
        <w:numPr>
          <w:ilvl w:val="0"/>
          <w:numId w:val="1007"/>
        </w:numPr>
        <w:pStyle w:val="Compact"/>
      </w:pPr>
      <w:r>
        <w:t xml:space="preserve">fabricar citações, depoimentos, avaliações, endossos, prêmios, cobertura de mídia, estatísticas de engajamento, resultados de pesquisas, capturas de tela, referências, fotografias, credenciais ou aprovações de partes interessadas;</w:t>
      </w:r>
    </w:p>
    <w:p>
      <w:pPr>
        <w:numPr>
          <w:ilvl w:val="0"/>
          <w:numId w:val="1007"/>
        </w:numPr>
        <w:pStyle w:val="Compact"/>
      </w:pPr>
      <w:r>
        <w:t xml:space="preserve">alterar uma citação de modo a mudar seu sentido;</w:t>
      </w:r>
    </w:p>
    <w:p>
      <w:pPr>
        <w:numPr>
          <w:ilvl w:val="0"/>
          <w:numId w:val="1007"/>
        </w:numPr>
        <w:pStyle w:val="Compact"/>
      </w:pPr>
      <w:r>
        <w:t xml:space="preserve">apresentar opinião, rumor, saída de IA ou post não verificado como fato;</w:t>
      </w:r>
    </w:p>
    <w:p>
      <w:pPr>
        <w:numPr>
          <w:ilvl w:val="0"/>
          <w:numId w:val="1007"/>
        </w:numPr>
        <w:pStyle w:val="Compact"/>
      </w:pPr>
      <w:r>
        <w:t xml:space="preserve">ocultar patrocínio, endosso ou relação paga material quando divulgação for exigida;</w:t>
      </w:r>
    </w:p>
    <w:p>
      <w:pPr>
        <w:numPr>
          <w:ilvl w:val="0"/>
          <w:numId w:val="1007"/>
        </w:numPr>
        <w:pStyle w:val="Compact"/>
      </w:pPr>
      <w:r>
        <w:t xml:space="preserve">se passar por jornalistas, clientes, funcionários, autoridades, concorrentes ou membros da comunidade;</w:t>
      </w:r>
    </w:p>
    <w:p>
      <w:pPr>
        <w:numPr>
          <w:ilvl w:val="0"/>
          <w:numId w:val="1007"/>
        </w:numPr>
        <w:pStyle w:val="Compact"/>
      </w:pPr>
      <w:r>
        <w:t xml:space="preserve">criar contas falsas ou apoio comunitário enganoso;</w:t>
      </w:r>
    </w:p>
    <w:p>
      <w:pPr>
        <w:numPr>
          <w:ilvl w:val="0"/>
          <w:numId w:val="1007"/>
        </w:numPr>
        <w:pStyle w:val="Compact"/>
      </w:pPr>
      <w:r>
        <w:t xml:space="preserve">publicar dados privados de funcionários, clientes, candidatos, pacientes, estudantes, doadores, mídia ou comunidade sem autorização;</w:t>
      </w:r>
    </w:p>
    <w:p>
      <w:pPr>
        <w:numPr>
          <w:ilvl w:val="0"/>
          <w:numId w:val="1007"/>
        </w:numPr>
        <w:pStyle w:val="Compact"/>
      </w:pPr>
      <w:r>
        <w:t xml:space="preserve">inserir rascunhos confidenciais, materiais sob embargo, credenciais, listas de mídia, dados pessoais, contratos, informações financeiras não publicadas ou materiais jurídicos em serviço de IA ou nuvem não aprovado;</w:t>
      </w:r>
    </w:p>
    <w:p>
      <w:pPr>
        <w:numPr>
          <w:ilvl w:val="0"/>
          <w:numId w:val="1007"/>
        </w:numPr>
        <w:pStyle w:val="Compact"/>
      </w:pPr>
      <w:r>
        <w:t xml:space="preserve">contornar processos de aprovação, retenção, gestão documental, marca, acessibilidade, privacidade, segurança ou revisão jurídica;</w:t>
      </w:r>
    </w:p>
    <w:p>
      <w:pPr>
        <w:numPr>
          <w:ilvl w:val="0"/>
          <w:numId w:val="1007"/>
        </w:numPr>
        <w:pStyle w:val="Compact"/>
      </w:pPr>
      <w:r>
        <w:t xml:space="preserve">afirmar que uma comunicação, site, campanha ou evento está legalmente em conformidade ou certificado em acessibilidade sem revisão qualificada.</w:t>
      </w:r>
    </w:p>
    <w:p>
      <w:pPr>
        <w:pStyle w:val="FirstParagraph"/>
      </w:pPr>
      <w:r>
        <w:t xml:space="preserve">Quando a autoridade não estiver clara, interrompa a publicação ou resposta e escale para o gerente apropriado, líder de comunicação, jurídico/compliance, equipe de privacidade, equipe de cibersegurança, contato de acessibilidade, gestão documental, recursos humanos, finanças ou responsável executivo.</w:t>
      </w:r>
    </w:p>
    <w:bookmarkEnd w:id="28"/>
    <w:bookmarkStart w:id="34" w:name="competências-essenciais"/>
    <w:p>
      <w:pPr>
        <w:pStyle w:val="Heading2"/>
      </w:pPr>
      <w:r>
        <w:t xml:space="preserve">Competências essenciais</w:t>
      </w:r>
    </w:p>
    <w:bookmarkStart w:id="29" w:name="redação-e-edição"/>
    <w:p>
      <w:pPr>
        <w:pStyle w:val="Heading3"/>
      </w:pPr>
      <w:r>
        <w:t xml:space="preserve">Redação e edição</w:t>
      </w:r>
    </w:p>
    <w:p>
      <w:pPr>
        <w:numPr>
          <w:ilvl w:val="0"/>
          <w:numId w:val="1008"/>
        </w:numPr>
        <w:pStyle w:val="Compact"/>
      </w:pPr>
      <w:r>
        <w:t xml:space="preserve">redação em linguagem clara;</w:t>
      </w:r>
    </w:p>
    <w:p>
      <w:pPr>
        <w:numPr>
          <w:ilvl w:val="0"/>
          <w:numId w:val="1008"/>
        </w:numPr>
        <w:pStyle w:val="Compact"/>
      </w:pPr>
      <w:r>
        <w:t xml:space="preserve">revisão de texto;</w:t>
      </w:r>
    </w:p>
    <w:p>
      <w:pPr>
        <w:numPr>
          <w:ilvl w:val="0"/>
          <w:numId w:val="1008"/>
        </w:numPr>
        <w:pStyle w:val="Compact"/>
      </w:pPr>
      <w:r>
        <w:t xml:space="preserve">gramática e pontuação;</w:t>
      </w:r>
    </w:p>
    <w:p>
      <w:pPr>
        <w:numPr>
          <w:ilvl w:val="0"/>
          <w:numId w:val="1008"/>
        </w:numPr>
        <w:pStyle w:val="Compact"/>
      </w:pPr>
      <w:r>
        <w:t xml:space="preserve">redação de títulos e assuntos;</w:t>
      </w:r>
    </w:p>
    <w:p>
      <w:pPr>
        <w:numPr>
          <w:ilvl w:val="0"/>
          <w:numId w:val="1008"/>
        </w:numPr>
        <w:pStyle w:val="Compact"/>
      </w:pPr>
      <w:r>
        <w:t xml:space="preserve">edição de textos curtos e longos;</w:t>
      </w:r>
    </w:p>
    <w:p>
      <w:pPr>
        <w:numPr>
          <w:ilvl w:val="0"/>
          <w:numId w:val="1008"/>
        </w:numPr>
        <w:pStyle w:val="Compact"/>
      </w:pPr>
      <w:r>
        <w:t xml:space="preserve">resumo preciso de informações complexas;</w:t>
      </w:r>
    </w:p>
    <w:p>
      <w:pPr>
        <w:numPr>
          <w:ilvl w:val="0"/>
          <w:numId w:val="1008"/>
        </w:numPr>
        <w:pStyle w:val="Compact"/>
      </w:pPr>
      <w:r>
        <w:t xml:space="preserve">preservação do sentido das citações;</w:t>
      </w:r>
    </w:p>
    <w:p>
      <w:pPr>
        <w:numPr>
          <w:ilvl w:val="0"/>
          <w:numId w:val="1008"/>
        </w:numPr>
        <w:pStyle w:val="Compact"/>
      </w:pPr>
      <w:r>
        <w:t xml:space="preserve">adaptação de tom para diferentes públicos;</w:t>
      </w:r>
    </w:p>
    <w:p>
      <w:pPr>
        <w:numPr>
          <w:ilvl w:val="0"/>
          <w:numId w:val="1008"/>
        </w:numPr>
        <w:pStyle w:val="Compact"/>
      </w:pPr>
      <w:r>
        <w:t xml:space="preserve">verificação de padrões de estilo e marca.</w:t>
      </w:r>
    </w:p>
    <w:bookmarkEnd w:id="29"/>
    <w:bookmarkStart w:id="30" w:name="pesquisa-e-verificação"/>
    <w:p>
      <w:pPr>
        <w:pStyle w:val="Heading3"/>
      </w:pPr>
      <w:r>
        <w:t xml:space="preserve">Pesquisa e verificação</w:t>
      </w:r>
    </w:p>
    <w:p>
      <w:pPr>
        <w:numPr>
          <w:ilvl w:val="0"/>
          <w:numId w:val="1009"/>
        </w:numPr>
        <w:pStyle w:val="Compact"/>
      </w:pPr>
      <w:r>
        <w:t xml:space="preserve">checagem de fontes;</w:t>
      </w:r>
    </w:p>
    <w:p>
      <w:pPr>
        <w:numPr>
          <w:ilvl w:val="0"/>
          <w:numId w:val="1009"/>
        </w:numPr>
        <w:pStyle w:val="Compact"/>
      </w:pPr>
      <w:r>
        <w:t xml:space="preserve">identificação de fontes primárias e secundárias;</w:t>
      </w:r>
    </w:p>
    <w:p>
      <w:pPr>
        <w:numPr>
          <w:ilvl w:val="0"/>
          <w:numId w:val="1009"/>
        </w:numPr>
        <w:pStyle w:val="Compact"/>
      </w:pPr>
      <w:r>
        <w:t xml:space="preserve">verificação de nomes, funções, datas, locais, estatísticas e alegações;</w:t>
      </w:r>
    </w:p>
    <w:p>
      <w:pPr>
        <w:numPr>
          <w:ilvl w:val="0"/>
          <w:numId w:val="1009"/>
        </w:numPr>
        <w:pStyle w:val="Compact"/>
      </w:pPr>
      <w:r>
        <w:t xml:space="preserve">registro da data das fontes;</w:t>
      </w:r>
    </w:p>
    <w:p>
      <w:pPr>
        <w:numPr>
          <w:ilvl w:val="0"/>
          <w:numId w:val="1009"/>
        </w:numPr>
        <w:pStyle w:val="Compact"/>
      </w:pPr>
      <w:r>
        <w:t xml:space="preserve">distinção entre fatos confirmados, estimativas e interpretação;</w:t>
      </w:r>
    </w:p>
    <w:p>
      <w:pPr>
        <w:numPr>
          <w:ilvl w:val="0"/>
          <w:numId w:val="1009"/>
        </w:numPr>
        <w:pStyle w:val="Compact"/>
      </w:pPr>
      <w:r>
        <w:t xml:space="preserve">reconhecimento de material desatualizado, duplicado, manipulado ou suspeito.</w:t>
      </w:r>
    </w:p>
    <w:bookmarkEnd w:id="30"/>
    <w:bookmarkStart w:id="31" w:name="organização-e-coordenação"/>
    <w:p>
      <w:pPr>
        <w:pStyle w:val="Heading3"/>
      </w:pPr>
      <w:r>
        <w:t xml:space="preserve">Organização e coordenação</w:t>
      </w:r>
    </w:p>
    <w:p>
      <w:pPr>
        <w:numPr>
          <w:ilvl w:val="0"/>
          <w:numId w:val="1010"/>
        </w:numPr>
        <w:pStyle w:val="Compact"/>
      </w:pPr>
      <w:r>
        <w:t xml:space="preserve">calendários de conteúdo;</w:t>
      </w:r>
    </w:p>
    <w:p>
      <w:pPr>
        <w:numPr>
          <w:ilvl w:val="0"/>
          <w:numId w:val="1010"/>
        </w:numPr>
        <w:pStyle w:val="Compact"/>
      </w:pPr>
      <w:r>
        <w:t xml:space="preserve">controle de prazos;</w:t>
      </w:r>
    </w:p>
    <w:p>
      <w:pPr>
        <w:numPr>
          <w:ilvl w:val="0"/>
          <w:numId w:val="1010"/>
        </w:numPr>
        <w:pStyle w:val="Compact"/>
      </w:pPr>
      <w:r>
        <w:t xml:space="preserve">controle de versões;</w:t>
      </w:r>
    </w:p>
    <w:p>
      <w:pPr>
        <w:numPr>
          <w:ilvl w:val="0"/>
          <w:numId w:val="1010"/>
        </w:numPr>
        <w:pStyle w:val="Compact"/>
      </w:pPr>
      <w:r>
        <w:t xml:space="preserve">registros de aprovação;</w:t>
      </w:r>
    </w:p>
    <w:p>
      <w:pPr>
        <w:numPr>
          <w:ilvl w:val="0"/>
          <w:numId w:val="1010"/>
        </w:numPr>
        <w:pStyle w:val="Compact"/>
      </w:pPr>
      <w:r>
        <w:t xml:space="preserve">notas de reuniões;</w:t>
      </w:r>
    </w:p>
    <w:p>
      <w:pPr>
        <w:numPr>
          <w:ilvl w:val="0"/>
          <w:numId w:val="1010"/>
        </w:numPr>
        <w:pStyle w:val="Compact"/>
      </w:pPr>
      <w:r>
        <w:t xml:space="preserve">acompanhamento de ações;</w:t>
      </w:r>
    </w:p>
    <w:p>
      <w:pPr>
        <w:numPr>
          <w:ilvl w:val="0"/>
          <w:numId w:val="1010"/>
        </w:numPr>
        <w:pStyle w:val="Compact"/>
      </w:pPr>
      <w:r>
        <w:t xml:space="preserve">coordenação de eventos;</w:t>
      </w:r>
    </w:p>
    <w:p>
      <w:pPr>
        <w:numPr>
          <w:ilvl w:val="0"/>
          <w:numId w:val="1010"/>
        </w:numPr>
        <w:pStyle w:val="Compact"/>
      </w:pPr>
      <w:r>
        <w:t xml:space="preserve">manutenção de listas de mídia;</w:t>
      </w:r>
    </w:p>
    <w:p>
      <w:pPr>
        <w:numPr>
          <w:ilvl w:val="0"/>
          <w:numId w:val="1010"/>
        </w:numPr>
        <w:pStyle w:val="Compact"/>
      </w:pPr>
      <w:r>
        <w:t xml:space="preserve">acompanhamento de fornecedores;</w:t>
      </w:r>
    </w:p>
    <w:p>
      <w:pPr>
        <w:numPr>
          <w:ilvl w:val="0"/>
          <w:numId w:val="1010"/>
        </w:numPr>
        <w:pStyle w:val="Compact"/>
      </w:pPr>
      <w:r>
        <w:t xml:space="preserve">organização de arquivos e disciplina de nomenclatura.</w:t>
      </w:r>
    </w:p>
    <w:bookmarkEnd w:id="31"/>
    <w:bookmarkStart w:id="32" w:name="relacionamento-e-atendimento"/>
    <w:p>
      <w:pPr>
        <w:pStyle w:val="Heading3"/>
      </w:pPr>
      <w:r>
        <w:t xml:space="preserve">Relacionamento e atendimento</w:t>
      </w:r>
    </w:p>
    <w:p>
      <w:pPr>
        <w:numPr>
          <w:ilvl w:val="0"/>
          <w:numId w:val="1011"/>
        </w:numPr>
        <w:pStyle w:val="Compact"/>
      </w:pPr>
      <w:r>
        <w:t xml:space="preserve">escuta ativa;</w:t>
      </w:r>
    </w:p>
    <w:p>
      <w:pPr>
        <w:numPr>
          <w:ilvl w:val="0"/>
          <w:numId w:val="1011"/>
        </w:numPr>
        <w:pStyle w:val="Compact"/>
      </w:pPr>
      <w:r>
        <w:t xml:space="preserve">comunicação profissional por e-mail e telefone;</w:t>
      </w:r>
    </w:p>
    <w:p>
      <w:pPr>
        <w:numPr>
          <w:ilvl w:val="0"/>
          <w:numId w:val="1011"/>
        </w:numPr>
        <w:pStyle w:val="Compact"/>
      </w:pPr>
      <w:r>
        <w:t xml:space="preserve">interação respeitosa com a mídia;</w:t>
      </w:r>
    </w:p>
    <w:p>
      <w:pPr>
        <w:numPr>
          <w:ilvl w:val="0"/>
          <w:numId w:val="1011"/>
        </w:numPr>
        <w:pStyle w:val="Compact"/>
      </w:pPr>
      <w:r>
        <w:t xml:space="preserve">atendimento a partes interessadas;</w:t>
      </w:r>
    </w:p>
    <w:p>
      <w:pPr>
        <w:numPr>
          <w:ilvl w:val="0"/>
          <w:numId w:val="1011"/>
        </w:numPr>
        <w:pStyle w:val="Compact"/>
      </w:pPr>
      <w:r>
        <w:t xml:space="preserve">redução de conflitos;</w:t>
      </w:r>
    </w:p>
    <w:p>
      <w:pPr>
        <w:numPr>
          <w:ilvl w:val="0"/>
          <w:numId w:val="1011"/>
        </w:numPr>
        <w:pStyle w:val="Compact"/>
      </w:pPr>
      <w:r>
        <w:t xml:space="preserve">comunicação intercultural;</w:t>
      </w:r>
    </w:p>
    <w:p>
      <w:pPr>
        <w:numPr>
          <w:ilvl w:val="0"/>
          <w:numId w:val="1011"/>
        </w:numPr>
        <w:pStyle w:val="Compact"/>
      </w:pPr>
      <w:r>
        <w:t xml:space="preserve">discrição;</w:t>
      </w:r>
    </w:p>
    <w:p>
      <w:pPr>
        <w:numPr>
          <w:ilvl w:val="0"/>
          <w:numId w:val="1011"/>
        </w:numPr>
        <w:pStyle w:val="Compact"/>
      </w:pPr>
      <w:r>
        <w:t xml:space="preserve">julgamento para escalonamento.</w:t>
      </w:r>
    </w:p>
    <w:bookmarkEnd w:id="32"/>
    <w:bookmarkStart w:id="33" w:name="medição"/>
    <w:p>
      <w:pPr>
        <w:pStyle w:val="Heading3"/>
      </w:pPr>
      <w:r>
        <w:t xml:space="preserve">Medição</w:t>
      </w:r>
    </w:p>
    <w:p>
      <w:pPr>
        <w:numPr>
          <w:ilvl w:val="0"/>
          <w:numId w:val="1012"/>
        </w:numPr>
        <w:pStyle w:val="Compact"/>
      </w:pPr>
      <w:r>
        <w:t xml:space="preserve">fundamentos de planilhas;</w:t>
      </w:r>
    </w:p>
    <w:p>
      <w:pPr>
        <w:numPr>
          <w:ilvl w:val="0"/>
          <w:numId w:val="1012"/>
        </w:numPr>
        <w:pStyle w:val="Compact"/>
      </w:pPr>
      <w:r>
        <w:t xml:space="preserve">classificação e filtros;</w:t>
      </w:r>
    </w:p>
    <w:p>
      <w:pPr>
        <w:numPr>
          <w:ilvl w:val="0"/>
          <w:numId w:val="1012"/>
        </w:numPr>
        <w:pStyle w:val="Compact"/>
      </w:pPr>
      <w:r>
        <w:t xml:space="preserve">acompanhamento de cobertura de mídia;</w:t>
      </w:r>
    </w:p>
    <w:p>
      <w:pPr>
        <w:numPr>
          <w:ilvl w:val="0"/>
          <w:numId w:val="1012"/>
        </w:numPr>
        <w:pStyle w:val="Compact"/>
      </w:pPr>
      <w:r>
        <w:t xml:space="preserve">métricas de engajamento;</w:t>
      </w:r>
    </w:p>
    <w:p>
      <w:pPr>
        <w:numPr>
          <w:ilvl w:val="0"/>
          <w:numId w:val="1012"/>
        </w:numPr>
        <w:pStyle w:val="Compact"/>
      </w:pPr>
      <w:r>
        <w:t xml:space="preserve">métricas de abertura e clique de newsletters quando autorizadas;</w:t>
      </w:r>
    </w:p>
    <w:p>
      <w:pPr>
        <w:numPr>
          <w:ilvl w:val="0"/>
          <w:numId w:val="1012"/>
        </w:numPr>
        <w:pStyle w:val="Compact"/>
      </w:pPr>
      <w:r>
        <w:t xml:space="preserve">análise de mídias sociais;</w:t>
      </w:r>
    </w:p>
    <w:p>
      <w:pPr>
        <w:numPr>
          <w:ilvl w:val="0"/>
          <w:numId w:val="1012"/>
        </w:numPr>
        <w:pStyle w:val="Compact"/>
      </w:pPr>
      <w:r>
        <w:t xml:space="preserve">fundamentos de tráfego web;</w:t>
      </w:r>
    </w:p>
    <w:p>
      <w:pPr>
        <w:numPr>
          <w:ilvl w:val="0"/>
          <w:numId w:val="1012"/>
        </w:numPr>
        <w:pStyle w:val="Compact"/>
      </w:pPr>
      <w:r>
        <w:t xml:space="preserve">resumos de participação e feedback de eventos;</w:t>
      </w:r>
    </w:p>
    <w:p>
      <w:pPr>
        <w:numPr>
          <w:ilvl w:val="0"/>
          <w:numId w:val="1012"/>
        </w:numPr>
        <w:pStyle w:val="Compact"/>
      </w:pPr>
      <w:r>
        <w:t xml:space="preserve">distinguir uma métrica de um resultado de negócio.</w:t>
      </w:r>
    </w:p>
    <w:bookmarkEnd w:id="33"/>
    <w:bookmarkEnd w:id="34"/>
    <w:bookmarkStart w:id="35" w:name="tecnologia"/>
    <w:p>
      <w:pPr>
        <w:pStyle w:val="Heading2"/>
      </w:pPr>
      <w:r>
        <w:t xml:space="preserve">Tecnologia</w:t>
      </w:r>
    </w:p>
    <w:p>
      <w:pPr>
        <w:pStyle w:val="FirstParagraph"/>
      </w:pPr>
      <w:r>
        <w:t xml:space="preserve">As plataformas específicas variam. Empregadores podem usar:</w:t>
      </w:r>
    </w:p>
    <w:p>
      <w:pPr>
        <w:numPr>
          <w:ilvl w:val="0"/>
          <w:numId w:val="1013"/>
        </w:numPr>
        <w:pStyle w:val="Compact"/>
      </w:pPr>
      <w:r>
        <w:t xml:space="preserve">Microsoft 365 ou Google Workspace;</w:t>
      </w:r>
    </w:p>
    <w:p>
      <w:pPr>
        <w:numPr>
          <w:ilvl w:val="0"/>
          <w:numId w:val="1013"/>
        </w:numPr>
        <w:pStyle w:val="Compact"/>
      </w:pPr>
      <w:r>
        <w:t xml:space="preserve">sistemas de gestão de conteúdo;</w:t>
      </w:r>
    </w:p>
    <w:p>
      <w:pPr>
        <w:numPr>
          <w:ilvl w:val="0"/>
          <w:numId w:val="1013"/>
        </w:numPr>
        <w:pStyle w:val="Compact"/>
      </w:pPr>
      <w:r>
        <w:t xml:space="preserve">plataformas de gestão de mídias sociais;</w:t>
      </w:r>
    </w:p>
    <w:p>
      <w:pPr>
        <w:numPr>
          <w:ilvl w:val="0"/>
          <w:numId w:val="1013"/>
        </w:numPr>
        <w:pStyle w:val="Compact"/>
      </w:pPr>
      <w:r>
        <w:t xml:space="preserve">ferramentas de monitoramento e bancos de dados de mídia;</w:t>
      </w:r>
    </w:p>
    <w:p>
      <w:pPr>
        <w:numPr>
          <w:ilvl w:val="0"/>
          <w:numId w:val="1013"/>
        </w:numPr>
        <w:pStyle w:val="Compact"/>
      </w:pPr>
      <w:r>
        <w:t xml:space="preserve">plataformas de e-mail/newsletter;</w:t>
      </w:r>
    </w:p>
    <w:p>
      <w:pPr>
        <w:numPr>
          <w:ilvl w:val="0"/>
          <w:numId w:val="1013"/>
        </w:numPr>
        <w:pStyle w:val="Compact"/>
      </w:pPr>
      <w:r>
        <w:t xml:space="preserve">sistemas de CRM;</w:t>
      </w:r>
    </w:p>
    <w:p>
      <w:pPr>
        <w:numPr>
          <w:ilvl w:val="0"/>
          <w:numId w:val="1013"/>
        </w:numPr>
        <w:pStyle w:val="Compact"/>
      </w:pPr>
      <w:r>
        <w:t xml:space="preserve">ferramentas de gestão de projetos;</w:t>
      </w:r>
    </w:p>
    <w:p>
      <w:pPr>
        <w:numPr>
          <w:ilvl w:val="0"/>
          <w:numId w:val="1013"/>
        </w:numPr>
        <w:pStyle w:val="Compact"/>
      </w:pPr>
      <w:r>
        <w:t xml:space="preserve">sistemas de gestão de ativos digitais;</w:t>
      </w:r>
    </w:p>
    <w:p>
      <w:pPr>
        <w:numPr>
          <w:ilvl w:val="0"/>
          <w:numId w:val="1013"/>
        </w:numPr>
        <w:pStyle w:val="Compact"/>
      </w:pPr>
      <w:r>
        <w:t xml:space="preserve">plataformas de pesquisa;</w:t>
      </w:r>
    </w:p>
    <w:p>
      <w:pPr>
        <w:numPr>
          <w:ilvl w:val="0"/>
          <w:numId w:val="1013"/>
        </w:numPr>
        <w:pStyle w:val="Compact"/>
      </w:pPr>
      <w:r>
        <w:t xml:space="preserve">plataformas de webinar e eventos;</w:t>
      </w:r>
    </w:p>
    <w:p>
      <w:pPr>
        <w:numPr>
          <w:ilvl w:val="0"/>
          <w:numId w:val="1013"/>
        </w:numPr>
        <w:pStyle w:val="Compact"/>
      </w:pPr>
      <w:r>
        <w:t xml:space="preserve">painéis analíticos;</w:t>
      </w:r>
    </w:p>
    <w:p>
      <w:pPr>
        <w:numPr>
          <w:ilvl w:val="0"/>
          <w:numId w:val="1013"/>
        </w:numPr>
        <w:pStyle w:val="Compact"/>
      </w:pPr>
      <w:r>
        <w:t xml:space="preserve">ferramentas gráficas e de apresentação;</w:t>
      </w:r>
    </w:p>
    <w:p>
      <w:pPr>
        <w:numPr>
          <w:ilvl w:val="0"/>
          <w:numId w:val="1013"/>
        </w:numPr>
        <w:pStyle w:val="Compact"/>
      </w:pPr>
      <w:r>
        <w:t xml:space="preserve">ferramentas de transcrição ou legendagem;</w:t>
      </w:r>
    </w:p>
    <w:p>
      <w:pPr>
        <w:numPr>
          <w:ilvl w:val="0"/>
          <w:numId w:val="1013"/>
        </w:numPr>
        <w:pStyle w:val="Compact"/>
      </w:pPr>
      <w:r>
        <w:t xml:space="preserve">assistentes de IA generativa aprovados.</w:t>
      </w:r>
    </w:p>
    <w:p>
      <w:pPr>
        <w:pStyle w:val="FirstParagraph"/>
      </w:pPr>
      <w:r>
        <w:t xml:space="preserve">O nome de um produto em uma vaga é preferência do empregador, não credencial universal. Aprenda conceitos transferíveis como fluxo de conteúdo, permissões, aprovações, versionamento, publicação, monitoramento, acessibilidade, registros, análise e segurança de contas.</w:t>
      </w:r>
    </w:p>
    <w:bookmarkEnd w:id="35"/>
    <w:bookmarkStart w:id="44" w:name="um-fluxo-prático-de-comunicação"/>
    <w:p>
      <w:pPr>
        <w:pStyle w:val="Heading2"/>
      </w:pPr>
      <w:r>
        <w:t xml:space="preserve">Um fluxo prático de comunicação</w:t>
      </w:r>
    </w:p>
    <w:bookmarkStart w:id="36" w:name="X11edf6b03d376fcfa70f948c5a81e8131e83636"/>
    <w:p>
      <w:pPr>
        <w:pStyle w:val="Heading3"/>
      </w:pPr>
      <w:r>
        <w:t xml:space="preserve">1. Definir</w:t>
      </w:r>
    </w:p>
    <w:p>
      <w:pPr>
        <w:pStyle w:val="FirstParagraph"/>
      </w:pPr>
      <w:r>
        <w:t xml:space="preserve">Esclareça:</w:t>
      </w:r>
    </w:p>
    <w:p>
      <w:pPr>
        <w:numPr>
          <w:ilvl w:val="0"/>
          <w:numId w:val="1014"/>
        </w:numPr>
        <w:pStyle w:val="Compact"/>
      </w:pPr>
      <w:r>
        <w:t xml:space="preserve">objetivo da comunicação;</w:t>
      </w:r>
    </w:p>
    <w:p>
      <w:pPr>
        <w:numPr>
          <w:ilvl w:val="0"/>
          <w:numId w:val="1014"/>
        </w:numPr>
        <w:pStyle w:val="Compact"/>
      </w:pPr>
      <w:r>
        <w:t xml:space="preserve">público pretendido;</w:t>
      </w:r>
    </w:p>
    <w:p>
      <w:pPr>
        <w:numPr>
          <w:ilvl w:val="0"/>
          <w:numId w:val="1014"/>
        </w:numPr>
        <w:pStyle w:val="Compact"/>
      </w:pPr>
      <w:r>
        <w:t xml:space="preserve">responsável pela mensagem;</w:t>
      </w:r>
    </w:p>
    <w:p>
      <w:pPr>
        <w:numPr>
          <w:ilvl w:val="0"/>
          <w:numId w:val="1014"/>
        </w:numPr>
        <w:pStyle w:val="Compact"/>
      </w:pPr>
      <w:r>
        <w:t xml:space="preserve">tomador de decisão;</w:t>
      </w:r>
    </w:p>
    <w:p>
      <w:pPr>
        <w:numPr>
          <w:ilvl w:val="0"/>
          <w:numId w:val="1014"/>
        </w:numPr>
        <w:pStyle w:val="Compact"/>
      </w:pPr>
      <w:r>
        <w:t xml:space="preserve">canal;</w:t>
      </w:r>
    </w:p>
    <w:p>
      <w:pPr>
        <w:numPr>
          <w:ilvl w:val="0"/>
          <w:numId w:val="1014"/>
        </w:numPr>
        <w:pStyle w:val="Compact"/>
      </w:pPr>
      <w:r>
        <w:t xml:space="preserve">data de publicação;</w:t>
      </w:r>
    </w:p>
    <w:p>
      <w:pPr>
        <w:numPr>
          <w:ilvl w:val="0"/>
          <w:numId w:val="1014"/>
        </w:numPr>
        <w:pStyle w:val="Compact"/>
      </w:pPr>
      <w:r>
        <w:t xml:space="preserve">aprovações necessárias;</w:t>
      </w:r>
    </w:p>
    <w:p>
      <w:pPr>
        <w:numPr>
          <w:ilvl w:val="0"/>
          <w:numId w:val="1014"/>
        </w:numPr>
        <w:pStyle w:val="Compact"/>
      </w:pPr>
      <w:r>
        <w:t xml:space="preserve">nível de confidencialidade;</w:t>
      </w:r>
    </w:p>
    <w:p>
      <w:pPr>
        <w:numPr>
          <w:ilvl w:val="0"/>
          <w:numId w:val="1014"/>
        </w:numPr>
        <w:pStyle w:val="Compact"/>
      </w:pPr>
      <w:r>
        <w:t xml:space="preserve">necessidades de acessibilidade;</w:t>
      </w:r>
    </w:p>
    <w:p>
      <w:pPr>
        <w:numPr>
          <w:ilvl w:val="0"/>
          <w:numId w:val="1014"/>
        </w:numPr>
        <w:pStyle w:val="Compact"/>
      </w:pPr>
      <w:r>
        <w:t xml:space="preserve">necessidades de tradução/localização;</w:t>
      </w:r>
    </w:p>
    <w:p>
      <w:pPr>
        <w:numPr>
          <w:ilvl w:val="0"/>
          <w:numId w:val="1014"/>
        </w:numPr>
        <w:pStyle w:val="Compact"/>
      </w:pPr>
      <w:r>
        <w:t xml:space="preserve">requisitos de fonte;</w:t>
      </w:r>
    </w:p>
    <w:p>
      <w:pPr>
        <w:numPr>
          <w:ilvl w:val="0"/>
          <w:numId w:val="1014"/>
        </w:numPr>
        <w:pStyle w:val="Compact"/>
      </w:pPr>
      <w:r>
        <w:t xml:space="preserve">medidas de sucesso.</w:t>
      </w:r>
    </w:p>
    <w:bookmarkEnd w:id="36"/>
    <w:bookmarkStart w:id="37" w:name="X33ce8e472d6b3962ffc1fb0132e56265028703f"/>
    <w:p>
      <w:pPr>
        <w:pStyle w:val="Heading3"/>
      </w:pPr>
      <w:r>
        <w:t xml:space="preserve">2. Pesquisar</w:t>
      </w:r>
    </w:p>
    <w:p>
      <w:pPr>
        <w:pStyle w:val="FirstParagraph"/>
      </w:pPr>
      <w:r>
        <w:t xml:space="preserve">Colete informações em fontes aprovadas. Prefira fontes primárias ou autorizadas para alegações importantes. Registre datas das fontes e identifique qualquer informação incerta, estimada, contestada ou sujeita a mudança.</w:t>
      </w:r>
    </w:p>
    <w:bookmarkEnd w:id="37"/>
    <w:bookmarkStart w:id="38" w:name="X459923ec5c22ba5ab0348dfbe2d4d147bf4ec2d"/>
    <w:p>
      <w:pPr>
        <w:pStyle w:val="Heading3"/>
      </w:pPr>
      <w:r>
        <w:t xml:space="preserve">3. Redigir</w:t>
      </w:r>
    </w:p>
    <w:p>
      <w:pPr>
        <w:pStyle w:val="FirstParagraph"/>
      </w:pPr>
      <w:r>
        <w:t xml:space="preserve">Prepare um rascunho que:</w:t>
      </w:r>
    </w:p>
    <w:p>
      <w:pPr>
        <w:numPr>
          <w:ilvl w:val="0"/>
          <w:numId w:val="1015"/>
        </w:numPr>
        <w:pStyle w:val="Compact"/>
      </w:pPr>
      <w:r>
        <w:t xml:space="preserve">use linguagem clara;</w:t>
      </w:r>
    </w:p>
    <w:p>
      <w:pPr>
        <w:numPr>
          <w:ilvl w:val="0"/>
          <w:numId w:val="1015"/>
        </w:numPr>
        <w:pStyle w:val="Compact"/>
      </w:pPr>
      <w:r>
        <w:t xml:space="preserve">preserve os fatos aprovados;</w:t>
      </w:r>
    </w:p>
    <w:p>
      <w:pPr>
        <w:numPr>
          <w:ilvl w:val="0"/>
          <w:numId w:val="1015"/>
        </w:numPr>
        <w:pStyle w:val="Compact"/>
      </w:pPr>
      <w:r>
        <w:t xml:space="preserve">diferencie fato de opinião;</w:t>
      </w:r>
    </w:p>
    <w:p>
      <w:pPr>
        <w:numPr>
          <w:ilvl w:val="0"/>
          <w:numId w:val="1015"/>
        </w:numPr>
        <w:pStyle w:val="Compact"/>
      </w:pPr>
      <w:r>
        <w:t xml:space="preserve">evite alegações sem suporte;</w:t>
      </w:r>
    </w:p>
    <w:p>
      <w:pPr>
        <w:numPr>
          <w:ilvl w:val="0"/>
          <w:numId w:val="1015"/>
        </w:numPr>
        <w:pStyle w:val="Compact"/>
      </w:pPr>
      <w:r>
        <w:t xml:space="preserve">siga requisitos de marca e estilo;</w:t>
      </w:r>
    </w:p>
    <w:p>
      <w:pPr>
        <w:numPr>
          <w:ilvl w:val="0"/>
          <w:numId w:val="1015"/>
        </w:numPr>
        <w:pStyle w:val="Compact"/>
      </w:pPr>
      <w:r>
        <w:t xml:space="preserve">use títulos e links descritivos;</w:t>
      </w:r>
    </w:p>
    <w:p>
      <w:pPr>
        <w:numPr>
          <w:ilvl w:val="0"/>
          <w:numId w:val="1015"/>
        </w:numPr>
        <w:pStyle w:val="Compact"/>
      </w:pPr>
      <w:r>
        <w:t xml:space="preserve">tenha estrutura acessível;</w:t>
      </w:r>
    </w:p>
    <w:p>
      <w:pPr>
        <w:numPr>
          <w:ilvl w:val="0"/>
          <w:numId w:val="1015"/>
        </w:numPr>
        <w:pStyle w:val="Compact"/>
      </w:pPr>
      <w:r>
        <w:t xml:space="preserve">não exponha informações confidenciais.</w:t>
      </w:r>
    </w:p>
    <w:bookmarkEnd w:id="38"/>
    <w:bookmarkStart w:id="39" w:name="Xe2afaa3ec66cfe717823f062d482fed689dc4fb"/>
    <w:p>
      <w:pPr>
        <w:pStyle w:val="Heading3"/>
      </w:pPr>
      <w:r>
        <w:t xml:space="preserve">4. Verificar</w:t>
      </w:r>
    </w:p>
    <w:p>
      <w:pPr>
        <w:pStyle w:val="FirstParagraph"/>
      </w:pPr>
      <w:r>
        <w:t xml:space="preserve">Antes da aprovação, confira:</w:t>
      </w:r>
    </w:p>
    <w:p>
      <w:pPr>
        <w:numPr>
          <w:ilvl w:val="0"/>
          <w:numId w:val="1016"/>
        </w:numPr>
        <w:pStyle w:val="Compact"/>
      </w:pPr>
      <w:r>
        <w:t xml:space="preserve">nomes e cargos;</w:t>
      </w:r>
    </w:p>
    <w:p>
      <w:pPr>
        <w:numPr>
          <w:ilvl w:val="0"/>
          <w:numId w:val="1016"/>
        </w:numPr>
        <w:pStyle w:val="Compact"/>
      </w:pPr>
      <w:r>
        <w:t xml:space="preserve">datas e horários;</w:t>
      </w:r>
    </w:p>
    <w:p>
      <w:pPr>
        <w:numPr>
          <w:ilvl w:val="0"/>
          <w:numId w:val="1016"/>
        </w:numPr>
        <w:pStyle w:val="Compact"/>
      </w:pPr>
      <w:r>
        <w:t xml:space="preserve">locais;</w:t>
      </w:r>
    </w:p>
    <w:p>
      <w:pPr>
        <w:numPr>
          <w:ilvl w:val="0"/>
          <w:numId w:val="1016"/>
        </w:numPr>
        <w:pStyle w:val="Compact"/>
      </w:pPr>
      <w:r>
        <w:t xml:space="preserve">citações;</w:t>
      </w:r>
    </w:p>
    <w:p>
      <w:pPr>
        <w:numPr>
          <w:ilvl w:val="0"/>
          <w:numId w:val="1016"/>
        </w:numPr>
        <w:pStyle w:val="Compact"/>
      </w:pPr>
      <w:r>
        <w:t xml:space="preserve">estatísticas;</w:t>
      </w:r>
    </w:p>
    <w:p>
      <w:pPr>
        <w:numPr>
          <w:ilvl w:val="0"/>
          <w:numId w:val="1016"/>
        </w:numPr>
        <w:pStyle w:val="Compact"/>
      </w:pPr>
      <w:r>
        <w:t xml:space="preserve">links;</w:t>
      </w:r>
    </w:p>
    <w:p>
      <w:pPr>
        <w:numPr>
          <w:ilvl w:val="0"/>
          <w:numId w:val="1016"/>
        </w:numPr>
        <w:pStyle w:val="Compact"/>
      </w:pPr>
      <w:r>
        <w:t xml:space="preserve">permissões de imagens/ativos;</w:t>
      </w:r>
    </w:p>
    <w:p>
      <w:pPr>
        <w:numPr>
          <w:ilvl w:val="0"/>
          <w:numId w:val="1016"/>
        </w:numPr>
        <w:pStyle w:val="Compact"/>
      </w:pPr>
      <w:r>
        <w:t xml:space="preserve">informações de contato;</w:t>
      </w:r>
    </w:p>
    <w:p>
      <w:pPr>
        <w:numPr>
          <w:ilvl w:val="0"/>
          <w:numId w:val="1016"/>
        </w:numPr>
        <w:pStyle w:val="Compact"/>
      </w:pPr>
      <w:r>
        <w:t xml:space="preserve">alegações aprovadas;</w:t>
      </w:r>
    </w:p>
    <w:p>
      <w:pPr>
        <w:numPr>
          <w:ilvl w:val="0"/>
          <w:numId w:val="1016"/>
        </w:numPr>
        <w:pStyle w:val="Compact"/>
      </w:pPr>
      <w:r>
        <w:t xml:space="preserve">divulgações de patrocínio ou endosso quando aplicáveis;</w:t>
      </w:r>
    </w:p>
    <w:p>
      <w:pPr>
        <w:numPr>
          <w:ilvl w:val="0"/>
          <w:numId w:val="1016"/>
        </w:numPr>
        <w:pStyle w:val="Compact"/>
      </w:pPr>
      <w:r>
        <w:t xml:space="preserve">elementos de acessibilidade;</w:t>
      </w:r>
    </w:p>
    <w:p>
      <w:pPr>
        <w:numPr>
          <w:ilvl w:val="0"/>
          <w:numId w:val="1016"/>
        </w:numPr>
        <w:pStyle w:val="Compact"/>
      </w:pPr>
      <w:r>
        <w:t xml:space="preserve">privacidade e confidencialidade;</w:t>
      </w:r>
    </w:p>
    <w:p>
      <w:pPr>
        <w:numPr>
          <w:ilvl w:val="0"/>
          <w:numId w:val="1016"/>
        </w:numPr>
        <w:pStyle w:val="Compact"/>
      </w:pPr>
      <w:r>
        <w:t xml:space="preserve">revisão jurídica/compliance exigida.</w:t>
      </w:r>
    </w:p>
    <w:bookmarkEnd w:id="39"/>
    <w:bookmarkStart w:id="40" w:name="Xc14c5015623a22bf0dbf0b0122249e6e79ddefd"/>
    <w:p>
      <w:pPr>
        <w:pStyle w:val="Heading3"/>
      </w:pPr>
      <w:r>
        <w:t xml:space="preserve">5. Aprovar</w:t>
      </w:r>
    </w:p>
    <w:p>
      <w:pPr>
        <w:pStyle w:val="FirstParagraph"/>
      </w:pPr>
      <w:r>
        <w:t xml:space="preserve">Use o processo de aprovação da organização. Não trate uma mensagem de chat, comentário informal ou rascunho de IA como aprovação final, a menos que a política organizacional reconheça isso explicitamente.</w:t>
      </w:r>
    </w:p>
    <w:bookmarkEnd w:id="40"/>
    <w:bookmarkStart w:id="41" w:name="X097dec4f922e3315ed2fea979a5dd383f8df4f2"/>
    <w:p>
      <w:pPr>
        <w:pStyle w:val="Heading3"/>
      </w:pPr>
      <w:r>
        <w:t xml:space="preserve">6. Publicar ou distribuir</w:t>
      </w:r>
    </w:p>
    <w:p>
      <w:pPr>
        <w:pStyle w:val="FirstParagraph"/>
      </w:pPr>
      <w:r>
        <w:t xml:space="preserve">Use contas e sistemas aprovados. Confirme público, canal, data, anexos, links e permissões de acesso antes de enviar ou publicar.</w:t>
      </w:r>
    </w:p>
    <w:bookmarkEnd w:id="41"/>
    <w:bookmarkStart w:id="42" w:name="Xf207c490a3e46d1756b225abd4e64f95b4afc6d"/>
    <w:p>
      <w:pPr>
        <w:pStyle w:val="Heading3"/>
      </w:pPr>
      <w:r>
        <w:t xml:space="preserve">7. Monitorar e corrigir</w:t>
      </w:r>
    </w:p>
    <w:p>
      <w:pPr>
        <w:pStyle w:val="FirstParagraph"/>
      </w:pPr>
      <w:r>
        <w:t xml:space="preserve">Monitore respostas, cobertura, problemas de entrega ou erros. Se uma correção for necessária, preserve o registro, avise o responsável e siga o processo aprovado de correção, em vez de alterar silenciosamente informações relevantes sem documentação.</w:t>
      </w:r>
    </w:p>
    <w:bookmarkEnd w:id="42"/>
    <w:bookmarkStart w:id="43" w:name="Xf8ce80bdda3263eed6208338cc3bb7bdb8b1ce4"/>
    <w:p>
      <w:pPr>
        <w:pStyle w:val="Heading3"/>
      </w:pPr>
      <w:r>
        <w:t xml:space="preserve">8. Encerrar e aprender</w:t>
      </w:r>
    </w:p>
    <w:p>
      <w:pPr>
        <w:pStyle w:val="FirstParagraph"/>
      </w:pPr>
      <w:r>
        <w:t xml:space="preserve">Arquive registros exigidos, remova acessos temporários quando apropriado, resuma resultados, documente lições aprendidas e atualize modelos ou checklists reutilizáveis.</w:t>
      </w:r>
    </w:p>
    <w:bookmarkEnd w:id="43"/>
    <w:bookmarkEnd w:id="44"/>
    <w:bookmarkStart w:id="45" w:name="Xa8861ef411238b24d29ee988f8d8ca4cad82878"/>
    <w:p>
      <w:pPr>
        <w:pStyle w:val="Heading2"/>
      </w:pPr>
      <w:r>
        <w:t xml:space="preserve">Relações com a mídia e verificação de fontes</w:t>
      </w:r>
    </w:p>
    <w:p>
      <w:pPr>
        <w:pStyle w:val="FirstParagraph"/>
      </w:pPr>
      <w:r>
        <w:t xml:space="preserve">Relações com a mídia podem envolver jornalistas, editores, produtores, blogueiros, criadores, veículos comunitários, publicações especializadas e equipes internas de mídia.</w:t>
      </w:r>
    </w:p>
    <w:p>
      <w:pPr>
        <w:pStyle w:val="BodyText"/>
      </w:pPr>
      <w:r>
        <w:t xml:space="preserve">Um profissional júnior pode apoiar relações com a mídia ao:</w:t>
      </w:r>
    </w:p>
    <w:p>
      <w:pPr>
        <w:numPr>
          <w:ilvl w:val="0"/>
          <w:numId w:val="1017"/>
        </w:numPr>
        <w:pStyle w:val="Compact"/>
      </w:pPr>
      <w:r>
        <w:t xml:space="preserve">manter registros precisos de contatos;</w:t>
      </w:r>
    </w:p>
    <w:p>
      <w:pPr>
        <w:numPr>
          <w:ilvl w:val="0"/>
          <w:numId w:val="1017"/>
        </w:numPr>
        <w:pStyle w:val="Compact"/>
      </w:pPr>
      <w:r>
        <w:t xml:space="preserve">preparar material de contexto aprovado;</w:t>
      </w:r>
    </w:p>
    <w:p>
      <w:pPr>
        <w:numPr>
          <w:ilvl w:val="0"/>
          <w:numId w:val="1017"/>
        </w:numPr>
        <w:pStyle w:val="Compact"/>
      </w:pPr>
      <w:r>
        <w:t xml:space="preserve">acompanhar consultas e prazos;</w:t>
      </w:r>
    </w:p>
    <w:p>
      <w:pPr>
        <w:numPr>
          <w:ilvl w:val="0"/>
          <w:numId w:val="1017"/>
        </w:numPr>
        <w:pStyle w:val="Compact"/>
      </w:pPr>
      <w:r>
        <w:t xml:space="preserve">coordenar logística de entrevistas;</w:t>
      </w:r>
    </w:p>
    <w:p>
      <w:pPr>
        <w:numPr>
          <w:ilvl w:val="0"/>
          <w:numId w:val="1017"/>
        </w:numPr>
        <w:pStyle w:val="Compact"/>
      </w:pPr>
      <w:r>
        <w:t xml:space="preserve">distribuir materiais de imprensa aprovados;</w:t>
      </w:r>
    </w:p>
    <w:p>
      <w:pPr>
        <w:numPr>
          <w:ilvl w:val="0"/>
          <w:numId w:val="1017"/>
        </w:numPr>
        <w:pStyle w:val="Compact"/>
      </w:pPr>
      <w:r>
        <w:t xml:space="preserve">monitorar cobertura publicada;</w:t>
      </w:r>
    </w:p>
    <w:p>
      <w:pPr>
        <w:numPr>
          <w:ilvl w:val="0"/>
          <w:numId w:val="1017"/>
        </w:numPr>
        <w:pStyle w:val="Compact"/>
      </w:pPr>
      <w:r>
        <w:t xml:space="preserve">sinalizar imprecisões ou questões urgentes para revisão;</w:t>
      </w:r>
    </w:p>
    <w:p>
      <w:pPr>
        <w:numPr>
          <w:ilvl w:val="0"/>
          <w:numId w:val="1017"/>
        </w:numPr>
        <w:pStyle w:val="Compact"/>
      </w:pPr>
      <w:r>
        <w:t xml:space="preserve">preservar instruções de embargo ou confidencialidade.</w:t>
      </w:r>
    </w:p>
    <w:p>
      <w:pPr>
        <w:pStyle w:val="FirstParagraph"/>
      </w:pPr>
      <w:r>
        <w:t xml:space="preserve">Não presuma que toda pessoa que diz ser jornalista é legítima. Verifique solicitações incomuns por informações de contato estabelecidas ou canais oficiais do veículo, especialmente quando envolverem agendas de executivos, documentos internos, informações de funcionários, credenciais, produtos não lançados, informações financeiras ou acesso urgente a contas.</w:t>
      </w:r>
    </w:p>
    <w:bookmarkEnd w:id="45"/>
    <w:bookmarkStart w:id="46" w:name="comunicação-interna"/>
    <w:p>
      <w:pPr>
        <w:pStyle w:val="Heading2"/>
      </w:pPr>
      <w:r>
        <w:t xml:space="preserve">Comunicação interna</w:t>
      </w:r>
    </w:p>
    <w:p>
      <w:pPr>
        <w:pStyle w:val="FirstParagraph"/>
      </w:pPr>
      <w:r>
        <w:t xml:space="preserve">Comunicação interna pode incluir mensagens da liderança, atualizações de políticas, avisos operacionais, newsletters, conteúdo de intranet, anúncios de treinamento, eventos para funcionários, mudanças organizacionais, informações de benefícios e avisos de emergência.</w:t>
      </w:r>
    </w:p>
    <w:p>
      <w:pPr>
        <w:pStyle w:val="BodyText"/>
      </w:pPr>
      <w:r>
        <w:t xml:space="preserve">Controles importantes incluem:</w:t>
      </w:r>
    </w:p>
    <w:p>
      <w:pPr>
        <w:numPr>
          <w:ilvl w:val="0"/>
          <w:numId w:val="1018"/>
        </w:numPr>
        <w:pStyle w:val="Compact"/>
      </w:pPr>
      <w:r>
        <w:t xml:space="preserve">confirmar o remetente autorizado;</w:t>
      </w:r>
    </w:p>
    <w:p>
      <w:pPr>
        <w:numPr>
          <w:ilvl w:val="0"/>
          <w:numId w:val="1018"/>
        </w:numPr>
        <w:pStyle w:val="Compact"/>
      </w:pPr>
      <w:r>
        <w:t xml:space="preserve">confirmar o público pretendido;</w:t>
      </w:r>
    </w:p>
    <w:p>
      <w:pPr>
        <w:numPr>
          <w:ilvl w:val="0"/>
          <w:numId w:val="1018"/>
        </w:numPr>
        <w:pStyle w:val="Compact"/>
      </w:pPr>
      <w:r>
        <w:t xml:space="preserve">separar rascunhos de versões finais;</w:t>
      </w:r>
    </w:p>
    <w:p>
      <w:pPr>
        <w:numPr>
          <w:ilvl w:val="0"/>
          <w:numId w:val="1018"/>
        </w:numPr>
        <w:pStyle w:val="Compact"/>
      </w:pPr>
      <w:r>
        <w:t xml:space="preserve">verificar datas, links, anexos e informações de contato;</w:t>
      </w:r>
    </w:p>
    <w:p>
      <w:pPr>
        <w:numPr>
          <w:ilvl w:val="0"/>
          <w:numId w:val="1018"/>
        </w:numPr>
        <w:pStyle w:val="Compact"/>
      </w:pPr>
      <w:r>
        <w:t xml:space="preserve">coordenar informações sensíveis de RH, jurídico, segurança, finanças ou segurança física com a função responsável;</w:t>
      </w:r>
    </w:p>
    <w:p>
      <w:pPr>
        <w:numPr>
          <w:ilvl w:val="0"/>
          <w:numId w:val="1018"/>
        </w:numPr>
        <w:pStyle w:val="Compact"/>
      </w:pPr>
      <w:r>
        <w:t xml:space="preserve">evitar distribuir dados pessoais de funcionários além da necessidade aprovada;</w:t>
      </w:r>
    </w:p>
    <w:p>
      <w:pPr>
        <w:numPr>
          <w:ilvl w:val="0"/>
          <w:numId w:val="1018"/>
        </w:numPr>
        <w:pStyle w:val="Compact"/>
      </w:pPr>
      <w:r>
        <w:t xml:space="preserve">fornecer formatos acessíveis quando exigido;</w:t>
      </w:r>
    </w:p>
    <w:p>
      <w:pPr>
        <w:numPr>
          <w:ilvl w:val="0"/>
          <w:numId w:val="1018"/>
        </w:numPr>
        <w:pStyle w:val="Compact"/>
      </w:pPr>
      <w:r>
        <w:t xml:space="preserve">reter registros conforme a política.</w:t>
      </w:r>
    </w:p>
    <w:p>
      <w:pPr>
        <w:pStyle w:val="FirstParagraph"/>
      </w:pPr>
      <w:r>
        <w:t xml:space="preserve">Um assistente não deve inventar políticas nem responder a perguntas sensíveis de funcionários além do material fonte aprovado.</w:t>
      </w:r>
    </w:p>
    <w:bookmarkEnd w:id="46"/>
    <w:bookmarkStart w:id="47" w:name="Xaf3ae0bbb366dde44085792ade80eba9e4e1a2b"/>
    <w:p>
      <w:pPr>
        <w:pStyle w:val="Heading2"/>
      </w:pPr>
      <w:r>
        <w:t xml:space="preserve">Mídias sociais e apoio a comunidades on-line</w:t>
      </w:r>
    </w:p>
    <w:p>
      <w:pPr>
        <w:pStyle w:val="FirstParagraph"/>
      </w:pPr>
      <w:r>
        <w:t xml:space="preserve">Coordenadores de comunicação podem ajudar a administrar contas sociais oficiais. Responsabilidades práticas podem incluir programar conteúdo, monitorar comentários, escalar reclamações ou ameaças, manter calendário de conteúdo, coordenar aprovações e reportar métricas.</w:t>
      </w:r>
    </w:p>
    <w:p>
      <w:pPr>
        <w:pStyle w:val="BodyText"/>
      </w:pPr>
      <w:r>
        <w:t xml:space="preserve">Controles de conta importam porque uma conta social comprometida pode causar danos reputacionais e de segurança. Use autenticação aprovada pelo empregador, MFA, menor privilégio, propriedade documentada e procedimentos de recuperação de contas.</w:t>
      </w:r>
    </w:p>
    <w:p>
      <w:pPr>
        <w:pStyle w:val="BodyText"/>
      </w:pPr>
      <w:r>
        <w:t xml:space="preserve">Não:</w:t>
      </w:r>
    </w:p>
    <w:p>
      <w:pPr>
        <w:numPr>
          <w:ilvl w:val="0"/>
          <w:numId w:val="1019"/>
        </w:numPr>
        <w:pStyle w:val="Compact"/>
      </w:pPr>
      <w:r>
        <w:t xml:space="preserve">compartilhe senhas por canais não aprovados;</w:t>
      </w:r>
    </w:p>
    <w:p>
      <w:pPr>
        <w:numPr>
          <w:ilvl w:val="0"/>
          <w:numId w:val="1019"/>
        </w:numPr>
        <w:pStyle w:val="Compact"/>
      </w:pPr>
      <w:r>
        <w:t xml:space="preserve">use contas pessoais como substitutos ocultos de contas oficiais;</w:t>
      </w:r>
    </w:p>
    <w:p>
      <w:pPr>
        <w:numPr>
          <w:ilvl w:val="0"/>
          <w:numId w:val="1019"/>
        </w:numPr>
        <w:pStyle w:val="Compact"/>
      </w:pPr>
      <w:r>
        <w:t xml:space="preserve">apague críticas apenas porque são desconfortáveis, salvo quando a política justificar moderação;</w:t>
      </w:r>
    </w:p>
    <w:p>
      <w:pPr>
        <w:numPr>
          <w:ilvl w:val="0"/>
          <w:numId w:val="1019"/>
        </w:numPr>
        <w:pStyle w:val="Compact"/>
      </w:pPr>
      <w:r>
        <w:t xml:space="preserve">crie endossos falsos ou apoio comunitário falso;</w:t>
      </w:r>
    </w:p>
    <w:p>
      <w:pPr>
        <w:numPr>
          <w:ilvl w:val="0"/>
          <w:numId w:val="1019"/>
        </w:numPr>
        <w:pStyle w:val="Compact"/>
      </w:pPr>
      <w:r>
        <w:t xml:space="preserve">divulgue informações privadas em resposta pública;</w:t>
      </w:r>
    </w:p>
    <w:p>
      <w:pPr>
        <w:numPr>
          <w:ilvl w:val="0"/>
          <w:numId w:val="1019"/>
        </w:numPr>
        <w:pStyle w:val="Compact"/>
      </w:pPr>
      <w:r>
        <w:t xml:space="preserve">discuta com usuários de modo que ultrapasse tom ou autoridade aprovados;</w:t>
      </w:r>
    </w:p>
    <w:p>
      <w:pPr>
        <w:numPr>
          <w:ilvl w:val="0"/>
          <w:numId w:val="1019"/>
        </w:numPr>
        <w:pStyle w:val="Compact"/>
      </w:pPr>
      <w:r>
        <w:t xml:space="preserve">faça promessas que operações, jurídico, RH, atendimento ao cliente ou outra função não tenha aprovado.</w:t>
      </w:r>
    </w:p>
    <w:bookmarkEnd w:id="47"/>
    <w:bookmarkStart w:id="48" w:name="acessibilidade-e-comunicação-inclusiva"/>
    <w:p>
      <w:pPr>
        <w:pStyle w:val="Heading2"/>
      </w:pPr>
      <w:r>
        <w:t xml:space="preserve">Acessibilidade e comunicação inclusiva</w:t>
      </w:r>
    </w:p>
    <w:p>
      <w:pPr>
        <w:pStyle w:val="FirstParagraph"/>
      </w:pPr>
      <w:r>
        <w:t xml:space="preserve">A comunicação acessível deve ser planejada desde o início.</w:t>
      </w:r>
    </w:p>
    <w:p>
      <w:pPr>
        <w:pStyle w:val="BodyText"/>
      </w:pPr>
      <w:r>
        <w:t xml:space="preserve">Técnicas práticas incluem:</w:t>
      </w:r>
    </w:p>
    <w:p>
      <w:pPr>
        <w:numPr>
          <w:ilvl w:val="0"/>
          <w:numId w:val="1020"/>
        </w:numPr>
        <w:pStyle w:val="Compact"/>
      </w:pPr>
      <w:r>
        <w:t xml:space="preserve">títulos descritivos;</w:t>
      </w:r>
    </w:p>
    <w:p>
      <w:pPr>
        <w:numPr>
          <w:ilvl w:val="0"/>
          <w:numId w:val="1020"/>
        </w:numPr>
        <w:pStyle w:val="Compact"/>
      </w:pPr>
      <w:r>
        <w:t xml:space="preserve">linguagem clara;</w:t>
      </w:r>
    </w:p>
    <w:p>
      <w:pPr>
        <w:numPr>
          <w:ilvl w:val="0"/>
          <w:numId w:val="1020"/>
        </w:numPr>
        <w:pStyle w:val="Compact"/>
      </w:pPr>
      <w:r>
        <w:t xml:space="preserve">texto significativo para links;</w:t>
      </w:r>
    </w:p>
    <w:p>
      <w:pPr>
        <w:numPr>
          <w:ilvl w:val="0"/>
          <w:numId w:val="1020"/>
        </w:numPr>
        <w:pStyle w:val="Compact"/>
      </w:pPr>
      <w:r>
        <w:t xml:space="preserve">texto alternativo para imagens informativas quando apropriado;</w:t>
      </w:r>
    </w:p>
    <w:p>
      <w:pPr>
        <w:numPr>
          <w:ilvl w:val="0"/>
          <w:numId w:val="1020"/>
        </w:numPr>
        <w:pStyle w:val="Compact"/>
      </w:pPr>
      <w:r>
        <w:t xml:space="preserve">legendas ou transcrições para vídeo/áudio quando exigidas ou viáveis;</w:t>
      </w:r>
    </w:p>
    <w:p>
      <w:pPr>
        <w:numPr>
          <w:ilvl w:val="0"/>
          <w:numId w:val="1020"/>
        </w:numPr>
        <w:pStyle w:val="Compact"/>
      </w:pPr>
      <w:r>
        <w:t xml:space="preserve">tamanhos de fonte legíveis e contraste suficiente;</w:t>
      </w:r>
    </w:p>
    <w:p>
      <w:pPr>
        <w:numPr>
          <w:ilvl w:val="0"/>
          <w:numId w:val="1020"/>
        </w:numPr>
        <w:pStyle w:val="Compact"/>
      </w:pPr>
      <w:r>
        <w:t xml:space="preserve">evitar texto apenas em imagem quando uma alternativa textual puder ser fornecida;</w:t>
      </w:r>
    </w:p>
    <w:p>
      <w:pPr>
        <w:numPr>
          <w:ilvl w:val="0"/>
          <w:numId w:val="1020"/>
        </w:numPr>
        <w:pStyle w:val="Compact"/>
      </w:pPr>
      <w:r>
        <w:t xml:space="preserve">estrutura acessível de documentos;</w:t>
      </w:r>
    </w:p>
    <w:p>
      <w:pPr>
        <w:numPr>
          <w:ilvl w:val="0"/>
          <w:numId w:val="1020"/>
        </w:numPr>
        <w:pStyle w:val="Compact"/>
      </w:pPr>
      <w:r>
        <w:t xml:space="preserve">conteúdo web utilizável por teclado quando estiver sob controle do trabalhador;</w:t>
      </w:r>
    </w:p>
    <w:p>
      <w:pPr>
        <w:numPr>
          <w:ilvl w:val="0"/>
          <w:numId w:val="1020"/>
        </w:numPr>
        <w:pStyle w:val="Compact"/>
      </w:pPr>
      <w:r>
        <w:t xml:space="preserve">inscrição acessível em eventos e meios de contato para solicitar adaptações;</w:t>
      </w:r>
    </w:p>
    <w:p>
      <w:pPr>
        <w:numPr>
          <w:ilvl w:val="0"/>
          <w:numId w:val="1020"/>
        </w:numPr>
        <w:pStyle w:val="Compact"/>
      </w:pPr>
      <w:r>
        <w:t xml:space="preserve">evitar coleta desnecessária de informações médicas ou de deficiência.</w:t>
      </w:r>
    </w:p>
    <w:p>
      <w:pPr>
        <w:pStyle w:val="FirstParagraph"/>
      </w:pPr>
      <w:r>
        <w:t xml:space="preserve">A orientação de acessibilidade web do Departamento de Justiça dos EUA é uma referência útil, mas obrigações de acessibilidade variam por organização e jurisdição. Este guia não certifica nenhuma comunicação, site, evento ou documento como legalmente acessível.</w:t>
      </w:r>
    </w:p>
    <w:bookmarkEnd w:id="48"/>
    <w:bookmarkStart w:id="49" w:name="X14107279ab3b12982752f313c9b7a650d1d3ab0"/>
    <w:p>
      <w:pPr>
        <w:pStyle w:val="Heading2"/>
      </w:pPr>
      <w:r>
        <w:t xml:space="preserve">Privacidade, confidencialidade e registros</w:t>
      </w:r>
    </w:p>
    <w:p>
      <w:pPr>
        <w:pStyle w:val="FirstParagraph"/>
      </w:pPr>
      <w:r>
        <w:t xml:space="preserve">Equipes de comunicação podem lidar com:</w:t>
      </w:r>
    </w:p>
    <w:p>
      <w:pPr>
        <w:numPr>
          <w:ilvl w:val="0"/>
          <w:numId w:val="1021"/>
        </w:numPr>
        <w:pStyle w:val="Compact"/>
      </w:pPr>
      <w:r>
        <w:t xml:space="preserve">nomes e informações de contato de funcionários;</w:t>
      </w:r>
    </w:p>
    <w:p>
      <w:pPr>
        <w:numPr>
          <w:ilvl w:val="0"/>
          <w:numId w:val="1021"/>
        </w:numPr>
        <w:pStyle w:val="Compact"/>
      </w:pPr>
      <w:r>
        <w:t xml:space="preserve">listas de contatos de mídia;</w:t>
      </w:r>
    </w:p>
    <w:p>
      <w:pPr>
        <w:numPr>
          <w:ilvl w:val="0"/>
          <w:numId w:val="1021"/>
        </w:numPr>
        <w:pStyle w:val="Compact"/>
      </w:pPr>
      <w:r>
        <w:t xml:space="preserve">agendas executivas;</w:t>
      </w:r>
    </w:p>
    <w:p>
      <w:pPr>
        <w:numPr>
          <w:ilvl w:val="0"/>
          <w:numId w:val="1021"/>
        </w:numPr>
        <w:pStyle w:val="Compact"/>
      </w:pPr>
      <w:r>
        <w:t xml:space="preserve">anúncios sob embargo;</w:t>
      </w:r>
    </w:p>
    <w:p>
      <w:pPr>
        <w:numPr>
          <w:ilvl w:val="0"/>
          <w:numId w:val="1021"/>
        </w:numPr>
        <w:pStyle w:val="Compact"/>
      </w:pPr>
      <w:r>
        <w:t xml:space="preserve">informações de produtos não lançados;</w:t>
      </w:r>
    </w:p>
    <w:p>
      <w:pPr>
        <w:numPr>
          <w:ilvl w:val="0"/>
          <w:numId w:val="1021"/>
        </w:numPr>
        <w:pStyle w:val="Compact"/>
      </w:pPr>
      <w:r>
        <w:t xml:space="preserve">registros de clientes ou doadores;</w:t>
      </w:r>
    </w:p>
    <w:p>
      <w:pPr>
        <w:numPr>
          <w:ilvl w:val="0"/>
          <w:numId w:val="1021"/>
        </w:numPr>
        <w:pStyle w:val="Compact"/>
      </w:pPr>
      <w:r>
        <w:t xml:space="preserve">informações de participantes de eventos;</w:t>
      </w:r>
    </w:p>
    <w:p>
      <w:pPr>
        <w:numPr>
          <w:ilvl w:val="0"/>
          <w:numId w:val="1021"/>
        </w:numPr>
        <w:pStyle w:val="Compact"/>
      </w:pPr>
      <w:r>
        <w:t xml:space="preserve">fotografias e gravações;</w:t>
      </w:r>
    </w:p>
    <w:p>
      <w:pPr>
        <w:numPr>
          <w:ilvl w:val="0"/>
          <w:numId w:val="1021"/>
        </w:numPr>
        <w:pStyle w:val="Compact"/>
      </w:pPr>
      <w:r>
        <w:t xml:space="preserve">documentos de estratégia interna;</w:t>
      </w:r>
    </w:p>
    <w:p>
      <w:pPr>
        <w:numPr>
          <w:ilvl w:val="0"/>
          <w:numId w:val="1021"/>
        </w:numPr>
        <w:pStyle w:val="Compact"/>
      </w:pPr>
      <w:r>
        <w:t xml:space="preserve">informações de crises ou incidentes;</w:t>
      </w:r>
    </w:p>
    <w:p>
      <w:pPr>
        <w:numPr>
          <w:ilvl w:val="0"/>
          <w:numId w:val="1021"/>
        </w:numPr>
        <w:pStyle w:val="Compact"/>
      </w:pPr>
      <w:r>
        <w:t xml:space="preserve">rascunhos jurídicos ou regulatórios;</w:t>
      </w:r>
    </w:p>
    <w:p>
      <w:pPr>
        <w:numPr>
          <w:ilvl w:val="0"/>
          <w:numId w:val="1021"/>
        </w:numPr>
        <w:pStyle w:val="Compact"/>
      </w:pPr>
      <w:r>
        <w:t xml:space="preserve">material financeiro ou de relações com investidores.</w:t>
      </w:r>
    </w:p>
    <w:p>
      <w:pPr>
        <w:pStyle w:val="FirstParagraph"/>
      </w:pPr>
      <w:r>
        <w:t xml:space="preserve">Use sistemas aprovados, colete apenas o necessário, restrinja o acesso, verifique destinatários antes de enviar e siga regras de retenção/exclusão. Nunca presuma que informação pode ser publicada com segurança apenas porque aparece em e-mail, drive compartilhado, conversa com IA ou documento em rascunho.</w:t>
      </w:r>
    </w:p>
    <w:bookmarkEnd w:id="49"/>
    <w:bookmarkStart w:id="50" w:name="Xf0a13e9a2a8bb56cd02bf0fdd3f392551dc8a0f"/>
    <w:p>
      <w:pPr>
        <w:pStyle w:val="Heading2"/>
      </w:pPr>
      <w:r>
        <w:t xml:space="preserve">Cibersegurança para trabalho de comunicação</w:t>
      </w:r>
    </w:p>
    <w:p>
      <w:pPr>
        <w:pStyle w:val="FirstParagraph"/>
      </w:pPr>
      <w:r>
        <w:t xml:space="preserve">A orientação Secure Our World da CISA enfatiza reconhecer phishing, usar senhas fortes/gerenciadores de senha, ativar autenticação multifator e manter software atualizado.</w:t>
      </w:r>
    </w:p>
    <w:p>
      <w:pPr>
        <w:pStyle w:val="BodyText"/>
      </w:pPr>
      <w:r>
        <w:t xml:space="preserve">Hábitos práticos incluem:</w:t>
      </w:r>
    </w:p>
    <w:p>
      <w:pPr>
        <w:numPr>
          <w:ilvl w:val="0"/>
          <w:numId w:val="1022"/>
        </w:numPr>
        <w:pStyle w:val="Compact"/>
      </w:pPr>
      <w:r>
        <w:t xml:space="preserve">ativar MFA em contas aprovadas de comunicação e mídias sociais;</w:t>
      </w:r>
    </w:p>
    <w:p>
      <w:pPr>
        <w:numPr>
          <w:ilvl w:val="0"/>
          <w:numId w:val="1022"/>
        </w:numPr>
        <w:pStyle w:val="Compact"/>
      </w:pPr>
      <w:r>
        <w:t xml:space="preserve">usar credenciais únicas e gerenciadores de senha aprovados;</w:t>
      </w:r>
    </w:p>
    <w:p>
      <w:pPr>
        <w:numPr>
          <w:ilvl w:val="0"/>
          <w:numId w:val="1022"/>
        </w:numPr>
        <w:pStyle w:val="Compact"/>
      </w:pPr>
      <w:r>
        <w:t xml:space="preserve">verificar solicitações inesperadas de redefinição de senha ou acesso;</w:t>
      </w:r>
    </w:p>
    <w:p>
      <w:pPr>
        <w:numPr>
          <w:ilvl w:val="0"/>
          <w:numId w:val="1022"/>
        </w:numPr>
        <w:pStyle w:val="Compact"/>
      </w:pPr>
      <w:r>
        <w:t xml:space="preserve">verificar convites incomuns de compartilhamento de arquivos;</w:t>
      </w:r>
    </w:p>
    <w:p>
      <w:pPr>
        <w:numPr>
          <w:ilvl w:val="0"/>
          <w:numId w:val="1022"/>
        </w:numPr>
        <w:pStyle w:val="Compact"/>
      </w:pPr>
      <w:r>
        <w:t xml:space="preserve">verificar de forma independente pedidos urgentes envolvendo dinheiro, credenciais, mensagens executivas ou mudanças de publicação;</w:t>
      </w:r>
    </w:p>
    <w:p>
      <w:pPr>
        <w:numPr>
          <w:ilvl w:val="0"/>
          <w:numId w:val="1022"/>
        </w:numPr>
        <w:pStyle w:val="Compact"/>
      </w:pPr>
      <w:r>
        <w:t xml:space="preserve">confirmar solicitações incomuns da mídia por canais conhecidos;</w:t>
      </w:r>
    </w:p>
    <w:p>
      <w:pPr>
        <w:numPr>
          <w:ilvl w:val="0"/>
          <w:numId w:val="1022"/>
        </w:numPr>
        <w:pStyle w:val="Compact"/>
      </w:pPr>
      <w:r>
        <w:t xml:space="preserve">evitar enviar listas ou rascunhos sensíveis para e-mail pessoal;</w:t>
      </w:r>
    </w:p>
    <w:p>
      <w:pPr>
        <w:numPr>
          <w:ilvl w:val="0"/>
          <w:numId w:val="1022"/>
        </w:numPr>
        <w:pStyle w:val="Compact"/>
      </w:pPr>
      <w:r>
        <w:t xml:space="preserve">não publicar capturas que exponham tokens, endereços de e-mail, URLs internas, chats privados ou dados pessoais;</w:t>
      </w:r>
    </w:p>
    <w:p>
      <w:pPr>
        <w:numPr>
          <w:ilvl w:val="0"/>
          <w:numId w:val="1022"/>
        </w:numPr>
        <w:pStyle w:val="Compact"/>
      </w:pPr>
      <w:r>
        <w:t xml:space="preserve">reportar rapidamente suspeita de comprometimento ou falsidade de identidade digital;</w:t>
      </w:r>
    </w:p>
    <w:p>
      <w:pPr>
        <w:numPr>
          <w:ilvl w:val="0"/>
          <w:numId w:val="1022"/>
        </w:numPr>
        <w:pStyle w:val="Compact"/>
      </w:pPr>
      <w:r>
        <w:t xml:space="preserve">seguir procedimentos aprovados de resposta a incidentes.</w:t>
      </w:r>
    </w:p>
    <w:bookmarkEnd w:id="50"/>
    <w:bookmarkStart w:id="51" w:name="endossos-patrocínios-e-avaliações"/>
    <w:p>
      <w:pPr>
        <w:pStyle w:val="Heading2"/>
      </w:pPr>
      <w:r>
        <w:t xml:space="preserve">Endossos, patrocínios e avaliações</w:t>
      </w:r>
    </w:p>
    <w:p>
      <w:pPr>
        <w:pStyle w:val="FirstParagraph"/>
      </w:pPr>
      <w:r>
        <w:t xml:space="preserve">A Federal Trade Commission dos Estados Unidos oferece orientação sobre endossos, influenciadores, avaliações e transparência publicitária. Regras semelhantes podem existir em outras jurisdições.</w:t>
      </w:r>
    </w:p>
    <w:p>
      <w:pPr>
        <w:pStyle w:val="BodyText"/>
      </w:pPr>
      <w:r>
        <w:t xml:space="preserve">Um profissional de comunicação deve:</w:t>
      </w:r>
    </w:p>
    <w:p>
      <w:pPr>
        <w:numPr>
          <w:ilvl w:val="0"/>
          <w:numId w:val="1023"/>
        </w:numPr>
        <w:pStyle w:val="Compact"/>
      </w:pPr>
      <w:r>
        <w:t xml:space="preserve">usar linguagem de divulgação aprovada quando necessário;</w:t>
      </w:r>
    </w:p>
    <w:p>
      <w:pPr>
        <w:numPr>
          <w:ilvl w:val="0"/>
          <w:numId w:val="1023"/>
        </w:numPr>
        <w:pStyle w:val="Compact"/>
      </w:pPr>
      <w:r>
        <w:t xml:space="preserve">descrever com precisão relações materiais;</w:t>
      </w:r>
    </w:p>
    <w:p>
      <w:pPr>
        <w:numPr>
          <w:ilvl w:val="0"/>
          <w:numId w:val="1023"/>
        </w:numPr>
        <w:pStyle w:val="Compact"/>
      </w:pPr>
      <w:r>
        <w:t xml:space="preserve">evitar avaliações ou depoimentos fabricados;</w:t>
      </w:r>
    </w:p>
    <w:p>
      <w:pPr>
        <w:numPr>
          <w:ilvl w:val="0"/>
          <w:numId w:val="1023"/>
        </w:numPr>
        <w:pStyle w:val="Compact"/>
      </w:pPr>
      <w:r>
        <w:t xml:space="preserve">evitar suprimir ou editar avaliações de forma enganosa;</w:t>
      </w:r>
    </w:p>
    <w:p>
      <w:pPr>
        <w:numPr>
          <w:ilvl w:val="0"/>
          <w:numId w:val="1023"/>
        </w:numPr>
        <w:pStyle w:val="Compact"/>
      </w:pPr>
      <w:r>
        <w:t xml:space="preserve">preservar evidências que sustentem alegações aprovadas;</w:t>
      </w:r>
    </w:p>
    <w:p>
      <w:pPr>
        <w:numPr>
          <w:ilvl w:val="0"/>
          <w:numId w:val="1023"/>
        </w:numPr>
        <w:pStyle w:val="Compact"/>
      </w:pPr>
      <w:r>
        <w:t xml:space="preserve">encaminhar casos incertos para jurídico/compliance ou gerente responsável.</w:t>
      </w:r>
    </w:p>
    <w:p>
      <w:pPr>
        <w:pStyle w:val="FirstParagraph"/>
      </w:pPr>
      <w:r>
        <w:t xml:space="preserve">Este guia é educacional e não constitui aconselhamento jurídico específico de uma jurisdição.</w:t>
      </w:r>
    </w:p>
    <w:bookmarkEnd w:id="51"/>
    <w:bookmarkStart w:id="52" w:name="ia-responsável-em-comunicação"/>
    <w:p>
      <w:pPr>
        <w:pStyle w:val="Heading2"/>
      </w:pPr>
      <w:r>
        <w:t xml:space="preserve">IA responsável em comunicação</w:t>
      </w:r>
    </w:p>
    <w:p>
      <w:pPr>
        <w:pStyle w:val="FirstParagraph"/>
      </w:pPr>
      <w:r>
        <w:t xml:space="preserve">A IA pode ajudar em tarefas de baixo risco quando a organização permitir.</w:t>
      </w:r>
    </w:p>
    <w:p>
      <w:pPr>
        <w:pStyle w:val="BodyText"/>
      </w:pPr>
      <w:r>
        <w:t xml:space="preserve">Usos possíveis incluem:</w:t>
      </w:r>
    </w:p>
    <w:p>
      <w:pPr>
        <w:numPr>
          <w:ilvl w:val="0"/>
          <w:numId w:val="1024"/>
        </w:numPr>
        <w:pStyle w:val="Compact"/>
      </w:pPr>
      <w:r>
        <w:t xml:space="preserve">gerar ideias de títulos;</w:t>
      </w:r>
    </w:p>
    <w:p>
      <w:pPr>
        <w:numPr>
          <w:ilvl w:val="0"/>
          <w:numId w:val="1024"/>
        </w:numPr>
        <w:pStyle w:val="Compact"/>
      </w:pPr>
      <w:r>
        <w:t xml:space="preserve">criar primeiros esboços;</w:t>
      </w:r>
    </w:p>
    <w:p>
      <w:pPr>
        <w:numPr>
          <w:ilvl w:val="0"/>
          <w:numId w:val="1024"/>
        </w:numPr>
        <w:pStyle w:val="Compact"/>
      </w:pPr>
      <w:r>
        <w:t xml:space="preserve">redigir textos rotineiros não sensíveis;</w:t>
      </w:r>
    </w:p>
    <w:p>
      <w:pPr>
        <w:numPr>
          <w:ilvl w:val="0"/>
          <w:numId w:val="1024"/>
        </w:numPr>
        <w:pStyle w:val="Compact"/>
      </w:pPr>
      <w:r>
        <w:t xml:space="preserve">resumir informações públicas;</w:t>
      </w:r>
    </w:p>
    <w:p>
      <w:pPr>
        <w:numPr>
          <w:ilvl w:val="0"/>
          <w:numId w:val="1024"/>
        </w:numPr>
        <w:pStyle w:val="Compact"/>
      </w:pPr>
      <w:r>
        <w:t xml:space="preserve">gerar checklist;</w:t>
      </w:r>
    </w:p>
    <w:p>
      <w:pPr>
        <w:numPr>
          <w:ilvl w:val="0"/>
          <w:numId w:val="1024"/>
        </w:numPr>
        <w:pStyle w:val="Compact"/>
      </w:pPr>
      <w:r>
        <w:t xml:space="preserve">sugerir perguntas de entrevista;</w:t>
      </w:r>
    </w:p>
    <w:p>
      <w:pPr>
        <w:numPr>
          <w:ilvl w:val="0"/>
          <w:numId w:val="1024"/>
        </w:numPr>
        <w:pStyle w:val="Compact"/>
      </w:pPr>
      <w:r>
        <w:t xml:space="preserve">organizar calendário de conteúdo;</w:t>
      </w:r>
    </w:p>
    <w:p>
      <w:pPr>
        <w:numPr>
          <w:ilvl w:val="0"/>
          <w:numId w:val="1024"/>
        </w:numPr>
        <w:pStyle w:val="Compact"/>
      </w:pPr>
      <w:r>
        <w:t xml:space="preserve">apoiar tradução de rascunho que terá revisão humana;</w:t>
      </w:r>
    </w:p>
    <w:p>
      <w:pPr>
        <w:numPr>
          <w:ilvl w:val="0"/>
          <w:numId w:val="1024"/>
        </w:numPr>
        <w:pStyle w:val="Compact"/>
      </w:pPr>
      <w:r>
        <w:t xml:space="preserve">revisar texto não sensível.</w:t>
      </w:r>
    </w:p>
    <w:p>
      <w:pPr>
        <w:pStyle w:val="FirstParagraph"/>
      </w:pPr>
      <w:r>
        <w:t xml:space="preserve">A verificação humana continua obrigatória.</w:t>
      </w:r>
    </w:p>
    <w:p>
      <w:pPr>
        <w:pStyle w:val="BodyText"/>
      </w:pPr>
      <w:r>
        <w:t xml:space="preserve">Não dependa apenas de IA para:</w:t>
      </w:r>
    </w:p>
    <w:p>
      <w:pPr>
        <w:numPr>
          <w:ilvl w:val="0"/>
          <w:numId w:val="1025"/>
        </w:numPr>
        <w:pStyle w:val="Compact"/>
      </w:pPr>
      <w:r>
        <w:t xml:space="preserve">citações;</w:t>
      </w:r>
    </w:p>
    <w:p>
      <w:pPr>
        <w:numPr>
          <w:ilvl w:val="0"/>
          <w:numId w:val="1025"/>
        </w:numPr>
        <w:pStyle w:val="Compact"/>
      </w:pPr>
      <w:r>
        <w:t xml:space="preserve">estatísticas;</w:t>
      </w:r>
    </w:p>
    <w:p>
      <w:pPr>
        <w:numPr>
          <w:ilvl w:val="0"/>
          <w:numId w:val="1025"/>
        </w:numPr>
        <w:pStyle w:val="Compact"/>
      </w:pPr>
      <w:r>
        <w:t xml:space="preserve">declarações jurídicas ou regulatórias;</w:t>
      </w:r>
    </w:p>
    <w:p>
      <w:pPr>
        <w:numPr>
          <w:ilvl w:val="0"/>
          <w:numId w:val="1025"/>
        </w:numPr>
        <w:pStyle w:val="Compact"/>
      </w:pPr>
      <w:r>
        <w:t xml:space="preserve">comunicação de crise;</w:t>
      </w:r>
    </w:p>
    <w:p>
      <w:pPr>
        <w:numPr>
          <w:ilvl w:val="0"/>
          <w:numId w:val="1025"/>
        </w:numPr>
        <w:pStyle w:val="Compact"/>
      </w:pPr>
      <w:r>
        <w:t xml:space="preserve">declarações executivas;</w:t>
      </w:r>
    </w:p>
    <w:p>
      <w:pPr>
        <w:numPr>
          <w:ilvl w:val="0"/>
          <w:numId w:val="1025"/>
        </w:numPr>
        <w:pStyle w:val="Compact"/>
      </w:pPr>
      <w:r>
        <w:t xml:space="preserve">anúncios financeiros;</w:t>
      </w:r>
    </w:p>
    <w:p>
      <w:pPr>
        <w:numPr>
          <w:ilvl w:val="0"/>
          <w:numId w:val="1025"/>
        </w:numPr>
        <w:pStyle w:val="Compact"/>
      </w:pPr>
      <w:r>
        <w:t xml:space="preserve">anúncios de pessoal;</w:t>
      </w:r>
    </w:p>
    <w:p>
      <w:pPr>
        <w:numPr>
          <w:ilvl w:val="0"/>
          <w:numId w:val="1025"/>
        </w:numPr>
        <w:pStyle w:val="Compact"/>
      </w:pPr>
      <w:r>
        <w:t xml:space="preserve">instruções de segurança ou emergência;</w:t>
      </w:r>
    </w:p>
    <w:p>
      <w:pPr>
        <w:numPr>
          <w:ilvl w:val="0"/>
          <w:numId w:val="1025"/>
        </w:numPr>
        <w:pStyle w:val="Compact"/>
      </w:pPr>
      <w:r>
        <w:t xml:space="preserve">compromissos de acessibilidade;</w:t>
      </w:r>
    </w:p>
    <w:p>
      <w:pPr>
        <w:numPr>
          <w:ilvl w:val="0"/>
          <w:numId w:val="1025"/>
        </w:numPr>
        <w:pStyle w:val="Compact"/>
      </w:pPr>
      <w:r>
        <w:t xml:space="preserve">acusações sobre pessoas ou organizações;</w:t>
      </w:r>
    </w:p>
    <w:p>
      <w:pPr>
        <w:numPr>
          <w:ilvl w:val="0"/>
          <w:numId w:val="1025"/>
        </w:numPr>
        <w:pStyle w:val="Compact"/>
      </w:pPr>
      <w:r>
        <w:t xml:space="preserve">atribuição de fontes;</w:t>
      </w:r>
    </w:p>
    <w:p>
      <w:pPr>
        <w:numPr>
          <w:ilvl w:val="0"/>
          <w:numId w:val="1025"/>
        </w:numPr>
        <w:pStyle w:val="Compact"/>
      </w:pPr>
      <w:r>
        <w:t xml:space="preserve">decisões de resposta à mídia;</w:t>
      </w:r>
    </w:p>
    <w:p>
      <w:pPr>
        <w:numPr>
          <w:ilvl w:val="0"/>
          <w:numId w:val="1025"/>
        </w:numPr>
        <w:pStyle w:val="Compact"/>
      </w:pPr>
      <w:r>
        <w:t xml:space="preserve">traduções finais de conteúdo relevante.</w:t>
      </w:r>
    </w:p>
    <w:p>
      <w:pPr>
        <w:pStyle w:val="FirstParagraph"/>
      </w:pPr>
      <w:r>
        <w:t xml:space="preserve">Não insira rascunhos confidenciais, informações sob embargo, listas privadas de mídia, credenciais, dados de clientes ou funcionários, informações financeiras não publicadas, material jurídico ou outras informações protegidas em serviço de IA não aprovado.</w:t>
      </w:r>
    </w:p>
    <w:p>
      <w:pPr>
        <w:pStyle w:val="BodyText"/>
      </w:pPr>
      <w:r>
        <w:t xml:space="preserve">O NIST AI Risk Management Framework é uma referência voluntária para gestão de riscos de IA. Regra prática para comunicação:</w:t>
      </w:r>
      <w:r>
        <w:t xml:space="preserve"> </w:t>
      </w:r>
      <w:r>
        <w:rPr>
          <w:bCs/>
          <w:b/>
        </w:rPr>
        <w:t xml:space="preserve">a IA pode ajudar a redigir ou organizar; uma pessoa autorizada deve verificar e aprovar conteúdo relevante com base em material fonte atual.</w:t>
      </w:r>
    </w:p>
    <w:bookmarkEnd w:id="52"/>
    <w:bookmarkStart w:id="53" w:name="Xa94d008b93735fa2d2345d4a8939e7673411aad"/>
    <w:p>
      <w:pPr>
        <w:pStyle w:val="Heading2"/>
      </w:pPr>
      <w:r>
        <w:t xml:space="preserve">Educação e caminhos de entrada — Estados Unidos</w:t>
      </w:r>
    </w:p>
    <w:p>
      <w:pPr>
        <w:pStyle w:val="FirstParagraph"/>
      </w:pPr>
      <w:r>
        <w:t xml:space="preserve">Cargos de especialista em relações públicas frequentemente favorecem bacharelado em comunicação, relações públicas, jornalismo, marketing, negócios ou área relacionada. Requisitos para cargos iniciais de assistente e coordenador variam mais.</w:t>
      </w:r>
    </w:p>
    <w:p>
      <w:pPr>
        <w:pStyle w:val="BodyText"/>
      </w:pPr>
      <w:r>
        <w:t xml:space="preserve">Empregadores podem valorizar:</w:t>
      </w:r>
    </w:p>
    <w:p>
      <w:pPr>
        <w:numPr>
          <w:ilvl w:val="0"/>
          <w:numId w:val="1026"/>
        </w:numPr>
        <w:pStyle w:val="Compact"/>
      </w:pPr>
      <w:r>
        <w:t xml:space="preserve">boas amostras de redação;</w:t>
      </w:r>
    </w:p>
    <w:p>
      <w:pPr>
        <w:numPr>
          <w:ilvl w:val="0"/>
          <w:numId w:val="1026"/>
        </w:numPr>
        <w:pStyle w:val="Compact"/>
      </w:pPr>
      <w:r>
        <w:t xml:space="preserve">experiência administrativa ou de coordenação de projetos;</w:t>
      </w:r>
    </w:p>
    <w:p>
      <w:pPr>
        <w:numPr>
          <w:ilvl w:val="0"/>
          <w:numId w:val="1026"/>
        </w:numPr>
        <w:pStyle w:val="Compact"/>
      </w:pPr>
      <w:r>
        <w:t xml:space="preserve">experiência em atendimento ou comunidade;</w:t>
      </w:r>
    </w:p>
    <w:p>
      <w:pPr>
        <w:numPr>
          <w:ilvl w:val="0"/>
          <w:numId w:val="1026"/>
        </w:numPr>
        <w:pStyle w:val="Compact"/>
      </w:pPr>
      <w:r>
        <w:t xml:space="preserve">experiência em mídias sociais ou conteúdo;</w:t>
      </w:r>
    </w:p>
    <w:p>
      <w:pPr>
        <w:numPr>
          <w:ilvl w:val="0"/>
          <w:numId w:val="1026"/>
        </w:numPr>
        <w:pStyle w:val="Compact"/>
      </w:pPr>
      <w:r>
        <w:t xml:space="preserve">experiência de apoio a eventos;</w:t>
      </w:r>
    </w:p>
    <w:p>
      <w:pPr>
        <w:numPr>
          <w:ilvl w:val="0"/>
          <w:numId w:val="1026"/>
        </w:numPr>
        <w:pStyle w:val="Compact"/>
      </w:pPr>
      <w:r>
        <w:t xml:space="preserve">experiência em jornalismo ou mídia estudantil;</w:t>
      </w:r>
    </w:p>
    <w:p>
      <w:pPr>
        <w:numPr>
          <w:ilvl w:val="0"/>
          <w:numId w:val="1026"/>
        </w:numPr>
        <w:pStyle w:val="Compact"/>
      </w:pPr>
      <w:r>
        <w:t xml:space="preserve">certificado ou programa de associate degree;</w:t>
      </w:r>
    </w:p>
    <w:p>
      <w:pPr>
        <w:numPr>
          <w:ilvl w:val="0"/>
          <w:numId w:val="1026"/>
        </w:numPr>
        <w:pStyle w:val="Compact"/>
      </w:pPr>
      <w:r>
        <w:t xml:space="preserve">experiência de estágio;</w:t>
      </w:r>
    </w:p>
    <w:p>
      <w:pPr>
        <w:numPr>
          <w:ilvl w:val="0"/>
          <w:numId w:val="1026"/>
        </w:numPr>
        <w:pStyle w:val="Compact"/>
      </w:pPr>
      <w:r>
        <w:t xml:space="preserve">portfólio que demonstre comunicação precisa e ética.</w:t>
      </w:r>
    </w:p>
    <w:p>
      <w:pPr>
        <w:pStyle w:val="FirstParagraph"/>
      </w:pPr>
      <w:r>
        <w:t xml:space="preserve">Uma sequência de entrada de menor custo pode ser:</w:t>
      </w:r>
    </w:p>
    <w:p>
      <w:pPr>
        <w:numPr>
          <w:ilvl w:val="0"/>
          <w:numId w:val="1027"/>
        </w:numPr>
        <w:pStyle w:val="Compact"/>
      </w:pPr>
      <w:r>
        <w:t xml:space="preserve">fortalecer redação, revisão, planilhas, apresentações e e-mail;</w:t>
      </w:r>
    </w:p>
    <w:p>
      <w:pPr>
        <w:numPr>
          <w:ilvl w:val="0"/>
          <w:numId w:val="1027"/>
        </w:numPr>
        <w:pStyle w:val="Compact"/>
      </w:pPr>
      <w:r>
        <w:t xml:space="preserve">aprender o fluxo de comunicação e a disciplina de aprovação;</w:t>
      </w:r>
    </w:p>
    <w:p>
      <w:pPr>
        <w:numPr>
          <w:ilvl w:val="0"/>
          <w:numId w:val="1027"/>
        </w:numPr>
        <w:pStyle w:val="Compact"/>
      </w:pPr>
      <w:r>
        <w:t xml:space="preserve">criar materiais fictícios de prática sem dados confidenciais;</w:t>
      </w:r>
    </w:p>
    <w:p>
      <w:pPr>
        <w:numPr>
          <w:ilvl w:val="0"/>
          <w:numId w:val="1027"/>
        </w:numPr>
        <w:pStyle w:val="Compact"/>
      </w:pPr>
      <w:r>
        <w:t xml:space="preserve">montar pequeno portfólio;</w:t>
      </w:r>
    </w:p>
    <w:p>
      <w:pPr>
        <w:numPr>
          <w:ilvl w:val="0"/>
          <w:numId w:val="1027"/>
        </w:numPr>
        <w:pStyle w:val="Compact"/>
      </w:pPr>
      <w:r>
        <w:t xml:space="preserve">obter experiência supervisionada por organização comunitária, grupo acadêmico, estágio ou emprego júnior, quando apropriado;</w:t>
      </w:r>
    </w:p>
    <w:p>
      <w:pPr>
        <w:numPr>
          <w:ilvl w:val="0"/>
          <w:numId w:val="1027"/>
        </w:numPr>
        <w:pStyle w:val="Compact"/>
      </w:pPr>
      <w:r>
        <w:t xml:space="preserve">candidatar-se a assistente de comunicação, assistente de RP, assistente de mídia, assistente de conteúdo, assistente de comunicação interna, assistente de mídias sociais ou coordenador;</w:t>
      </w:r>
    </w:p>
    <w:p>
      <w:pPr>
        <w:numPr>
          <w:ilvl w:val="0"/>
          <w:numId w:val="1027"/>
        </w:numPr>
        <w:pStyle w:val="Compact"/>
      </w:pPr>
      <w:r>
        <w:t xml:space="preserve">aprender processos específicos do empregador de marca, aprovação, privacidade, registros, acessibilidade e segurança;</w:t>
      </w:r>
    </w:p>
    <w:p>
      <w:pPr>
        <w:numPr>
          <w:ilvl w:val="0"/>
          <w:numId w:val="1027"/>
        </w:numPr>
        <w:pStyle w:val="Compact"/>
      </w:pPr>
      <w:r>
        <w:t xml:space="preserve">avançar para responsabilidades mais amplas de especialista após demonstrar julgamento confiável.</w:t>
      </w:r>
    </w:p>
    <w:bookmarkEnd w:id="53"/>
    <w:bookmarkStart w:id="58" w:name="X25529060e629539aa83206afb6fb300f87df8c3"/>
    <w:p>
      <w:pPr>
        <w:pStyle w:val="Heading2"/>
      </w:pPr>
      <w:r>
        <w:t xml:space="preserve">Financiamento, treinamento gratuito/de baixo custo, bolsas e aprendizagem baseada no trabalho — Estados Unidos</w:t>
      </w:r>
    </w:p>
    <w:bookmarkStart w:id="55" w:name="careeronestop-e-american-job-centers"/>
    <w:p>
      <w:pPr>
        <w:pStyle w:val="Heading3"/>
      </w:pPr>
      <w:r>
        <w:t xml:space="preserve">CareerOneStop e American Job Centers</w:t>
      </w:r>
    </w:p>
    <w:p>
      <w:pPr>
        <w:pStyle w:val="FirstParagraph"/>
      </w:pPr>
      <w:r>
        <w:t xml:space="preserve">O localizador de programas de treinamento elegíveis para WIOA da CareerOneStop ajuda a encontrar diretórios estaduais de programas potencialmente elegíveis:</w:t>
      </w:r>
    </w:p>
    <w:p>
      <w:pPr>
        <w:pStyle w:val="BodyText"/>
      </w:pPr>
      <w:hyperlink r:id="rId54">
        <w:hyperlink r:id="rId54">
          <w:r>
            <w:rPr>
              <w:rStyle w:val="Hyperlink"/>
            </w:rPr>
            <w:t xml:space="preserve">Source link</w:t>
          </w:r>
        </w:hyperlink>
      </w:hyperlink>
    </w:p>
    <w:p>
      <w:pPr>
        <w:pStyle w:val="BodyText"/>
      </w:pPr>
      <w:r>
        <w:t xml:space="preserve">O financiamento não é automático. Elegibilidade, provedores aprovados, serviços de apoio e prioridades locais variam. Um American Job Center pode explicar as opções locais atuais.</w:t>
      </w:r>
    </w:p>
    <w:p>
      <w:pPr>
        <w:pStyle w:val="BodyText"/>
      </w:pPr>
      <w:r>
        <w:t xml:space="preserve">Áreas úteis de busca podem incluir:</w:t>
      </w:r>
    </w:p>
    <w:p>
      <w:pPr>
        <w:numPr>
          <w:ilvl w:val="0"/>
          <w:numId w:val="1028"/>
        </w:numPr>
        <w:pStyle w:val="Compact"/>
      </w:pPr>
      <w:r>
        <w:t xml:space="preserve">relações públicas;</w:t>
      </w:r>
    </w:p>
    <w:p>
      <w:pPr>
        <w:numPr>
          <w:ilvl w:val="0"/>
          <w:numId w:val="1028"/>
        </w:numPr>
        <w:pStyle w:val="Compact"/>
      </w:pPr>
      <w:r>
        <w:t xml:space="preserve">comunicação;</w:t>
      </w:r>
    </w:p>
    <w:p>
      <w:pPr>
        <w:numPr>
          <w:ilvl w:val="0"/>
          <w:numId w:val="1028"/>
        </w:numPr>
        <w:pStyle w:val="Compact"/>
      </w:pPr>
      <w:r>
        <w:t xml:space="preserve">jornalismo;</w:t>
      </w:r>
    </w:p>
    <w:p>
      <w:pPr>
        <w:numPr>
          <w:ilvl w:val="0"/>
          <w:numId w:val="1028"/>
        </w:numPr>
        <w:pStyle w:val="Compact"/>
      </w:pPr>
      <w:r>
        <w:t xml:space="preserve">marketing;</w:t>
      </w:r>
    </w:p>
    <w:p>
      <w:pPr>
        <w:numPr>
          <w:ilvl w:val="0"/>
          <w:numId w:val="1028"/>
        </w:numPr>
        <w:pStyle w:val="Compact"/>
      </w:pPr>
      <w:r>
        <w:t xml:space="preserve">mídia digital;</w:t>
      </w:r>
    </w:p>
    <w:p>
      <w:pPr>
        <w:numPr>
          <w:ilvl w:val="0"/>
          <w:numId w:val="1028"/>
        </w:numPr>
        <w:pStyle w:val="Compact"/>
      </w:pPr>
      <w:r>
        <w:t xml:space="preserve">comunicação empresarial;</w:t>
      </w:r>
    </w:p>
    <w:p>
      <w:pPr>
        <w:numPr>
          <w:ilvl w:val="0"/>
          <w:numId w:val="1028"/>
        </w:numPr>
        <w:pStyle w:val="Compact"/>
      </w:pPr>
      <w:r>
        <w:t xml:space="preserve">redação/edição;</w:t>
      </w:r>
    </w:p>
    <w:p>
      <w:pPr>
        <w:numPr>
          <w:ilvl w:val="0"/>
          <w:numId w:val="1028"/>
        </w:numPr>
        <w:pStyle w:val="Compact"/>
      </w:pPr>
      <w:r>
        <w:t xml:space="preserve">mídias sociais;</w:t>
      </w:r>
    </w:p>
    <w:p>
      <w:pPr>
        <w:numPr>
          <w:ilvl w:val="0"/>
          <w:numId w:val="1028"/>
        </w:numPr>
        <w:pStyle w:val="Compact"/>
      </w:pPr>
      <w:r>
        <w:t xml:space="preserve">comunicação gráfica;</w:t>
      </w:r>
    </w:p>
    <w:p>
      <w:pPr>
        <w:numPr>
          <w:ilvl w:val="0"/>
          <w:numId w:val="1028"/>
        </w:numPr>
        <w:pStyle w:val="Compact"/>
      </w:pPr>
      <w:r>
        <w:t xml:space="preserve">tecnologia de escritório ou administrativa.</w:t>
      </w:r>
    </w:p>
    <w:bookmarkEnd w:id="55"/>
    <w:bookmarkStart w:id="56" w:name="bolsas-e-apoio-do-empregador"/>
    <w:p>
      <w:pPr>
        <w:pStyle w:val="Heading3"/>
      </w:pPr>
      <w:r>
        <w:t xml:space="preserve">Bolsas e apoio do empregador</w:t>
      </w:r>
    </w:p>
    <w:p>
      <w:pPr>
        <w:pStyle w:val="FirstParagraph"/>
      </w:pPr>
      <w:r>
        <w:t xml:space="preserve">Faculdades, universidades, associações profissionais, fundações comunitárias, empregadores, sindicatos, agências de emprego e organizações sem fins lucrativos podem oferecer bolsas, auxílio de mensalidade, orçamento de desenvolvimento profissional ou reembolso. Verifique elegibilidade, prazos, tratamento tributário, obrigações de reembolso e provedores aprovados antes de se matricular.</w:t>
      </w:r>
    </w:p>
    <w:bookmarkEnd w:id="56"/>
    <w:bookmarkStart w:id="57" w:name="aprendizagem-baseada-no-trabalho"/>
    <w:p>
      <w:pPr>
        <w:pStyle w:val="Heading3"/>
      </w:pPr>
      <w:r>
        <w:t xml:space="preserve">Aprendizagem baseada no trabalho</w:t>
      </w:r>
    </w:p>
    <w:p>
      <w:pPr>
        <w:pStyle w:val="FirstParagraph"/>
      </w:pPr>
      <w:r>
        <w:t xml:space="preserve">Registered Apprenticeships formais podem ser limitados para esta ocupação. Alternativas práticas podem incluir:</w:t>
      </w:r>
    </w:p>
    <w:p>
      <w:pPr>
        <w:numPr>
          <w:ilvl w:val="0"/>
          <w:numId w:val="1029"/>
        </w:numPr>
        <w:pStyle w:val="Compact"/>
      </w:pPr>
      <w:r>
        <w:t xml:space="preserve">cargos pagos de assistente de comunicação;</w:t>
      </w:r>
    </w:p>
    <w:p>
      <w:pPr>
        <w:numPr>
          <w:ilvl w:val="0"/>
          <w:numId w:val="1029"/>
        </w:numPr>
        <w:pStyle w:val="Compact"/>
      </w:pPr>
      <w:r>
        <w:t xml:space="preserve">estágios;</w:t>
      </w:r>
    </w:p>
    <w:p>
      <w:pPr>
        <w:numPr>
          <w:ilvl w:val="0"/>
          <w:numId w:val="1029"/>
        </w:numPr>
        <w:pStyle w:val="Compact"/>
      </w:pPr>
      <w:r>
        <w:t xml:space="preserve">comunicação universitária;</w:t>
      </w:r>
    </w:p>
    <w:p>
      <w:pPr>
        <w:numPr>
          <w:ilvl w:val="0"/>
          <w:numId w:val="1029"/>
        </w:numPr>
        <w:pStyle w:val="Compact"/>
      </w:pPr>
      <w:r>
        <w:t xml:space="preserve">projetos de comunicação de organizações sem fins lucrativos;</w:t>
      </w:r>
    </w:p>
    <w:p>
      <w:pPr>
        <w:numPr>
          <w:ilvl w:val="0"/>
          <w:numId w:val="1029"/>
        </w:numPr>
        <w:pStyle w:val="Compact"/>
      </w:pPr>
      <w:r>
        <w:t xml:space="preserve">treinamento do empregador;</w:t>
      </w:r>
    </w:p>
    <w:p>
      <w:pPr>
        <w:numPr>
          <w:ilvl w:val="0"/>
          <w:numId w:val="1029"/>
        </w:numPr>
        <w:pStyle w:val="Compact"/>
      </w:pPr>
      <w:r>
        <w:t xml:space="preserve">trabalho supervisionado em eventos ou relações comunitárias;</w:t>
      </w:r>
    </w:p>
    <w:p>
      <w:pPr>
        <w:numPr>
          <w:ilvl w:val="0"/>
          <w:numId w:val="1029"/>
        </w:numPr>
        <w:pStyle w:val="Compact"/>
      </w:pPr>
      <w:r>
        <w:t xml:space="preserve">tarefas de monitoramento de mídia;</w:t>
      </w:r>
    </w:p>
    <w:p>
      <w:pPr>
        <w:numPr>
          <w:ilvl w:val="0"/>
          <w:numId w:val="1029"/>
        </w:numPr>
        <w:pStyle w:val="Compact"/>
      </w:pPr>
      <w:r>
        <w:t xml:space="preserve">apoio à produção de conteúdo;</w:t>
      </w:r>
    </w:p>
    <w:p>
      <w:pPr>
        <w:numPr>
          <w:ilvl w:val="0"/>
          <w:numId w:val="1029"/>
        </w:numPr>
        <w:pStyle w:val="Compact"/>
      </w:pPr>
      <w:r>
        <w:t xml:space="preserve">projetos de portfólio aprovados.</w:t>
      </w:r>
    </w:p>
    <w:p>
      <w:pPr>
        <w:pStyle w:val="FirstParagraph"/>
      </w:pPr>
      <w:r>
        <w:t xml:space="preserve">Nunca use projeto de portfólio como justificativa para publicar informação confidencial ou privada.</w:t>
      </w:r>
    </w:p>
    <w:bookmarkEnd w:id="57"/>
    <w:bookmarkEnd w:id="58"/>
    <w:bookmarkStart w:id="59" w:name="X436a92481de07de2a66b4408b8a1c9cad6d0485"/>
    <w:p>
      <w:pPr>
        <w:pStyle w:val="Heading2"/>
      </w:pPr>
      <w:r>
        <w:t xml:space="preserve">Canadá — educação e caminhos de treinamento</w:t>
      </w:r>
    </w:p>
    <w:p>
      <w:pPr>
        <w:pStyle w:val="FirstParagraph"/>
      </w:pPr>
      <w:r>
        <w:t xml:space="preserve">O NOC 11202 do Canadá cobre trabalho profissional em publicidade, marketing e relações públicas. Empregadores podem pedir formação universitária ou técnica em comunicação, relações públicas, jornalismo, marketing, negócios ou área relacionada, mas requisitos variam por cargo e província.</w:t>
      </w:r>
    </w:p>
    <w:p>
      <w:pPr>
        <w:pStyle w:val="BodyText"/>
      </w:pPr>
      <w:r>
        <w:t xml:space="preserve">O Job Bank do Canadá informa salários nacionais para NOC 11202, atualizados em 19 de novembro de 2025:</w:t>
      </w:r>
    </w:p>
    <w:p>
      <w:pPr>
        <w:numPr>
          <w:ilvl w:val="0"/>
          <w:numId w:val="1030"/>
        </w:numPr>
        <w:pStyle w:val="Compact"/>
      </w:pPr>
      <w:r>
        <w:rPr>
          <w:bCs/>
          <w:b/>
        </w:rPr>
        <w:t xml:space="preserve">C$20.50/hora, faixa baixa</w:t>
      </w:r>
      <w:r>
        <w:t xml:space="preserve">;</w:t>
      </w:r>
    </w:p>
    <w:p>
      <w:pPr>
        <w:numPr>
          <w:ilvl w:val="0"/>
          <w:numId w:val="1030"/>
        </w:numPr>
        <w:pStyle w:val="Compact"/>
      </w:pPr>
      <w:r>
        <w:rPr>
          <w:bCs/>
          <w:b/>
        </w:rPr>
        <w:t xml:space="preserve">C$35.58/hora, mediana</w:t>
      </w:r>
      <w:r>
        <w:t xml:space="preserve">;</w:t>
      </w:r>
    </w:p>
    <w:p>
      <w:pPr>
        <w:numPr>
          <w:ilvl w:val="0"/>
          <w:numId w:val="1030"/>
        </w:numPr>
        <w:pStyle w:val="Compact"/>
      </w:pPr>
      <w:r>
        <w:rPr>
          <w:bCs/>
          <w:b/>
        </w:rPr>
        <w:t xml:space="preserve">C$57.44/hora, faixa alta</w:t>
      </w:r>
      <w:r>
        <w:t xml:space="preserve">.</w:t>
      </w:r>
    </w:p>
    <w:p>
      <w:pPr>
        <w:pStyle w:val="FirstParagraph"/>
      </w:pPr>
      <w:r>
        <w:t xml:space="preserve">Esses valores cobrem o grupo amplo NOC, não todos os cargos de assistente ou coordenador.</w:t>
      </w:r>
    </w:p>
    <w:p>
      <w:pPr>
        <w:pStyle w:val="BodyText"/>
      </w:pPr>
      <w:r>
        <w:t xml:space="preserve">Páginas de treinamento do Governo do Canadá e programas provinciais/territoriais podem ajudar a encontrar assistência ao emprego, auxílio estudantil, cursos curtos e programas de competências. Labour Market Development Agreements fornecem mais de</w:t>
      </w:r>
      <w:r>
        <w:t xml:space="preserve"> </w:t>
      </w:r>
      <w:r>
        <w:rPr>
          <w:bCs/>
          <w:b/>
        </w:rPr>
        <w:t xml:space="preserve">C$2.1 bilhões por ano</w:t>
      </w:r>
      <w:r>
        <w:t xml:space="preserve"> </w:t>
      </w:r>
      <w:r>
        <w:t xml:space="preserve">a províncias e territórios para treinamento elegível e assistência ao emprego. Elegibilidade e financiamento variam e precisam ser verificados localmente.</w:t>
      </w:r>
    </w:p>
    <w:bookmarkEnd w:id="59"/>
    <w:bookmarkStart w:id="63" w:name="X132ad805b7a768133d84acdab10951fdc1b351a"/>
    <w:p>
      <w:pPr>
        <w:pStyle w:val="Heading2"/>
      </w:pPr>
      <w:r>
        <w:t xml:space="preserve">Colômbia — ocupação e caminhos de treinamento</w:t>
      </w:r>
    </w:p>
    <w:p>
      <w:pPr>
        <w:pStyle w:val="FirstParagraph"/>
      </w:pPr>
      <w:r>
        <w:t xml:space="preserve">A Colômbia oferece comparações úteis por meio do OCUPACOL.</w:t>
      </w:r>
    </w:p>
    <w:bookmarkStart w:id="60" w:name="referência-profissional"/>
    <w:p>
      <w:pPr>
        <w:pStyle w:val="Heading3"/>
      </w:pPr>
      <w:r>
        <w:t xml:space="preserve">Referência profissional</w:t>
      </w:r>
    </w:p>
    <w:p>
      <w:pPr>
        <w:pStyle w:val="FirstParagraph"/>
      </w:pPr>
      <w:r>
        <w:rPr>
          <w:bCs/>
          <w:b/>
        </w:rPr>
        <w:t xml:space="preserve">CUOC 24320 — Profesionales de relaciones públicas y comunicaciones</w:t>
      </w:r>
      <w:r>
        <w:t xml:space="preserve"> </w:t>
      </w:r>
      <w:r>
        <w:t xml:space="preserve">cobre trabalho profissional de comunicação e RP, como estratégia, relações com mídia, materiais de imprensa, informação pública, eventos e atuação de porta-voz.</w:t>
      </w:r>
    </w:p>
    <w:bookmarkEnd w:id="60"/>
    <w:bookmarkStart w:id="61" w:name="referência-de-assistente"/>
    <w:p>
      <w:pPr>
        <w:pStyle w:val="Heading3"/>
      </w:pPr>
      <w:r>
        <w:t xml:space="preserve">Referência de assistente</w:t>
      </w:r>
    </w:p>
    <w:p>
      <w:pPr>
        <w:pStyle w:val="FirstParagraph"/>
      </w:pPr>
      <w:r>
        <w:rPr>
          <w:bCs/>
          <w:b/>
        </w:rPr>
        <w:t xml:space="preserve">CUOC 33392 — Asistentes de mercadeo, publicidad y comunicaciones</w:t>
      </w:r>
      <w:r>
        <w:t xml:space="preserve"> </w:t>
      </w:r>
      <w:r>
        <w:t xml:space="preserve">inclui títulos como assistente de comunicação e assistente de comunicação/mídias sociais. É um comparador útil para trabalho de apoio júnior.</w:t>
      </w:r>
    </w:p>
    <w:p>
      <w:pPr>
        <w:pStyle w:val="BodyText"/>
      </w:pPr>
      <w:r>
        <w:t xml:space="preserve">O OCUPACOL publica indicadores do mercado de trabalho, mas o perfil de assistente avisa expressamente que os dados salariais por ocupação</w:t>
      </w:r>
      <w:r>
        <w:t xml:space="preserve"> </w:t>
      </w:r>
      <w:r>
        <w:rPr>
          <w:bCs/>
          <w:b/>
        </w:rPr>
        <w:t xml:space="preserve">não têm representatividade estatística segundo a metodologia aplicada</w:t>
      </w:r>
      <w:r>
        <w:t xml:space="preserve">. Não use a faixa exibida como referência salarial nacional representativa.</w:t>
      </w:r>
    </w:p>
    <w:bookmarkEnd w:id="61"/>
    <w:bookmarkStart w:id="62" w:name="sena-betowa"/>
    <w:p>
      <w:pPr>
        <w:pStyle w:val="Heading3"/>
      </w:pPr>
      <w:r>
        <w:t xml:space="preserve">SENA Betowa</w:t>
      </w:r>
    </w:p>
    <w:p>
      <w:pPr>
        <w:pStyle w:val="FirstParagraph"/>
      </w:pPr>
      <w:r>
        <w:t xml:space="preserve">Caminhos atuais do SENA relevantes para comunicação incluem:</w:t>
      </w:r>
    </w:p>
    <w:p>
      <w:pPr>
        <w:numPr>
          <w:ilvl w:val="0"/>
          <w:numId w:val="1031"/>
        </w:numPr>
        <w:pStyle w:val="Compact"/>
      </w:pPr>
      <w:r>
        <w:rPr>
          <w:bCs/>
          <w:b/>
        </w:rPr>
        <w:t xml:space="preserve">Creación de contenido digital para redes sociales</w:t>
      </w:r>
      <w:r>
        <w:t xml:space="preserve"> </w:t>
      </w:r>
      <w:r>
        <w:t xml:space="preserve">— curso especial complementar,</w:t>
      </w:r>
      <w:r>
        <w:t xml:space="preserve"> </w:t>
      </w:r>
      <w:r>
        <w:rPr>
          <w:bCs/>
          <w:b/>
        </w:rPr>
        <w:t xml:space="preserve">48 horas</w:t>
      </w:r>
      <w:r>
        <w:t xml:space="preserve">;</w:t>
      </w:r>
    </w:p>
    <w:p>
      <w:pPr>
        <w:numPr>
          <w:ilvl w:val="0"/>
          <w:numId w:val="1031"/>
        </w:numPr>
        <w:pStyle w:val="Compact"/>
      </w:pPr>
      <w:r>
        <w:rPr>
          <w:bCs/>
          <w:b/>
        </w:rPr>
        <w:t xml:space="preserve">Community management y analítica web</w:t>
      </w:r>
      <w:r>
        <w:t xml:space="preserve"> </w:t>
      </w:r>
      <w:r>
        <w:t xml:space="preserve">— inclui gestão de comunidades on-line usando técnicas de relações públicas, conteúdo, confidencialidade, métricas e análise;</w:t>
      </w:r>
    </w:p>
    <w:p>
      <w:pPr>
        <w:numPr>
          <w:ilvl w:val="0"/>
          <w:numId w:val="1031"/>
        </w:numPr>
        <w:pStyle w:val="Compact"/>
      </w:pPr>
      <w:r>
        <w:rPr>
          <w:bCs/>
          <w:b/>
        </w:rPr>
        <w:t xml:space="preserve">Marketing digital</w:t>
      </w:r>
      <w:r>
        <w:t xml:space="preserve"> </w:t>
      </w:r>
      <w:r>
        <w:t xml:space="preserve">— curso complementar de</w:t>
      </w:r>
      <w:r>
        <w:t xml:space="preserve"> </w:t>
      </w:r>
      <w:r>
        <w:rPr>
          <w:bCs/>
          <w:b/>
        </w:rPr>
        <w:t xml:space="preserve">48 horas</w:t>
      </w:r>
      <w:r>
        <w:t xml:space="preserve">;</w:t>
      </w:r>
    </w:p>
    <w:p>
      <w:pPr>
        <w:numPr>
          <w:ilvl w:val="0"/>
          <w:numId w:val="1031"/>
        </w:numPr>
        <w:pStyle w:val="Compact"/>
      </w:pPr>
      <w:r>
        <w:rPr>
          <w:bCs/>
          <w:b/>
        </w:rPr>
        <w:t xml:space="preserve">Desarrollo de habilidades digitales para la construcción de contenido digital</w:t>
      </w:r>
      <w:r>
        <w:t xml:space="preserve"> </w:t>
      </w:r>
      <w:r>
        <w:t xml:space="preserve">— inclui ferramentas digitais, licenciamento, direitos autorais, web, mídias sociais e práticas de conteúdo.</w:t>
      </w:r>
    </w:p>
    <w:p>
      <w:pPr>
        <w:pStyle w:val="FirstParagraph"/>
      </w:pPr>
      <w:r>
        <w:t xml:space="preserve">Turmas, locais, modalidade, vagas, requisitos e datas do SENA mudam. Verifique a disponibilidade atual no Betowa antes de planejar com base em um curso.</w:t>
      </w:r>
    </w:p>
    <w:bookmarkEnd w:id="62"/>
    <w:bookmarkEnd w:id="63"/>
    <w:bookmarkStart w:id="66" w:name="américa-latina-e-caribe"/>
    <w:p>
      <w:pPr>
        <w:pStyle w:val="Heading2"/>
      </w:pPr>
      <w:r>
        <w:t xml:space="preserve">América Latina e Caribe</w:t>
      </w:r>
    </w:p>
    <w:p>
      <w:pPr>
        <w:pStyle w:val="FirstParagraph"/>
      </w:pPr>
      <w:r>
        <w:t xml:space="preserve">A OIT/Cinterfor oferece rede regional e recursos por país para instituições de formação profissional:</w:t>
      </w:r>
    </w:p>
    <w:p>
      <w:pPr>
        <w:pStyle w:val="BodyText"/>
      </w:pPr>
      <w:hyperlink r:id="rId64">
        <w:r>
          <w:rPr>
            <w:rStyle w:val="Hyperlink"/>
          </w:rPr>
          <w:t xml:space="preserve">https://www.oitcinterfor.org/</w:t>
        </w:r>
      </w:hyperlink>
    </w:p>
    <w:p>
      <w:pPr>
        <w:pStyle w:val="BodyText"/>
      </w:pPr>
      <w:hyperlink r:id="rId65">
        <w:r>
          <w:rPr>
            <w:rStyle w:val="Hyperlink"/>
          </w:rPr>
          <w:t xml:space="preserve">https://www.oitcinterfor.org/statsfp/paises</w:t>
        </w:r>
      </w:hyperlink>
    </w:p>
    <w:p>
      <w:pPr>
        <w:pStyle w:val="BodyText"/>
      </w:pPr>
      <w:r>
        <w:t xml:space="preserve">Use as páginas de países para identificar instituições nacionais de formação e depois verifique catálogo atual, elegibilidade, modalidade, custo, bolsas/financiamento e procedimentos de inscrição. A presença regional não garante que um programa específico de RP ou comunicação exista em todos os países.</w:t>
      </w:r>
    </w:p>
    <w:bookmarkEnd w:id="66"/>
    <w:bookmarkStart w:id="71" w:name="pesquisa-de-renda--use-com-cuidado"/>
    <w:p>
      <w:pPr>
        <w:pStyle w:val="Heading2"/>
      </w:pPr>
      <w:r>
        <w:t xml:space="preserve">Pesquisa de renda — use com cuidado</w:t>
      </w:r>
    </w:p>
    <w:bookmarkStart w:id="67" w:name="estados-unidos--referência-oficial"/>
    <w:p>
      <w:pPr>
        <w:pStyle w:val="Heading3"/>
      </w:pPr>
      <w:r>
        <w:t xml:space="preserve">Estados Unidos — referência oficial</w:t>
      </w:r>
    </w:p>
    <w:p>
      <w:pPr>
        <w:pStyle w:val="FirstParagraph"/>
      </w:pPr>
      <w:r>
        <w:t xml:space="preserve">Dados salariais O*NET/BLS 2025 para</w:t>
      </w:r>
      <w:r>
        <w:t xml:space="preserve"> </w:t>
      </w:r>
      <w:r>
        <w:rPr>
          <w:bCs/>
          <w:b/>
        </w:rPr>
        <w:t xml:space="preserve">Public Relations Specialists (27-3031.00)</w:t>
      </w:r>
      <w:r>
        <w:t xml:space="preserve"> </w:t>
      </w:r>
      <w:r>
        <w:t xml:space="preserve">mostram:</w:t>
      </w:r>
    </w:p>
    <w:p>
      <w:pPr>
        <w:numPr>
          <w:ilvl w:val="0"/>
          <w:numId w:val="1032"/>
        </w:numPr>
        <w:pStyle w:val="Compact"/>
      </w:pPr>
      <w:r>
        <w:t xml:space="preserve">percentil 10:</w:t>
      </w:r>
      <w:r>
        <w:t xml:space="preserve"> </w:t>
      </w:r>
      <w:r>
        <w:rPr>
          <w:bCs/>
          <w:b/>
        </w:rPr>
        <w:t xml:space="preserve">US$44,110/ano</w:t>
      </w:r>
      <w:r>
        <w:t xml:space="preserve">;</w:t>
      </w:r>
    </w:p>
    <w:p>
      <w:pPr>
        <w:numPr>
          <w:ilvl w:val="0"/>
          <w:numId w:val="1032"/>
        </w:numPr>
        <w:pStyle w:val="Compact"/>
      </w:pPr>
      <w:r>
        <w:t xml:space="preserve">mediana:</w:t>
      </w:r>
      <w:r>
        <w:t xml:space="preserve"> </w:t>
      </w:r>
      <w:r>
        <w:rPr>
          <w:bCs/>
          <w:b/>
        </w:rPr>
        <w:t xml:space="preserve">US$74,750/ano</w:t>
      </w:r>
      <w:r>
        <w:t xml:space="preserve"> </w:t>
      </w:r>
      <w:r>
        <w:t xml:space="preserve">ou</w:t>
      </w:r>
      <w:r>
        <w:t xml:space="preserve"> </w:t>
      </w:r>
      <w:r>
        <w:rPr>
          <w:bCs/>
          <w:b/>
        </w:rPr>
        <w:t xml:space="preserve">US$35.94/hora</w:t>
      </w:r>
      <w:r>
        <w:t xml:space="preserve">;</w:t>
      </w:r>
    </w:p>
    <w:p>
      <w:pPr>
        <w:numPr>
          <w:ilvl w:val="0"/>
          <w:numId w:val="1032"/>
        </w:numPr>
        <w:pStyle w:val="Compact"/>
      </w:pPr>
      <w:r>
        <w:t xml:space="preserve">percentil 90:</w:t>
      </w:r>
      <w:r>
        <w:t xml:space="preserve"> </w:t>
      </w:r>
      <w:r>
        <w:rPr>
          <w:bCs/>
          <w:b/>
        </w:rPr>
        <w:t xml:space="preserve">US$135,150/ano</w:t>
      </w:r>
      <w:r>
        <w:t xml:space="preserve">.</w:t>
      </w:r>
    </w:p>
    <w:p>
      <w:pPr>
        <w:pStyle w:val="FirstParagraph"/>
      </w:pPr>
      <w:r>
        <w:t xml:space="preserve">É uma referência ampla da ocupação. Cargos iniciais de assistente podem pagar menos; cargos sênior, especializados, em mercados de alto custo, executivos, de agência, crise, relações com investidores ou comunicações altamente técnicas podem pagar mais.</w:t>
      </w:r>
    </w:p>
    <w:bookmarkEnd w:id="67"/>
    <w:bookmarkStart w:id="68" w:name="canadá--referência-oficial"/>
    <w:p>
      <w:pPr>
        <w:pStyle w:val="Heading3"/>
      </w:pPr>
      <w:r>
        <w:t xml:space="preserve">Canadá — referência oficial</w:t>
      </w:r>
    </w:p>
    <w:p>
      <w:pPr>
        <w:pStyle w:val="FirstParagraph"/>
      </w:pPr>
      <w:r>
        <w:t xml:space="preserve">O Job Bank informa para</w:t>
      </w:r>
      <w:r>
        <w:t xml:space="preserve"> </w:t>
      </w:r>
      <w:r>
        <w:rPr>
          <w:bCs/>
          <w:b/>
        </w:rPr>
        <w:t xml:space="preserve">NOC 11202</w:t>
      </w:r>
      <w:r>
        <w:t xml:space="preserve">:</w:t>
      </w:r>
    </w:p>
    <w:p>
      <w:pPr>
        <w:numPr>
          <w:ilvl w:val="0"/>
          <w:numId w:val="1033"/>
        </w:numPr>
        <w:pStyle w:val="Compact"/>
      </w:pPr>
      <w:r>
        <w:t xml:space="preserve">baixo:</w:t>
      </w:r>
      <w:r>
        <w:t xml:space="preserve"> </w:t>
      </w:r>
      <w:r>
        <w:rPr>
          <w:bCs/>
          <w:b/>
        </w:rPr>
        <w:t xml:space="preserve">C$20.50/hora</w:t>
      </w:r>
      <w:r>
        <w:t xml:space="preserve">;</w:t>
      </w:r>
    </w:p>
    <w:p>
      <w:pPr>
        <w:numPr>
          <w:ilvl w:val="0"/>
          <w:numId w:val="1033"/>
        </w:numPr>
        <w:pStyle w:val="Compact"/>
      </w:pPr>
      <w:r>
        <w:t xml:space="preserve">mediana:</w:t>
      </w:r>
      <w:r>
        <w:t xml:space="preserve"> </w:t>
      </w:r>
      <w:r>
        <w:rPr>
          <w:bCs/>
          <w:b/>
        </w:rPr>
        <w:t xml:space="preserve">C$35.58/hora</w:t>
      </w:r>
      <w:r>
        <w:t xml:space="preserve">;</w:t>
      </w:r>
    </w:p>
    <w:p>
      <w:pPr>
        <w:numPr>
          <w:ilvl w:val="0"/>
          <w:numId w:val="1033"/>
        </w:numPr>
        <w:pStyle w:val="Compact"/>
      </w:pPr>
      <w:r>
        <w:t xml:space="preserve">alto:</w:t>
      </w:r>
      <w:r>
        <w:t xml:space="preserve"> </w:t>
      </w:r>
      <w:r>
        <w:rPr>
          <w:bCs/>
          <w:b/>
        </w:rPr>
        <w:t xml:space="preserve">C$57.44/hora</w:t>
      </w:r>
      <w:r>
        <w:t xml:space="preserve">.</w:t>
      </w:r>
    </w:p>
    <w:p>
      <w:pPr>
        <w:pStyle w:val="FirstParagraph"/>
      </w:pPr>
      <w:r>
        <w:t xml:space="preserve">Os valores foram atualizados em 19 de novembro de 2025 e usam período de referência 2023-2024 da Labour Force Survey.</w:t>
      </w:r>
    </w:p>
    <w:bookmarkEnd w:id="68"/>
    <w:bookmarkStart w:id="69" w:name="Xb418fff1ff30d84b928dd24c38512f7ae53c33c"/>
    <w:p>
      <w:pPr>
        <w:pStyle w:val="Heading3"/>
      </w:pPr>
      <w:r>
        <w:t xml:space="preserve">Exemplos atuais não governamentais — Estados Unidos</w:t>
      </w:r>
    </w:p>
    <w:p>
      <w:pPr>
        <w:pStyle w:val="FirstParagraph"/>
      </w:pPr>
      <w:r>
        <w:t xml:space="preserve">Vagas atuais do Indeed ilustram variação, não uma média nacional. Exemplos recentes incluem:</w:t>
      </w:r>
    </w:p>
    <w:p>
      <w:pPr>
        <w:numPr>
          <w:ilvl w:val="0"/>
          <w:numId w:val="1034"/>
        </w:numPr>
        <w:pStyle w:val="Compact"/>
      </w:pPr>
      <w:r>
        <w:t xml:space="preserve">coordenador de comunicação/engajamento:</w:t>
      </w:r>
      <w:r>
        <w:t xml:space="preserve"> </w:t>
      </w:r>
      <w:r>
        <w:rPr>
          <w:bCs/>
          <w:b/>
        </w:rPr>
        <w:t xml:space="preserve">US$70,988-US$91,128/ano</w:t>
      </w:r>
      <w:r>
        <w:t xml:space="preserve">;</w:t>
      </w:r>
    </w:p>
    <w:p>
      <w:pPr>
        <w:numPr>
          <w:ilvl w:val="0"/>
          <w:numId w:val="1034"/>
        </w:numPr>
        <w:pStyle w:val="Compact"/>
      </w:pPr>
      <w:r>
        <w:t xml:space="preserve">coordenador de comunicação/relações com mídia em tempo parcial:</w:t>
      </w:r>
      <w:r>
        <w:t xml:space="preserve"> </w:t>
      </w:r>
      <w:r>
        <w:rPr>
          <w:bCs/>
          <w:b/>
        </w:rPr>
        <w:t xml:space="preserve">US$25/hora</w:t>
      </w:r>
      <w:r>
        <w:t xml:space="preserve">;</w:t>
      </w:r>
    </w:p>
    <w:p>
      <w:pPr>
        <w:numPr>
          <w:ilvl w:val="0"/>
          <w:numId w:val="1034"/>
        </w:numPr>
        <w:pStyle w:val="Compact"/>
      </w:pPr>
      <w:r>
        <w:t xml:space="preserve">coordenador de relações públicas:</w:t>
      </w:r>
      <w:r>
        <w:t xml:space="preserve"> </w:t>
      </w:r>
      <w:r>
        <w:rPr>
          <w:bCs/>
          <w:b/>
        </w:rPr>
        <w:t xml:space="preserve">US$19.97-US$29.95/hora</w:t>
      </w:r>
      <w:r>
        <w:t xml:space="preserve">.</w:t>
      </w:r>
    </w:p>
    <w:p>
      <w:pPr>
        <w:pStyle w:val="FirstParagraph"/>
      </w:pPr>
      <w:r>
        <w:t xml:space="preserve">São exemplos individuais do mercado. Empregador, local, setor, horas, experiência, benefícios e nível de responsabilidade diferem.</w:t>
      </w:r>
    </w:p>
    <w:bookmarkEnd w:id="69"/>
    <w:bookmarkStart w:id="70" w:name="X96bd12ae5741cecacbbbc13b048df9b1eb53242"/>
    <w:p>
      <w:pPr>
        <w:pStyle w:val="Heading3"/>
      </w:pPr>
      <w:r>
        <w:t xml:space="preserve">Exemplos atuais não governamentais — Colômbia</w:t>
      </w:r>
    </w:p>
    <w:p>
      <w:pPr>
        <w:pStyle w:val="FirstParagraph"/>
      </w:pPr>
      <w:r>
        <w:t xml:space="preserve">Vagas atuais do Indeed em Bogotá ilustram grande variação de escopo:</w:t>
      </w:r>
    </w:p>
    <w:p>
      <w:pPr>
        <w:numPr>
          <w:ilvl w:val="0"/>
          <w:numId w:val="1035"/>
        </w:numPr>
        <w:pStyle w:val="Compact"/>
      </w:pPr>
      <w:r>
        <w:t xml:space="preserve">Communications Coordinator:</w:t>
      </w:r>
      <w:r>
        <w:t xml:space="preserve"> </w:t>
      </w:r>
      <w:r>
        <w:rPr>
          <w:bCs/>
          <w:b/>
        </w:rPr>
        <w:t xml:space="preserve">COP 6.0-6.5 milhões/mês</w:t>
      </w:r>
      <w:r>
        <w:t xml:space="preserve"> </w:t>
      </w:r>
      <w:r>
        <w:t xml:space="preserve">para função estratégica com liderança de equipe;</w:t>
      </w:r>
    </w:p>
    <w:p>
      <w:pPr>
        <w:numPr>
          <w:ilvl w:val="0"/>
          <w:numId w:val="1035"/>
        </w:numPr>
        <w:pStyle w:val="Compact"/>
      </w:pPr>
      <w:r>
        <w:t xml:space="preserve">Communications and Digital Marketing Coordinator:</w:t>
      </w:r>
      <w:r>
        <w:t xml:space="preserve"> </w:t>
      </w:r>
      <w:r>
        <w:rPr>
          <w:bCs/>
          <w:b/>
        </w:rPr>
        <w:t xml:space="preserve">COP 2.8 milhões/mês</w:t>
      </w:r>
      <w:r>
        <w:t xml:space="preserve"> </w:t>
      </w:r>
      <w:r>
        <w:t xml:space="preserve">para função mais restrita de conteúdo digital.</w:t>
      </w:r>
    </w:p>
    <w:p>
      <w:pPr>
        <w:pStyle w:val="FirstParagraph"/>
      </w:pPr>
      <w:r>
        <w:t xml:space="preserve">São vagas individuais, não médias representativas. Sempre verifique se um valor é salário-base, remuneração total, pagamento de contratado ou outro arranjo.</w:t>
      </w:r>
    </w:p>
    <w:bookmarkEnd w:id="70"/>
    <w:bookmarkEnd w:id="71"/>
    <w:bookmarkStart w:id="72" w:name="construindo-um-portfólio-de-forma-ética"/>
    <w:p>
      <w:pPr>
        <w:pStyle w:val="Heading2"/>
      </w:pPr>
      <w:r>
        <w:t xml:space="preserve">Construindo um portfólio de forma ética</w:t>
      </w:r>
    </w:p>
    <w:p>
      <w:pPr>
        <w:pStyle w:val="FirstParagraph"/>
      </w:pPr>
      <w:r>
        <w:t xml:space="preserve">Um portfólio inicial pode usar trabalhos fictícios ou autorizados.</w:t>
      </w:r>
    </w:p>
    <w:p>
      <w:pPr>
        <w:pStyle w:val="BodyText"/>
      </w:pPr>
      <w:r>
        <w:t xml:space="preserve">Amostras úteis incluem:</w:t>
      </w:r>
    </w:p>
    <w:p>
      <w:pPr>
        <w:numPr>
          <w:ilvl w:val="0"/>
          <w:numId w:val="1036"/>
        </w:numPr>
        <w:pStyle w:val="Compact"/>
      </w:pPr>
      <w:r>
        <w:t xml:space="preserve">release fictício;</w:t>
      </w:r>
    </w:p>
    <w:p>
      <w:pPr>
        <w:numPr>
          <w:ilvl w:val="0"/>
          <w:numId w:val="1036"/>
        </w:numPr>
        <w:pStyle w:val="Compact"/>
      </w:pPr>
      <w:r>
        <w:t xml:space="preserve">briefing de mídia de uma página;</w:t>
      </w:r>
    </w:p>
    <w:p>
      <w:pPr>
        <w:numPr>
          <w:ilvl w:val="0"/>
          <w:numId w:val="1036"/>
        </w:numPr>
        <w:pStyle w:val="Compact"/>
      </w:pPr>
      <w:r>
        <w:t xml:space="preserve">comunicado interno fictício;</w:t>
      </w:r>
    </w:p>
    <w:p>
      <w:pPr>
        <w:numPr>
          <w:ilvl w:val="0"/>
          <w:numId w:val="1036"/>
        </w:numPr>
        <w:pStyle w:val="Compact"/>
      </w:pPr>
      <w:r>
        <w:t xml:space="preserve">calendário de conteúdo de mídias sociais;</w:t>
      </w:r>
    </w:p>
    <w:p>
      <w:pPr>
        <w:numPr>
          <w:ilvl w:val="0"/>
          <w:numId w:val="1036"/>
        </w:numPr>
        <w:pStyle w:val="Compact"/>
      </w:pPr>
      <w:r>
        <w:t xml:space="preserve">controle de projeto de comunicação;</w:t>
      </w:r>
    </w:p>
    <w:p>
      <w:pPr>
        <w:numPr>
          <w:ilvl w:val="0"/>
          <w:numId w:val="1036"/>
        </w:numPr>
        <w:pStyle w:val="Compact"/>
      </w:pPr>
      <w:r>
        <w:t xml:space="preserve">plano de comunicação de evento;</w:t>
      </w:r>
    </w:p>
    <w:p>
      <w:pPr>
        <w:numPr>
          <w:ilvl w:val="0"/>
          <w:numId w:val="1036"/>
        </w:numPr>
        <w:pStyle w:val="Compact"/>
      </w:pPr>
      <w:r>
        <w:t xml:space="preserve">resumo de monitoramento de mídia usando artigos públicos;</w:t>
      </w:r>
    </w:p>
    <w:p>
      <w:pPr>
        <w:numPr>
          <w:ilvl w:val="0"/>
          <w:numId w:val="1036"/>
        </w:numPr>
        <w:pStyle w:val="Compact"/>
      </w:pPr>
      <w:r>
        <w:t xml:space="preserve">modelo de newsletter acessível;</w:t>
      </w:r>
    </w:p>
    <w:p>
      <w:pPr>
        <w:numPr>
          <w:ilvl w:val="0"/>
          <w:numId w:val="1036"/>
        </w:numPr>
        <w:pStyle w:val="Compact"/>
      </w:pPr>
      <w:r>
        <w:t xml:space="preserve">árvore de decisão de escalonamento de crise que demonstre limites sem fingir ser orientação jurídica;</w:t>
      </w:r>
    </w:p>
    <w:p>
      <w:pPr>
        <w:numPr>
          <w:ilvl w:val="0"/>
          <w:numId w:val="1036"/>
        </w:numPr>
        <w:pStyle w:val="Compact"/>
      </w:pPr>
      <w:r>
        <w:t xml:space="preserve">versão antes/depois de reescrita em linguagem clara de material criado por você.</w:t>
      </w:r>
    </w:p>
    <w:p>
      <w:pPr>
        <w:pStyle w:val="FirstParagraph"/>
      </w:pPr>
      <w:r>
        <w:t xml:space="preserve">Identifique claramente trabalho fictício. Não apresente material confidencial de empregador, dados privados, ativos protegidos por direitos autorais sem permissão, cobertura inventada ou resultados falsos de campanha como experiência real.</w:t>
      </w:r>
    </w:p>
    <w:bookmarkEnd w:id="72"/>
    <w:bookmarkStart w:id="77" w:name="plano-prático-de-início-em-30-dias"/>
    <w:p>
      <w:pPr>
        <w:pStyle w:val="Heading2"/>
      </w:pPr>
      <w:r>
        <w:t xml:space="preserve">Plano prático de início em 30 dias</w:t>
      </w:r>
    </w:p>
    <w:bookmarkStart w:id="73" w:name="semana-1--fundamentos"/>
    <w:p>
      <w:pPr>
        <w:pStyle w:val="Heading3"/>
      </w:pPr>
      <w:r>
        <w:t xml:space="preserve">Semana 1 — fundamentos</w:t>
      </w:r>
    </w:p>
    <w:p>
      <w:pPr>
        <w:numPr>
          <w:ilvl w:val="0"/>
          <w:numId w:val="1037"/>
        </w:numPr>
        <w:pStyle w:val="Compact"/>
      </w:pPr>
      <w:r>
        <w:t xml:space="preserve">revisar várias descrições de vagas atuais;</w:t>
      </w:r>
    </w:p>
    <w:p>
      <w:pPr>
        <w:numPr>
          <w:ilvl w:val="0"/>
          <w:numId w:val="1037"/>
        </w:numPr>
        <w:pStyle w:val="Compact"/>
      </w:pPr>
      <w:r>
        <w:t xml:space="preserve">identificar competências comuns de redação, coordenação, digital e relatórios;</w:t>
      </w:r>
    </w:p>
    <w:p>
      <w:pPr>
        <w:numPr>
          <w:ilvl w:val="0"/>
          <w:numId w:val="1037"/>
        </w:numPr>
        <w:pStyle w:val="Compact"/>
      </w:pPr>
      <w:r>
        <w:t xml:space="preserve">praticar revisão e verificação de fontes;</w:t>
      </w:r>
    </w:p>
    <w:p>
      <w:pPr>
        <w:numPr>
          <w:ilvl w:val="0"/>
          <w:numId w:val="1037"/>
        </w:numPr>
        <w:pStyle w:val="Compact"/>
      </w:pPr>
      <w:r>
        <w:t xml:space="preserve">aprender funções básicas de planilhas e apresentações;</w:t>
      </w:r>
    </w:p>
    <w:p>
      <w:pPr>
        <w:numPr>
          <w:ilvl w:val="0"/>
          <w:numId w:val="1037"/>
        </w:numPr>
        <w:pStyle w:val="Compact"/>
      </w:pPr>
      <w:r>
        <w:t xml:space="preserve">criar checklist simples de aprovação.</w:t>
      </w:r>
    </w:p>
    <w:bookmarkEnd w:id="73"/>
    <w:bookmarkStart w:id="74" w:name="semana-2--prática-de-portfólio"/>
    <w:p>
      <w:pPr>
        <w:pStyle w:val="Heading3"/>
      </w:pPr>
      <w:r>
        <w:t xml:space="preserve">Semana 2 — prática de portfólio</w:t>
      </w:r>
    </w:p>
    <w:p>
      <w:pPr>
        <w:numPr>
          <w:ilvl w:val="0"/>
          <w:numId w:val="1038"/>
        </w:numPr>
        <w:pStyle w:val="Compact"/>
      </w:pPr>
      <w:r>
        <w:t xml:space="preserve">escrever um release fictício;</w:t>
      </w:r>
    </w:p>
    <w:p>
      <w:pPr>
        <w:numPr>
          <w:ilvl w:val="0"/>
          <w:numId w:val="1038"/>
        </w:numPr>
        <w:pStyle w:val="Compact"/>
      </w:pPr>
      <w:r>
        <w:t xml:space="preserve">criar comunicado interno curto;</w:t>
      </w:r>
    </w:p>
    <w:p>
      <w:pPr>
        <w:numPr>
          <w:ilvl w:val="0"/>
          <w:numId w:val="1038"/>
        </w:numPr>
        <w:pStyle w:val="Compact"/>
      </w:pPr>
      <w:r>
        <w:t xml:space="preserve">criar calendário de conteúdo de uma semana;</w:t>
      </w:r>
    </w:p>
    <w:p>
      <w:pPr>
        <w:numPr>
          <w:ilvl w:val="0"/>
          <w:numId w:val="1038"/>
        </w:numPr>
        <w:pStyle w:val="Compact"/>
      </w:pPr>
      <w:r>
        <w:t xml:space="preserve">montar planilha de monitoramento de mídia usando informações públicas;</w:t>
      </w:r>
    </w:p>
    <w:p>
      <w:pPr>
        <w:numPr>
          <w:ilvl w:val="0"/>
          <w:numId w:val="1038"/>
        </w:numPr>
        <w:pStyle w:val="Compact"/>
      </w:pPr>
      <w:r>
        <w:t xml:space="preserve">revisar cada item por acessibilidade e linguagem clara.</w:t>
      </w:r>
    </w:p>
    <w:bookmarkEnd w:id="74"/>
    <w:bookmarkStart w:id="75" w:name="semana-3--ferramentas-e-segurança"/>
    <w:p>
      <w:pPr>
        <w:pStyle w:val="Heading3"/>
      </w:pPr>
      <w:r>
        <w:t xml:space="preserve">Semana 3 — ferramentas e segurança</w:t>
      </w:r>
    </w:p>
    <w:p>
      <w:pPr>
        <w:numPr>
          <w:ilvl w:val="0"/>
          <w:numId w:val="1039"/>
        </w:numPr>
        <w:pStyle w:val="Compact"/>
      </w:pPr>
      <w:r>
        <w:t xml:space="preserve">praticar conceitos de gestão de conteúdo ou agendamento social em ambientes de treinamento quando possível;</w:t>
      </w:r>
    </w:p>
    <w:p>
      <w:pPr>
        <w:numPr>
          <w:ilvl w:val="0"/>
          <w:numId w:val="1039"/>
        </w:numPr>
        <w:pStyle w:val="Compact"/>
      </w:pPr>
      <w:r>
        <w:t xml:space="preserve">aprender fundamentos de MFA, phishing, senhas, recuperação de conta, privacidade e compartilhamento de arquivos;</w:t>
      </w:r>
    </w:p>
    <w:p>
      <w:pPr>
        <w:numPr>
          <w:ilvl w:val="0"/>
          <w:numId w:val="1039"/>
        </w:numPr>
        <w:pStyle w:val="Compact"/>
      </w:pPr>
      <w:r>
        <w:t xml:space="preserve">revisar como identificar rascunhos e preservar histórico de versões;</w:t>
      </w:r>
    </w:p>
    <w:p>
      <w:pPr>
        <w:numPr>
          <w:ilvl w:val="0"/>
          <w:numId w:val="1039"/>
        </w:numPr>
        <w:pStyle w:val="Compact"/>
      </w:pPr>
      <w:r>
        <w:t xml:space="preserve">praticar verificação de solicitação suspeita antes de agir.</w:t>
      </w:r>
    </w:p>
    <w:bookmarkEnd w:id="75"/>
    <w:bookmarkStart w:id="76" w:name="X659d5b8ad0d976abc9cece15949719373d5758e"/>
    <w:p>
      <w:pPr>
        <w:pStyle w:val="Heading3"/>
      </w:pPr>
      <w:r>
        <w:t xml:space="preserve">Semana 4 — preparação para busca de emprego</w:t>
      </w:r>
    </w:p>
    <w:p>
      <w:pPr>
        <w:numPr>
          <w:ilvl w:val="0"/>
          <w:numId w:val="1040"/>
        </w:numPr>
        <w:pStyle w:val="Compact"/>
      </w:pPr>
      <w:r>
        <w:t xml:space="preserve">adaptar currículo a responsabilidades de assistente/coordenador que você possa comprovar;</w:t>
      </w:r>
    </w:p>
    <w:p>
      <w:pPr>
        <w:numPr>
          <w:ilvl w:val="0"/>
          <w:numId w:val="1040"/>
        </w:numPr>
        <w:pStyle w:val="Compact"/>
      </w:pPr>
      <w:r>
        <w:t xml:space="preserve">selecionar três a cinco amostras éticas de portfólio;</w:t>
      </w:r>
    </w:p>
    <w:p>
      <w:pPr>
        <w:numPr>
          <w:ilvl w:val="0"/>
          <w:numId w:val="1040"/>
        </w:numPr>
        <w:pStyle w:val="Compact"/>
      </w:pPr>
      <w:r>
        <w:t xml:space="preserve">preparar exemplos de entrevista sobre precisão, prazos, trabalho em equipe, correção de erros, confidencialidade e escalonamento;</w:t>
      </w:r>
    </w:p>
    <w:p>
      <w:pPr>
        <w:numPr>
          <w:ilvl w:val="0"/>
          <w:numId w:val="1040"/>
        </w:numPr>
        <w:pStyle w:val="Compact"/>
      </w:pPr>
      <w:r>
        <w:t xml:space="preserve">pesquisar sites de empregadores, recursos de emprego, estágios e programas de treinamento;</w:t>
      </w:r>
    </w:p>
    <w:p>
      <w:pPr>
        <w:numPr>
          <w:ilvl w:val="0"/>
          <w:numId w:val="1040"/>
        </w:numPr>
        <w:pStyle w:val="Compact"/>
      </w:pPr>
      <w:r>
        <w:t xml:space="preserve">verificar local da vaga, horário, requisitos de idioma e autorização de trabalho antes de se candidatar.</w:t>
      </w:r>
    </w:p>
    <w:bookmarkEnd w:id="76"/>
    <w:bookmarkEnd w:id="77"/>
    <w:bookmarkStart w:id="78" w:name="perguntas-de-entrevista-para-praticar"/>
    <w:p>
      <w:pPr>
        <w:pStyle w:val="Heading2"/>
      </w:pPr>
      <w:r>
        <w:t xml:space="preserve">Perguntas de entrevista para praticar</w:t>
      </w:r>
    </w:p>
    <w:p>
      <w:pPr>
        <w:pStyle w:val="FirstParagraph"/>
      </w:pPr>
      <w:r>
        <w:t xml:space="preserve">Prepare exemplos concisos para perguntas como:</w:t>
      </w:r>
    </w:p>
    <w:p>
      <w:pPr>
        <w:numPr>
          <w:ilvl w:val="0"/>
          <w:numId w:val="1041"/>
        </w:numPr>
        <w:pStyle w:val="Compact"/>
      </w:pPr>
      <w:r>
        <w:t xml:space="preserve">Como você verifica informações antes de publicar?</w:t>
      </w:r>
    </w:p>
    <w:p>
      <w:pPr>
        <w:numPr>
          <w:ilvl w:val="0"/>
          <w:numId w:val="1041"/>
        </w:numPr>
        <w:pStyle w:val="Compact"/>
      </w:pPr>
      <w:r>
        <w:t xml:space="preserve">O que faria se um executivo pedisse um post urgente com estatística não verificada?</w:t>
      </w:r>
    </w:p>
    <w:p>
      <w:pPr>
        <w:numPr>
          <w:ilvl w:val="0"/>
          <w:numId w:val="1041"/>
        </w:numPr>
        <w:pStyle w:val="Compact"/>
      </w:pPr>
      <w:r>
        <w:t xml:space="preserve">Como gerencia vários prazos de comunicação ao mesmo tempo?</w:t>
      </w:r>
    </w:p>
    <w:p>
      <w:pPr>
        <w:numPr>
          <w:ilvl w:val="0"/>
          <w:numId w:val="1041"/>
        </w:numPr>
        <w:pStyle w:val="Compact"/>
      </w:pPr>
      <w:r>
        <w:t xml:space="preserve">Como lidaria com mensagem suspeita de phishing enviada a um administrador de mídias sociais?</w:t>
      </w:r>
    </w:p>
    <w:p>
      <w:pPr>
        <w:numPr>
          <w:ilvl w:val="0"/>
          <w:numId w:val="1041"/>
        </w:numPr>
        <w:pStyle w:val="Compact"/>
      </w:pPr>
      <w:r>
        <w:t xml:space="preserve">O que faria se publicasse uma data incorreta?</w:t>
      </w:r>
    </w:p>
    <w:p>
      <w:pPr>
        <w:numPr>
          <w:ilvl w:val="0"/>
          <w:numId w:val="1041"/>
        </w:numPr>
        <w:pStyle w:val="Compact"/>
      </w:pPr>
      <w:r>
        <w:t xml:space="preserve">Como protege informações confidenciais ao colaborar com fornecedores?</w:t>
      </w:r>
    </w:p>
    <w:p>
      <w:pPr>
        <w:numPr>
          <w:ilvl w:val="0"/>
          <w:numId w:val="1041"/>
        </w:numPr>
        <w:pStyle w:val="Compact"/>
      </w:pPr>
      <w:r>
        <w:t xml:space="preserve">Como torna um documento ou post social mais acessível?</w:t>
      </w:r>
    </w:p>
    <w:p>
      <w:pPr>
        <w:numPr>
          <w:ilvl w:val="0"/>
          <w:numId w:val="1041"/>
        </w:numPr>
        <w:pStyle w:val="Compact"/>
      </w:pPr>
      <w:r>
        <w:t xml:space="preserve">Como usaria IA de forma responsável em comunicação?</w:t>
      </w:r>
    </w:p>
    <w:p>
      <w:pPr>
        <w:numPr>
          <w:ilvl w:val="0"/>
          <w:numId w:val="1041"/>
        </w:numPr>
        <w:pStyle w:val="Compact"/>
      </w:pPr>
      <w:r>
        <w:t xml:space="preserve">Como responde quando não tem autoridade para responder pergunta da imprensa?</w:t>
      </w:r>
    </w:p>
    <w:p>
      <w:pPr>
        <w:pStyle w:val="FirstParagraph"/>
      </w:pPr>
      <w:r>
        <w:t xml:space="preserve">Boas respostas mostram verificação calma, documentação, comunicação clara, escalonamento apropriado e respeito aos limites de aprovação.</w:t>
      </w:r>
    </w:p>
    <w:bookmarkEnd w:id="78"/>
    <w:bookmarkStart w:id="79" w:name="progressão-profissional"/>
    <w:p>
      <w:pPr>
        <w:pStyle w:val="Heading2"/>
      </w:pPr>
      <w:r>
        <w:t xml:space="preserve">Progressão profissional</w:t>
      </w:r>
    </w:p>
    <w:p>
      <w:pPr>
        <w:pStyle w:val="FirstParagraph"/>
      </w:pPr>
      <w:r>
        <w:t xml:space="preserve">Possíveis caminhos incluem:</w:t>
      </w:r>
    </w:p>
    <w:p>
      <w:pPr>
        <w:numPr>
          <w:ilvl w:val="0"/>
          <w:numId w:val="1042"/>
        </w:numPr>
        <w:pStyle w:val="Compact"/>
      </w:pPr>
      <w:r>
        <w:t xml:space="preserve">assistente de comunicação;</w:t>
      </w:r>
    </w:p>
    <w:p>
      <w:pPr>
        <w:numPr>
          <w:ilvl w:val="0"/>
          <w:numId w:val="1042"/>
        </w:numPr>
        <w:pStyle w:val="Compact"/>
      </w:pPr>
      <w:r>
        <w:t xml:space="preserve">assistente de relações públicas;</w:t>
      </w:r>
    </w:p>
    <w:p>
      <w:pPr>
        <w:numPr>
          <w:ilvl w:val="0"/>
          <w:numId w:val="1042"/>
        </w:numPr>
        <w:pStyle w:val="Compact"/>
      </w:pPr>
      <w:r>
        <w:t xml:space="preserve">coordenador de comunicação;</w:t>
      </w:r>
    </w:p>
    <w:p>
      <w:pPr>
        <w:numPr>
          <w:ilvl w:val="0"/>
          <w:numId w:val="1042"/>
        </w:numPr>
        <w:pStyle w:val="Compact"/>
      </w:pPr>
      <w:r>
        <w:t xml:space="preserve">coordenador de relações com mídia;</w:t>
      </w:r>
    </w:p>
    <w:p>
      <w:pPr>
        <w:numPr>
          <w:ilvl w:val="0"/>
          <w:numId w:val="1042"/>
        </w:numPr>
        <w:pStyle w:val="Compact"/>
      </w:pPr>
      <w:r>
        <w:t xml:space="preserve">coordenador de comunicação interna;</w:t>
      </w:r>
    </w:p>
    <w:p>
      <w:pPr>
        <w:numPr>
          <w:ilvl w:val="0"/>
          <w:numId w:val="1042"/>
        </w:numPr>
        <w:pStyle w:val="Compact"/>
      </w:pPr>
      <w:r>
        <w:t xml:space="preserve">coordenador de relações comunitárias;</w:t>
      </w:r>
    </w:p>
    <w:p>
      <w:pPr>
        <w:numPr>
          <w:ilvl w:val="0"/>
          <w:numId w:val="1042"/>
        </w:numPr>
        <w:pStyle w:val="Compact"/>
      </w:pPr>
      <w:r>
        <w:t xml:space="preserve">especialista em comunicação;</w:t>
      </w:r>
    </w:p>
    <w:p>
      <w:pPr>
        <w:numPr>
          <w:ilvl w:val="0"/>
          <w:numId w:val="1042"/>
        </w:numPr>
        <w:pStyle w:val="Compact"/>
      </w:pPr>
      <w:r>
        <w:t xml:space="preserve">especialista em relações públicas;</w:t>
      </w:r>
    </w:p>
    <w:p>
      <w:pPr>
        <w:numPr>
          <w:ilvl w:val="0"/>
          <w:numId w:val="1042"/>
        </w:numPr>
        <w:pStyle w:val="Compact"/>
      </w:pPr>
      <w:r>
        <w:t xml:space="preserve">especialista sênior em comunicação;</w:t>
      </w:r>
    </w:p>
    <w:p>
      <w:pPr>
        <w:numPr>
          <w:ilvl w:val="0"/>
          <w:numId w:val="1042"/>
        </w:numPr>
        <w:pStyle w:val="Compact"/>
      </w:pPr>
      <w:r>
        <w:t xml:space="preserve">gerente de comunicação;</w:t>
      </w:r>
    </w:p>
    <w:p>
      <w:pPr>
        <w:numPr>
          <w:ilvl w:val="0"/>
          <w:numId w:val="1042"/>
        </w:numPr>
        <w:pStyle w:val="Compact"/>
      </w:pPr>
      <w:r>
        <w:t xml:space="preserve">gerente de relações públicas;</w:t>
      </w:r>
    </w:p>
    <w:p>
      <w:pPr>
        <w:numPr>
          <w:ilvl w:val="0"/>
          <w:numId w:val="1042"/>
        </w:numPr>
        <w:pStyle w:val="Compact"/>
      </w:pPr>
      <w:r>
        <w:t xml:space="preserve">gerente de comunicação corporativa;</w:t>
      </w:r>
    </w:p>
    <w:p>
      <w:pPr>
        <w:numPr>
          <w:ilvl w:val="0"/>
          <w:numId w:val="1042"/>
        </w:numPr>
        <w:pStyle w:val="Compact"/>
      </w:pPr>
      <w:r>
        <w:t xml:space="preserve">caminhos especializados em relações com mídia, comunicação interna, relações comunitárias, assuntos públicos, comunicação executiva, comunicação de crise, comunicação digital ou estratégia de conteúdo.</w:t>
      </w:r>
    </w:p>
    <w:p>
      <w:pPr>
        <w:pStyle w:val="FirstParagraph"/>
      </w:pPr>
      <w:r>
        <w:t xml:space="preserve">O avanço depende de resultados demonstrados, qualidade de redação, julgamento, conhecimento do setor, formação, força do portfólio, relacionamentos, capacidade de liderança e necessidades do empregador. Nenhum título ou curso garante promoção.</w:t>
      </w:r>
    </w:p>
    <w:bookmarkEnd w:id="79"/>
    <w:bookmarkStart w:id="80" w:name="Xe01ef630156e0609f66889e3b754f8c6594e9a1"/>
    <w:p>
      <w:pPr>
        <w:pStyle w:val="Heading2"/>
      </w:pPr>
      <w:r>
        <w:t xml:space="preserve">Checklist final antes de publicar conteúdo relevante</w:t>
      </w:r>
    </w:p>
    <w:p>
      <w:pPr>
        <w:pStyle w:val="FirstParagraph"/>
      </w:pPr>
      <w:r>
        <w:t xml:space="preserve">Confirme que:</w:t>
      </w:r>
    </w:p>
    <w:p>
      <w:pPr>
        <w:numPr>
          <w:ilvl w:val="0"/>
          <w:numId w:val="1043"/>
        </w:numPr>
        <w:pStyle w:val="Compact"/>
      </w:pPr>
      <w:r>
        <w:t xml:space="preserve">a fonte esteja atual e adequada;</w:t>
      </w:r>
    </w:p>
    <w:p>
      <w:pPr>
        <w:numPr>
          <w:ilvl w:val="0"/>
          <w:numId w:val="1043"/>
        </w:numPr>
        <w:pStyle w:val="Compact"/>
      </w:pPr>
      <w:r>
        <w:t xml:space="preserve">nomes e cargos estejam corretos;</w:t>
      </w:r>
    </w:p>
    <w:p>
      <w:pPr>
        <w:numPr>
          <w:ilvl w:val="0"/>
          <w:numId w:val="1043"/>
        </w:numPr>
        <w:pStyle w:val="Compact"/>
      </w:pPr>
      <w:r>
        <w:t xml:space="preserve">datas e horários estejam corretos;</w:t>
      </w:r>
    </w:p>
    <w:p>
      <w:pPr>
        <w:numPr>
          <w:ilvl w:val="0"/>
          <w:numId w:val="1043"/>
        </w:numPr>
        <w:pStyle w:val="Compact"/>
      </w:pPr>
      <w:r>
        <w:t xml:space="preserve">citações sejam exatas e autorizadas;</w:t>
      </w:r>
    </w:p>
    <w:p>
      <w:pPr>
        <w:numPr>
          <w:ilvl w:val="0"/>
          <w:numId w:val="1043"/>
        </w:numPr>
        <w:pStyle w:val="Compact"/>
      </w:pPr>
      <w:r>
        <w:t xml:space="preserve">estatísticas correspondam à fonte e data;</w:t>
      </w:r>
    </w:p>
    <w:p>
      <w:pPr>
        <w:numPr>
          <w:ilvl w:val="0"/>
          <w:numId w:val="1043"/>
        </w:numPr>
        <w:pStyle w:val="Compact"/>
      </w:pPr>
      <w:r>
        <w:t xml:space="preserve">alegações tenham suporte;</w:t>
      </w:r>
    </w:p>
    <w:p>
      <w:pPr>
        <w:numPr>
          <w:ilvl w:val="0"/>
          <w:numId w:val="1043"/>
        </w:numPr>
        <w:pStyle w:val="Compact"/>
      </w:pPr>
      <w:r>
        <w:t xml:space="preserve">a revisão jurídica/compliance exigida esteja completa;</w:t>
      </w:r>
    </w:p>
    <w:p>
      <w:pPr>
        <w:numPr>
          <w:ilvl w:val="0"/>
          <w:numId w:val="1043"/>
        </w:numPr>
        <w:pStyle w:val="Compact"/>
      </w:pPr>
      <w:r>
        <w:t xml:space="preserve">divulgações de patrocínio/endosso estejam tratadas quando aplicável;</w:t>
      </w:r>
    </w:p>
    <w:p>
      <w:pPr>
        <w:numPr>
          <w:ilvl w:val="0"/>
          <w:numId w:val="1043"/>
        </w:numPr>
        <w:pStyle w:val="Compact"/>
      </w:pPr>
      <w:r>
        <w:t xml:space="preserve">elementos de acessibilidade estejam abordados;</w:t>
      </w:r>
    </w:p>
    <w:p>
      <w:pPr>
        <w:numPr>
          <w:ilvl w:val="0"/>
          <w:numId w:val="1043"/>
        </w:numPr>
        <w:pStyle w:val="Compact"/>
      </w:pPr>
      <w:r>
        <w:t xml:space="preserve">informações confidenciais ou pessoais não estejam expostas;</w:t>
      </w:r>
    </w:p>
    <w:p>
      <w:pPr>
        <w:numPr>
          <w:ilvl w:val="0"/>
          <w:numId w:val="1043"/>
        </w:numPr>
        <w:pStyle w:val="Compact"/>
      </w:pPr>
      <w:r>
        <w:t xml:space="preserve">conta e público corretos estejam selecionados;</w:t>
      </w:r>
    </w:p>
    <w:p>
      <w:pPr>
        <w:numPr>
          <w:ilvl w:val="0"/>
          <w:numId w:val="1043"/>
        </w:numPr>
        <w:pStyle w:val="Compact"/>
      </w:pPr>
      <w:r>
        <w:t xml:space="preserve">links e anexos funcionem;</w:t>
      </w:r>
    </w:p>
    <w:p>
      <w:pPr>
        <w:numPr>
          <w:ilvl w:val="0"/>
          <w:numId w:val="1043"/>
        </w:numPr>
        <w:pStyle w:val="Compact"/>
      </w:pPr>
      <w:r>
        <w:t xml:space="preserve">o aprovador autorizado tenha aprovado a versão final;</w:t>
      </w:r>
    </w:p>
    <w:p>
      <w:pPr>
        <w:numPr>
          <w:ilvl w:val="0"/>
          <w:numId w:val="1043"/>
        </w:numPr>
        <w:pStyle w:val="Compact"/>
      </w:pPr>
      <w:r>
        <w:t xml:space="preserve">a versão final esteja claramente distinguível dos rascunhos;</w:t>
      </w:r>
    </w:p>
    <w:p>
      <w:pPr>
        <w:numPr>
          <w:ilvl w:val="0"/>
          <w:numId w:val="1043"/>
        </w:numPr>
        <w:pStyle w:val="Compact"/>
      </w:pPr>
      <w:r>
        <w:t xml:space="preserve">exista caminho conhecido de correção/escalonamento.</w:t>
      </w:r>
    </w:p>
    <w:bookmarkEnd w:id="80"/>
    <w:bookmarkStart w:id="100" w:name="fontes-e-links-de-verificação"/>
    <w:p>
      <w:pPr>
        <w:pStyle w:val="Heading2"/>
      </w:pPr>
      <w:r>
        <w:t xml:space="preserve">Fontes e links de verificação</w:t>
      </w:r>
    </w:p>
    <w:bookmarkStart w:id="87" w:name="estados-unidos"/>
    <w:p>
      <w:pPr>
        <w:pStyle w:val="Heading3"/>
      </w:pPr>
      <w:r>
        <w:t xml:space="preserve">Estados Unidos</w:t>
      </w:r>
    </w:p>
    <w:p>
      <w:pPr>
        <w:numPr>
          <w:ilvl w:val="0"/>
          <w:numId w:val="1044"/>
        </w:numPr>
        <w:pStyle w:val="Compact"/>
      </w:pPr>
      <w:r>
        <w:t xml:space="preserve">O*NET Public Relations Specialists:</w:t>
      </w:r>
      <w:r>
        <w:t xml:space="preserve"> </w:t>
      </w:r>
      <w:hyperlink r:id="rId81">
        <w:hyperlink r:id="rId81">
          <w:r>
            <w:rPr>
              <w:rStyle w:val="Hyperlink"/>
            </w:rPr>
            <w:t xml:space="preserve">Source link</w:t>
          </w:r>
        </w:hyperlink>
      </w:hyperlink>
    </w:p>
    <w:p>
      <w:pPr>
        <w:numPr>
          <w:ilvl w:val="0"/>
          <w:numId w:val="1044"/>
        </w:numPr>
        <w:pStyle w:val="Compact"/>
      </w:pPr>
      <w:r>
        <w:t xml:space="preserve">Dados salariais O*NET/BLS:</w:t>
      </w:r>
      <w:r>
        <w:t xml:space="preserve"> </w:t>
      </w:r>
      <w:hyperlink r:id="rId82">
        <w:hyperlink r:id="rId82">
          <w:r>
            <w:rPr>
              <w:rStyle w:val="Hyperlink"/>
            </w:rPr>
            <w:t xml:space="preserve">Source link</w:t>
          </w:r>
        </w:hyperlink>
      </w:hyperlink>
    </w:p>
    <w:p>
      <w:pPr>
        <w:numPr>
          <w:ilvl w:val="0"/>
          <w:numId w:val="1044"/>
        </w:numPr>
        <w:pStyle w:val="Compact"/>
      </w:pPr>
      <w:r>
        <w:t xml:space="preserve">Localizador WIOA CareerOneStop:</w:t>
      </w:r>
      <w:r>
        <w:t xml:space="preserve"> </w:t>
      </w:r>
      <w:hyperlink r:id="rId54">
        <w:hyperlink r:id="rId54">
          <w:r>
            <w:rPr>
              <w:rStyle w:val="Hyperlink"/>
            </w:rPr>
            <w:t xml:space="preserve">Source link</w:t>
          </w:r>
        </w:hyperlink>
      </w:hyperlink>
    </w:p>
    <w:p>
      <w:pPr>
        <w:numPr>
          <w:ilvl w:val="0"/>
          <w:numId w:val="1044"/>
        </w:numPr>
        <w:pStyle w:val="Compact"/>
      </w:pPr>
      <w:r>
        <w:t xml:space="preserve">CISA Secure Our World:</w:t>
      </w:r>
      <w:r>
        <w:t xml:space="preserve"> </w:t>
      </w:r>
      <w:hyperlink r:id="rId83">
        <w:r>
          <w:rPr>
            <w:rStyle w:val="Hyperlink"/>
          </w:rPr>
          <w:t xml:space="preserve">https://www.cisa.gov/secure-our-world</w:t>
        </w:r>
      </w:hyperlink>
    </w:p>
    <w:p>
      <w:pPr>
        <w:numPr>
          <w:ilvl w:val="0"/>
          <w:numId w:val="1044"/>
        </w:numPr>
        <w:pStyle w:val="Compact"/>
      </w:pPr>
      <w:r>
        <w:t xml:space="preserve">Orientação FTC sobre endossos, influenciadores e avaliações:</w:t>
      </w:r>
      <w:r>
        <w:t xml:space="preserve"> </w:t>
      </w:r>
      <w:hyperlink r:id="rId84">
        <w:hyperlink r:id="rId84">
          <w:r>
            <w:rPr>
              <w:rStyle w:val="Hyperlink"/>
            </w:rPr>
            <w:t xml:space="preserve">Source link</w:t>
          </w:r>
        </w:hyperlink>
      </w:hyperlink>
    </w:p>
    <w:p>
      <w:pPr>
        <w:numPr>
          <w:ilvl w:val="0"/>
          <w:numId w:val="1044"/>
        </w:numPr>
        <w:pStyle w:val="Compact"/>
      </w:pPr>
      <w:r>
        <w:t xml:space="preserve">Orientação DOJ sobre acessibilidade web:</w:t>
      </w:r>
      <w:r>
        <w:t xml:space="preserve"> </w:t>
      </w:r>
      <w:hyperlink r:id="rId85">
        <w:r>
          <w:rPr>
            <w:rStyle w:val="Hyperlink"/>
          </w:rPr>
          <w:t xml:space="preserve">https://www.ada.gov/resources/web-guidance/</w:t>
        </w:r>
      </w:hyperlink>
    </w:p>
    <w:p>
      <w:pPr>
        <w:numPr>
          <w:ilvl w:val="0"/>
          <w:numId w:val="1044"/>
        </w:numPr>
        <w:pStyle w:val="Compact"/>
      </w:pPr>
      <w:r>
        <w:t xml:space="preserve">NIST AI Risk Management Framework:</w:t>
      </w:r>
      <w:r>
        <w:t xml:space="preserve"> </w:t>
      </w:r>
      <w:hyperlink r:id="rId86">
        <w:hyperlink r:id="rId86">
          <w:r>
            <w:rPr>
              <w:rStyle w:val="Hyperlink"/>
            </w:rPr>
            <w:t xml:space="preserve">Source link</w:t>
          </w:r>
        </w:hyperlink>
      </w:hyperlink>
    </w:p>
    <w:bookmarkEnd w:id="87"/>
    <w:bookmarkStart w:id="92" w:name="canadá"/>
    <w:p>
      <w:pPr>
        <w:pStyle w:val="Heading3"/>
      </w:pPr>
      <w:r>
        <w:t xml:space="preserve">Canadá</w:t>
      </w:r>
    </w:p>
    <w:p>
      <w:pPr>
        <w:numPr>
          <w:ilvl w:val="0"/>
          <w:numId w:val="1045"/>
        </w:numPr>
        <w:pStyle w:val="Compact"/>
      </w:pPr>
      <w:r>
        <w:t xml:space="preserve">Relatório salarial Job Bank, NOC 11202:</w:t>
      </w:r>
      <w:r>
        <w:t xml:space="preserve"> </w:t>
      </w:r>
      <w:hyperlink r:id="rId88">
        <w:hyperlink r:id="rId88">
          <w:r>
            <w:rPr>
              <w:rStyle w:val="Hyperlink"/>
            </w:rPr>
            <w:t xml:space="preserve">Source link</w:t>
          </w:r>
        </w:hyperlink>
      </w:hyperlink>
    </w:p>
    <w:p>
      <w:pPr>
        <w:numPr>
          <w:ilvl w:val="0"/>
          <w:numId w:val="1045"/>
        </w:numPr>
        <w:pStyle w:val="Compact"/>
      </w:pPr>
      <w:r>
        <w:t xml:space="preserve">Perspectivas Job Bank, NOC 11202:</w:t>
      </w:r>
      <w:r>
        <w:t xml:space="preserve"> </w:t>
      </w:r>
      <w:hyperlink r:id="rId89">
        <w:hyperlink r:id="rId89">
          <w:r>
            <w:rPr>
              <w:rStyle w:val="Hyperlink"/>
            </w:rPr>
            <w:t xml:space="preserve">Source link</w:t>
          </w:r>
        </w:hyperlink>
      </w:hyperlink>
    </w:p>
    <w:p>
      <w:pPr>
        <w:numPr>
          <w:ilvl w:val="0"/>
          <w:numId w:val="1045"/>
        </w:numPr>
        <w:pStyle w:val="Compact"/>
      </w:pPr>
      <w:r>
        <w:t xml:space="preserve">Portal de treinamento do Canadá:</w:t>
      </w:r>
      <w:r>
        <w:t xml:space="preserve"> </w:t>
      </w:r>
      <w:hyperlink r:id="rId90">
        <w:hyperlink r:id="rId90">
          <w:r>
            <w:rPr>
              <w:rStyle w:val="Hyperlink"/>
            </w:rPr>
            <w:t xml:space="preserve">Source link</w:t>
          </w:r>
        </w:hyperlink>
      </w:hyperlink>
    </w:p>
    <w:p>
      <w:pPr>
        <w:numPr>
          <w:ilvl w:val="0"/>
          <w:numId w:val="1045"/>
        </w:numPr>
        <w:pStyle w:val="Compact"/>
      </w:pPr>
      <w:r>
        <w:t xml:space="preserve">Labour Market Development Agreements:</w:t>
      </w:r>
      <w:r>
        <w:t xml:space="preserve"> </w:t>
      </w:r>
      <w:hyperlink r:id="rId91">
        <w:hyperlink r:id="rId91">
          <w:r>
            <w:rPr>
              <w:rStyle w:val="Hyperlink"/>
            </w:rPr>
            <w:t xml:space="preserve">Source link</w:t>
          </w:r>
        </w:hyperlink>
      </w:hyperlink>
    </w:p>
    <w:bookmarkEnd w:id="92"/>
    <w:bookmarkStart w:id="98" w:name="colômbia"/>
    <w:p>
      <w:pPr>
        <w:pStyle w:val="Heading3"/>
      </w:pPr>
      <w:r>
        <w:t xml:space="preserve">Colômbia</w:t>
      </w:r>
    </w:p>
    <w:p>
      <w:pPr>
        <w:numPr>
          <w:ilvl w:val="0"/>
          <w:numId w:val="1046"/>
        </w:numPr>
        <w:pStyle w:val="Compact"/>
      </w:pPr>
      <w:r>
        <w:t xml:space="preserve">OCUPACOL CUOC 24320:</w:t>
      </w:r>
      <w:r>
        <w:t xml:space="preserve"> </w:t>
      </w:r>
      <w:hyperlink r:id="rId93">
        <w:hyperlink r:id="rId93">
          <w:r>
            <w:rPr>
              <w:rStyle w:val="Hyperlink"/>
            </w:rPr>
            <w:t xml:space="preserve">Source link</w:t>
          </w:r>
        </w:hyperlink>
      </w:hyperlink>
    </w:p>
    <w:p>
      <w:pPr>
        <w:numPr>
          <w:ilvl w:val="0"/>
          <w:numId w:val="1046"/>
        </w:numPr>
        <w:pStyle w:val="Compact"/>
      </w:pPr>
      <w:r>
        <w:t xml:space="preserve">OCUPACOL CUOC 33392:</w:t>
      </w:r>
      <w:r>
        <w:t xml:space="preserve"> </w:t>
      </w:r>
      <w:hyperlink r:id="rId94">
        <w:hyperlink r:id="rId94">
          <w:r>
            <w:rPr>
              <w:rStyle w:val="Hyperlink"/>
            </w:rPr>
            <w:t xml:space="preserve">Source link</w:t>
          </w:r>
        </w:hyperlink>
      </w:hyperlink>
    </w:p>
    <w:p>
      <w:pPr>
        <w:numPr>
          <w:ilvl w:val="0"/>
          <w:numId w:val="1046"/>
        </w:numPr>
        <w:pStyle w:val="Compact"/>
      </w:pPr>
      <w:r>
        <w:t xml:space="preserve">SENA conteúdo para redes sociais:</w:t>
      </w:r>
      <w:r>
        <w:t xml:space="preserve"> </w:t>
      </w:r>
      <w:hyperlink r:id="rId95">
        <w:hyperlink r:id="rId95">
          <w:r>
            <w:rPr>
              <w:rStyle w:val="Hyperlink"/>
            </w:rPr>
            <w:t xml:space="preserve">Source link</w:t>
          </w:r>
        </w:hyperlink>
      </w:hyperlink>
    </w:p>
    <w:p>
      <w:pPr>
        <w:numPr>
          <w:ilvl w:val="0"/>
          <w:numId w:val="1046"/>
        </w:numPr>
        <w:pStyle w:val="Compact"/>
      </w:pPr>
      <w:r>
        <w:t xml:space="preserve">SENA community management e analítica web:</w:t>
      </w:r>
      <w:r>
        <w:t xml:space="preserve"> </w:t>
      </w:r>
      <w:hyperlink r:id="rId96">
        <w:hyperlink r:id="rId96">
          <w:r>
            <w:rPr>
              <w:rStyle w:val="Hyperlink"/>
            </w:rPr>
            <w:t xml:space="preserve">Source link</w:t>
          </w:r>
        </w:hyperlink>
      </w:hyperlink>
    </w:p>
    <w:p>
      <w:pPr>
        <w:numPr>
          <w:ilvl w:val="0"/>
          <w:numId w:val="1046"/>
        </w:numPr>
        <w:pStyle w:val="Compact"/>
      </w:pPr>
      <w:r>
        <w:t xml:space="preserve">SENA marketing digital:</w:t>
      </w:r>
      <w:r>
        <w:t xml:space="preserve"> </w:t>
      </w:r>
      <w:hyperlink r:id="rId97">
        <w:hyperlink r:id="rId97">
          <w:r>
            <w:rPr>
              <w:rStyle w:val="Hyperlink"/>
            </w:rPr>
            <w:t xml:space="preserve">Source link</w:t>
          </w:r>
        </w:hyperlink>
      </w:hyperlink>
    </w:p>
    <w:bookmarkEnd w:id="98"/>
    <w:bookmarkStart w:id="99" w:name="américa-latina-e-caribe-1"/>
    <w:p>
      <w:pPr>
        <w:pStyle w:val="Heading3"/>
      </w:pPr>
      <w:r>
        <w:t xml:space="preserve">América Latina e Caribe</w:t>
      </w:r>
    </w:p>
    <w:p>
      <w:pPr>
        <w:numPr>
          <w:ilvl w:val="0"/>
          <w:numId w:val="1047"/>
        </w:numPr>
        <w:pStyle w:val="Compact"/>
      </w:pPr>
      <w:r>
        <w:t xml:space="preserve">OIT/Cinterfor:</w:t>
      </w:r>
      <w:r>
        <w:t xml:space="preserve"> </w:t>
      </w:r>
      <w:hyperlink r:id="rId64">
        <w:r>
          <w:rPr>
            <w:rStyle w:val="Hyperlink"/>
          </w:rPr>
          <w:t xml:space="preserve">https://www.oitcinterfor.org/</w:t>
        </w:r>
      </w:hyperlink>
    </w:p>
    <w:p>
      <w:pPr>
        <w:numPr>
          <w:ilvl w:val="0"/>
          <w:numId w:val="1047"/>
        </w:numPr>
        <w:pStyle w:val="Compact"/>
      </w:pPr>
      <w:r>
        <w:t xml:space="preserve">Recursos por país da OIT/Cinterfor:</w:t>
      </w:r>
      <w:r>
        <w:t xml:space="preserve"> </w:t>
      </w:r>
      <w:hyperlink r:id="rId65">
        <w:r>
          <w:rPr>
            <w:rStyle w:val="Hyperlink"/>
          </w:rPr>
          <w:t xml:space="preserve">https://www.oitcinterfor.org/statsfp/paises</w:t>
        </w:r>
      </w:hyperlink>
    </w:p>
    <w:bookmarkEnd w:id="99"/>
    <w:bookmarkEnd w:id="100"/>
    <w:bookmarkStart w:id="101" w:name="aviso-importante"/>
    <w:p>
      <w:pPr>
        <w:pStyle w:val="Heading2"/>
      </w:pPr>
      <w:r>
        <w:t xml:space="preserve">Aviso importante</w:t>
      </w:r>
    </w:p>
    <w:p>
      <w:pPr>
        <w:pStyle w:val="FirstParagraph"/>
      </w:pPr>
      <w:r>
        <w:t xml:space="preserve">Este guia fornece informações gerais de educação e planejamento de carreira. Não garante emprego, renda, admissão, financiamento, licenciamento, certificação, promoção, cobertura de mídia, resultados de campanha ou qualquer outro resultado. Requisitos variam por empregador, jurisdição, setor e momento. Verifique decisões relevantes por fontes oficiais atuais e pelo profissional qualificado ou função organizacional responsável.</w:t>
      </w:r>
    </w:p>
    <w:p>
      <w:pPr>
        <w:pStyle w:val="BodyText"/>
      </w:pPr>
      <w:r>
        <w:t xml:space="preserve">Este master controlado foi preparado com pesquisa, organização e edição assistidas por IA sob direção do autor do projeto.</w:t>
      </w:r>
      <w:r>
        <w:t xml:space="preserve"> </w:t>
      </w:r>
      <w:r>
        <w:rPr>
          <w:bCs/>
          <w:b/>
        </w:rPr>
        <w:t xml:space="preserve">Não</w:t>
      </w:r>
      <w:r>
        <w:t xml:space="preserve"> </w:t>
      </w:r>
      <w:r>
        <w:t xml:space="preserve">é certificado independentemente por revisão humana, certificado profissionalmente como tradução, revisado juridicamente, certificado em acessibilidade ou acreditado, salvo quando um registro de evidência separado disser explicitamente o contrário.</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betowa.sena.edu.co/oferta/community-management-y-analitica-web?modality=V&amp;programId=227600" TargetMode="External" /><Relationship Type="http://schemas.openxmlformats.org/officeDocument/2006/relationships/hyperlink" Id="rId95" Target="https://betowa.sena.edu.co/oferta/creacion-de-contenido-digital-para-redes-sociales?modality=P&amp;offertype=company&amp;programId=151934" TargetMode="External" /><Relationship Type="http://schemas.openxmlformats.org/officeDocument/2006/relationships/hyperlink" Id="rId97" Target="https://betowa.sena.edu.co/oferta/marketing-digital?modality=V" TargetMode="External" /><Relationship Type="http://schemas.openxmlformats.org/officeDocument/2006/relationships/hyperlink" Id="rId93" Target="https://ocupacol.mintrabajo.gov.co/Profile/OccupationalProfile/24320" TargetMode="External" /><Relationship Type="http://schemas.openxmlformats.org/officeDocument/2006/relationships/hyperlink" Id="rId94" Target="https://ocupacol.mintrabajo.gov.co/Profile/OccupationalProfile/33392" TargetMode="External" /><Relationship Type="http://schemas.openxmlformats.org/officeDocument/2006/relationships/hyperlink" Id="rId85" Target="https://www.ada.gov/resources/web-guidance/" TargetMode="External" /><Relationship Type="http://schemas.openxmlformats.org/officeDocument/2006/relationships/hyperlink" Id="rId91" Target="https://www.canada.ca/en/employment-social-development/programs/training-agreements/lmda.html" TargetMode="External" /><Relationship Type="http://schemas.openxmlformats.org/officeDocument/2006/relationships/hyperlink" Id="rId90" Target="https://www.canada.ca/en/services/jobs/training.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4" Target="https://www.ftc.gov/business-guidance/advertising-marketing/endorsements-influencers-reviews" TargetMode="External" /><Relationship Type="http://schemas.openxmlformats.org/officeDocument/2006/relationships/hyperlink" Id="rId89" Target="https://www.jobbank.gc.ca/outlookreport/occupation/20958" TargetMode="External" /><Relationship Type="http://schemas.openxmlformats.org/officeDocument/2006/relationships/hyperlink" Id="rId88" Target="https://www.jobbank.gc.ca/wagereport/occupation/24727" TargetMode="External" /><Relationship Type="http://schemas.openxmlformats.org/officeDocument/2006/relationships/hyperlink" Id="rId86" Target="https://www.nist.gov/itl/ai-risk-management-framework" TargetMode="External" /><Relationship Type="http://schemas.openxmlformats.org/officeDocument/2006/relationships/hyperlink" Id="rId64" Target="https://www.oitcinterfor.org/" TargetMode="External" /><Relationship Type="http://schemas.openxmlformats.org/officeDocument/2006/relationships/hyperlink" Id="rId65" Target="https://www.oitcinterfor.org/statsfp/paises" TargetMode="External" /><Relationship Type="http://schemas.openxmlformats.org/officeDocument/2006/relationships/hyperlink" Id="rId81" Target="https://www.onetonline.org/link/details/27-3031.00" TargetMode="External" /><Relationship Type="http://schemas.openxmlformats.org/officeDocument/2006/relationships/hyperlink" Id="rId82" Target="https://www.onetonline.org/link/localwages/27-3031.00" TargetMode="External" /></Relationships>
</file>

<file path=word/_rels/footnotes.xml.rels><?xml version="1.0" encoding="UTF-8"?><Relationships xmlns="http://schemas.openxmlformats.org/package/2006/relationships"><Relationship Type="http://schemas.openxmlformats.org/officeDocument/2006/relationships/hyperlink" Id="rId96" Target="https://betowa.sena.edu.co/oferta/community-management-y-analitica-web?modality=V&amp;programId=227600" TargetMode="External" /><Relationship Type="http://schemas.openxmlformats.org/officeDocument/2006/relationships/hyperlink" Id="rId95" Target="https://betowa.sena.edu.co/oferta/creacion-de-contenido-digital-para-redes-sociales?modality=P&amp;offertype=company&amp;programId=151934" TargetMode="External" /><Relationship Type="http://schemas.openxmlformats.org/officeDocument/2006/relationships/hyperlink" Id="rId97" Target="https://betowa.sena.edu.co/oferta/marketing-digital?modality=V" TargetMode="External" /><Relationship Type="http://schemas.openxmlformats.org/officeDocument/2006/relationships/hyperlink" Id="rId93" Target="https://ocupacol.mintrabajo.gov.co/Profile/OccupationalProfile/24320" TargetMode="External" /><Relationship Type="http://schemas.openxmlformats.org/officeDocument/2006/relationships/hyperlink" Id="rId94" Target="https://ocupacol.mintrabajo.gov.co/Profile/OccupationalProfile/33392" TargetMode="External" /><Relationship Type="http://schemas.openxmlformats.org/officeDocument/2006/relationships/hyperlink" Id="rId85" Target="https://www.ada.gov/resources/web-guidance/" TargetMode="External" /><Relationship Type="http://schemas.openxmlformats.org/officeDocument/2006/relationships/hyperlink" Id="rId91" Target="https://www.canada.ca/en/employment-social-development/programs/training-agreements/lmda.html" TargetMode="External" /><Relationship Type="http://schemas.openxmlformats.org/officeDocument/2006/relationships/hyperlink" Id="rId90" Target="https://www.canada.ca/en/services/jobs/training.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4" Target="https://www.ftc.gov/business-guidance/advertising-marketing/endorsements-influencers-reviews" TargetMode="External" /><Relationship Type="http://schemas.openxmlformats.org/officeDocument/2006/relationships/hyperlink" Id="rId89" Target="https://www.jobbank.gc.ca/outlookreport/occupation/20958" TargetMode="External" /><Relationship Type="http://schemas.openxmlformats.org/officeDocument/2006/relationships/hyperlink" Id="rId88" Target="https://www.jobbank.gc.ca/wagereport/occupation/24727" TargetMode="External" /><Relationship Type="http://schemas.openxmlformats.org/officeDocument/2006/relationships/hyperlink" Id="rId86" Target="https://www.nist.gov/itl/ai-risk-management-framework" TargetMode="External" /><Relationship Type="http://schemas.openxmlformats.org/officeDocument/2006/relationships/hyperlink" Id="rId64" Target="https://www.oitcinterfor.org/" TargetMode="External" /><Relationship Type="http://schemas.openxmlformats.org/officeDocument/2006/relationships/hyperlink" Id="rId65" Target="https://www.oitcinterfor.org/statsfp/paises" TargetMode="External" /><Relationship Type="http://schemas.openxmlformats.org/officeDocument/2006/relationships/hyperlink" Id="rId81" Target="https://www.onetonline.org/link/details/27-3031.00" TargetMode="External" /><Relationship Type="http://schemas.openxmlformats.org/officeDocument/2006/relationships/hyperlink" Id="rId82" Target="https://www.onetonline.org/link/localwages/27-303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2026-08-21T21:09:27Z</dcterms:created>
  <dcterms:modified xsi:type="dcterms:W3CDTF">2026-08-21T21:09:27Z</dcterms:modified>
</cp:coreProperties>
</file>

<file path=docProps/custom.xml><?xml version="1.0" encoding="utf-8"?>
<Properties xmlns="http://schemas.openxmlformats.org/officeDocument/2006/custom-properties" xmlns:vt="http://schemas.openxmlformats.org/officeDocument/2006/docPropsVTypes"/>
</file>