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81cf1427e15760f4040e6e9d2b8047095941e73"/>
    <w:p>
      <w:pPr>
        <w:pStyle w:val="Heading1"/>
      </w:pPr>
      <w:r>
        <w:t xml:space="preserve">Guía de Oportunidades para Toda la Vida 76 — Asistente de Relaciones Públicas y Coordinador/a de Comunicaciones</w:t>
      </w:r>
    </w:p>
    <w:p>
      <w:pPr>
        <w:pStyle w:val="FirstParagraph"/>
      </w:pPr>
      <w:r>
        <w:rPr>
          <w:bCs/>
          <w:b/>
        </w:rPr>
        <w:t xml:space="preserve">Versión:</w:t>
      </w:r>
      <w:r>
        <w:t xml:space="preserve"> </w:t>
      </w:r>
      <w:r>
        <w:t xml:space="preserve">1.0 localización controlada es-419</w:t>
      </w:r>
      <w:r>
        <w:br/>
      </w:r>
      <w:r>
        <w:rPr>
          <w:bCs/>
          <w:b/>
        </w:rPr>
        <w:t xml:space="preserve">Idioma:</w:t>
      </w:r>
      <w:r>
        <w:t xml:space="preserve"> </w:t>
      </w:r>
      <w:r>
        <w:t xml:space="preserve">Español latinoamericano neutral (es-419)</w:t>
      </w:r>
      <w:r>
        <w:br/>
      </w:r>
      <w:r>
        <w:rPr>
          <w:bCs/>
          <w:b/>
        </w:rPr>
        <w:t xml:space="preserve">Referencia ocupacional de EE. UU.:</w:t>
      </w:r>
      <w:r>
        <w:t xml:space="preserve"> </w:t>
      </w:r>
      <w:r>
        <w:t xml:space="preserve">O*NET-SOC 27-3031.00 — Public Relations Specialists</w:t>
      </w:r>
      <w:r>
        <w:br/>
      </w:r>
      <w:r>
        <w:rPr>
          <w:bCs/>
          <w:b/>
        </w:rPr>
        <w:t xml:space="preserve">Comparación con Canadá:</w:t>
      </w:r>
      <w:r>
        <w:t xml:space="preserve"> </w:t>
      </w:r>
      <w:r>
        <w:t xml:space="preserve">NOC 11202 — Professional occupations in advertising, marketing and public relations</w:t>
      </w:r>
      <w:r>
        <w:br/>
      </w:r>
      <w:r>
        <w:rPr>
          <w:bCs/>
          <w:b/>
        </w:rPr>
        <w:t xml:space="preserve">Comparaciones con Colombia:</w:t>
      </w:r>
      <w:r>
        <w:t xml:space="preserve"> </w:t>
      </w:r>
      <w:r>
        <w:t xml:space="preserve">CUOC 24320 — Profesionales de relaciones públicas y comunicaciones; CUOC 33392 — Asistentes de mercadeo, publicidad y comunicaciones</w:t>
      </w:r>
      <w:r>
        <w:br/>
      </w:r>
      <w:r>
        <w:rPr>
          <w:bCs/>
          <w:b/>
        </w:rPr>
        <w:t xml:space="preserve">Fecha de revisión:</w:t>
      </w:r>
      <w:r>
        <w:t xml:space="preserve"> </w:t>
      </w:r>
      <w:r>
        <w:t xml:space="preserve">2026-08-21</w:t>
      </w:r>
    </w:p>
    <w:bookmarkStart w:id="20" w:name="qué-es-esta-carrera"/>
    <w:p>
      <w:pPr>
        <w:pStyle w:val="Heading2"/>
      </w:pPr>
      <w:r>
        <w:t xml:space="preserve">Qué es esta carrera</w:t>
      </w:r>
    </w:p>
    <w:p>
      <w:pPr>
        <w:pStyle w:val="FirstParagraph"/>
      </w:pPr>
      <w:r>
        <w:t xml:space="preserve">Los asistentes de relaciones públicas y coordinadores de comunicaciones ayudan a las organizaciones a preparar, organizar, publicar, monitorear y mejorar comunicaciones para empleados, clientes, medios, comunidades, socios y otras audiencias. El trabajo puede incluir listas de medios, materiales de prensa, anuncios internos, redes sociales, boletines, comunicaciones de eventos, actualizaciones de sitios web, apoyo para presentaciones, monitoreo de medios, apoyo a comunicaciones ejecutivas, registros de partes interesadas e informes de desempeño.</w:t>
      </w:r>
    </w:p>
    <w:p>
      <w:pPr>
        <w:pStyle w:val="BodyText"/>
      </w:pPr>
      <w:r>
        <w:t xml:space="preserve">Los títulos varían mucho. Los empleadores pueden usar nombres como asistente de comunicaciones, asistente de relaciones públicas, coordinador de relaciones públicas, coordinador de comunicaciones, asistente de relaciones con medios, especialista en comunicaciones, coordinador de relaciones comunitarias, coordinador de contenido, asistente de comunicaciones corporativas, coordinador de comunicaciones internas o coordinador de redes sociales.</w:t>
      </w:r>
    </w:p>
    <w:p>
      <w:pPr>
        <w:pStyle w:val="BodyText"/>
      </w:pPr>
      <w:r>
        <w:t xml:space="preserve">Esta guía usa</w:t>
      </w:r>
      <w:r>
        <w:t xml:space="preserve"> </w:t>
      </w:r>
      <w:r>
        <w:rPr>
          <w:bCs/>
          <w:b/>
        </w:rPr>
        <w:t xml:space="preserve">O*NET-SOC 27-3031.00 — Public Relations Specialists</w:t>
      </w:r>
      <w:r>
        <w:t xml:space="preserve"> </w:t>
      </w:r>
      <w:r>
        <w:t xml:space="preserve">como referencia amplia para Estados Unidos. Esa ocupación suele ser más profesional y autónoma que muchos cargos iniciales de asistente. Por eso, la guía separa el trabajo de apoyo de la autoridad de portavoces, especialistas, gerentes, funciones legales y ejecutivos, en lugar de asumir que todos los títulos tienen la misma responsabilidad.</w:t>
      </w:r>
    </w:p>
    <w:bookmarkEnd w:id="20"/>
    <w:bookmarkStart w:id="21" w:name="X346acdf6c862651f65994ba8236d11aa18a322c"/>
    <w:p>
      <w:pPr>
        <w:pStyle w:val="Heading2"/>
      </w:pPr>
      <w:r>
        <w:t xml:space="preserve">Por qué este rol puede ser una oportunidad</w:t>
      </w:r>
    </w:p>
    <w:p>
      <w:pPr>
        <w:pStyle w:val="FirstParagraph"/>
      </w:pPr>
      <w:r>
        <w:t xml:space="preserve">El trabajo de comunicaciones combina redacción, investigación, organización, tecnología, servicio al cliente, coordinación de proyectos, apoyo a eventos, gestión de relaciones y criterio profesional. Las habilidades pueden transferirse desde administración de oficina, periodismo, servicio al cliente, mercadeo, hospitalidad, organizaciones sin fines de lucro, educación, ventas, coordinación de eventos, contenido digital, servicio comunitario o redes sociales.</w:t>
      </w:r>
    </w:p>
    <w:p>
      <w:pPr>
        <w:pStyle w:val="BodyText"/>
      </w:pPr>
      <w:r>
        <w:t xml:space="preserve">Este campo puede ser adecuado para personas que disfrutan:</w:t>
      </w:r>
    </w:p>
    <w:p>
      <w:pPr>
        <w:numPr>
          <w:ilvl w:val="0"/>
          <w:numId w:val="1001"/>
        </w:numPr>
        <w:pStyle w:val="Compact"/>
      </w:pPr>
      <w:r>
        <w:t xml:space="preserve">redactar y editar mensajes claros;</w:t>
      </w:r>
    </w:p>
    <w:p>
      <w:pPr>
        <w:numPr>
          <w:ilvl w:val="0"/>
          <w:numId w:val="1001"/>
        </w:numPr>
        <w:pStyle w:val="Compact"/>
      </w:pPr>
      <w:r>
        <w:t xml:space="preserve">organizar plazos, aprobaciones y calendarios de contenido;</w:t>
      </w:r>
    </w:p>
    <w:p>
      <w:pPr>
        <w:numPr>
          <w:ilvl w:val="0"/>
          <w:numId w:val="1001"/>
        </w:numPr>
        <w:pStyle w:val="Compact"/>
      </w:pPr>
      <w:r>
        <w:t xml:space="preserve">verificar cuidadosamente nombres, fechas, citas y fuentes;</w:t>
      </w:r>
    </w:p>
    <w:p>
      <w:pPr>
        <w:numPr>
          <w:ilvl w:val="0"/>
          <w:numId w:val="1001"/>
        </w:numPr>
        <w:pStyle w:val="Compact"/>
      </w:pPr>
      <w:r>
        <w:t xml:space="preserve">aprender sobre una organización y explicarla a distintas audiencias;</w:t>
      </w:r>
    </w:p>
    <w:p>
      <w:pPr>
        <w:numPr>
          <w:ilvl w:val="0"/>
          <w:numId w:val="1001"/>
        </w:numPr>
        <w:pStyle w:val="Compact"/>
      </w:pPr>
      <w:r>
        <w:t xml:space="preserve">coordinar con gerentes, diseñadores, medios, proveedores y equipos de eventos;</w:t>
      </w:r>
    </w:p>
    <w:p>
      <w:pPr>
        <w:numPr>
          <w:ilvl w:val="0"/>
          <w:numId w:val="1001"/>
        </w:numPr>
        <w:pStyle w:val="Compact"/>
      </w:pPr>
      <w:r>
        <w:t xml:space="preserve">monitorear información pública y resumir lo importante;</w:t>
      </w:r>
    </w:p>
    <w:p>
      <w:pPr>
        <w:numPr>
          <w:ilvl w:val="0"/>
          <w:numId w:val="1001"/>
        </w:numPr>
        <w:pStyle w:val="Compact"/>
      </w:pPr>
      <w:r>
        <w:t xml:space="preserve">ayudar a que las comunicaciones sean más accesibles e inclusivas;</w:t>
      </w:r>
    </w:p>
    <w:p>
      <w:pPr>
        <w:numPr>
          <w:ilvl w:val="0"/>
          <w:numId w:val="1001"/>
        </w:numPr>
        <w:pStyle w:val="Compact"/>
      </w:pPr>
      <w:r>
        <w:t xml:space="preserve">equilibrar rapidez con precisión y requisitos de aprobación.</w:t>
      </w:r>
    </w:p>
    <w:p>
      <w:pPr>
        <w:pStyle w:val="FirstParagraph"/>
      </w:pPr>
      <w:r>
        <w:t xml:space="preserve">El trabajo también puede ser de alta presión. Las crisis, anuncios ejecutivos, plazos de medios, críticas públicas, incidentes en redes sociales, cambios en eventos, asuntos legales y desinformación pueden requerir acción rápida. Una persona en un cargo inicial nunca debe confundir rapidez con autoridad. Una buena práctica de comunicaciones exige saber qué puede publicarse, qué requiere aprobación y qué debe escalarse.</w:t>
      </w:r>
    </w:p>
    <w:bookmarkEnd w:id="21"/>
    <w:bookmarkStart w:id="26" w:name="Xf5b93ab891fb319e64f1264a92be3e49ae1c1cf"/>
    <w:p>
      <w:pPr>
        <w:pStyle w:val="Heading2"/>
      </w:pPr>
      <w:r>
        <w:t xml:space="preserve">Asistente, coordinador, especialista, portavoz y gerente son niveles de responsabilidad diferentes</w:t>
      </w:r>
    </w:p>
    <w:bookmarkStart w:id="22" w:name="X61860910793777e8c7b5f65c2e6c2c26982f356"/>
    <w:p>
      <w:pPr>
        <w:pStyle w:val="Heading3"/>
      </w:pPr>
      <w:r>
        <w:t xml:space="preserve">Asistente de comunicaciones o relaciones públicas</w:t>
      </w:r>
    </w:p>
    <w:p>
      <w:pPr>
        <w:pStyle w:val="FirstParagraph"/>
      </w:pPr>
      <w:r>
        <w:t xml:space="preserve">Un asistente puede:</w:t>
      </w:r>
    </w:p>
    <w:p>
      <w:pPr>
        <w:numPr>
          <w:ilvl w:val="0"/>
          <w:numId w:val="1002"/>
        </w:numPr>
        <w:pStyle w:val="Compact"/>
      </w:pPr>
      <w:r>
        <w:t xml:space="preserve">mantener listas de medios o partes interesadas;</w:t>
      </w:r>
    </w:p>
    <w:p>
      <w:pPr>
        <w:numPr>
          <w:ilvl w:val="0"/>
          <w:numId w:val="1002"/>
        </w:numPr>
        <w:pStyle w:val="Compact"/>
      </w:pPr>
      <w:r>
        <w:t xml:space="preserve">monitorear canales de noticias y redes aprobados;</w:t>
      </w:r>
    </w:p>
    <w:p>
      <w:pPr>
        <w:numPr>
          <w:ilvl w:val="0"/>
          <w:numId w:val="1002"/>
        </w:numPr>
        <w:pStyle w:val="Compact"/>
      </w:pPr>
      <w:r>
        <w:t xml:space="preserve">redactar contenido rutinario para revisión;</w:t>
      </w:r>
    </w:p>
    <w:p>
      <w:pPr>
        <w:numPr>
          <w:ilvl w:val="0"/>
          <w:numId w:val="1002"/>
        </w:numPr>
        <w:pStyle w:val="Compact"/>
      </w:pPr>
      <w:r>
        <w:t xml:space="preserve">preparar primeros borradores de boletines o anuncios internos;</w:t>
      </w:r>
    </w:p>
    <w:p>
      <w:pPr>
        <w:numPr>
          <w:ilvl w:val="0"/>
          <w:numId w:val="1002"/>
        </w:numPr>
        <w:pStyle w:val="Compact"/>
      </w:pPr>
      <w:r>
        <w:t xml:space="preserve">organizar imágenes y documentos aprobados;</w:t>
      </w:r>
    </w:p>
    <w:p>
      <w:pPr>
        <w:numPr>
          <w:ilvl w:val="0"/>
          <w:numId w:val="1002"/>
        </w:numPr>
        <w:pStyle w:val="Compact"/>
      </w:pPr>
      <w:r>
        <w:t xml:space="preserve">actualizar calendarios y rastreadores;</w:t>
      </w:r>
    </w:p>
    <w:p>
      <w:pPr>
        <w:numPr>
          <w:ilvl w:val="0"/>
          <w:numId w:val="1002"/>
        </w:numPr>
        <w:pStyle w:val="Compact"/>
      </w:pPr>
      <w:r>
        <w:t xml:space="preserve">programar contenido aprobado;</w:t>
      </w:r>
    </w:p>
    <w:p>
      <w:pPr>
        <w:numPr>
          <w:ilvl w:val="0"/>
          <w:numId w:val="1002"/>
        </w:numPr>
        <w:pStyle w:val="Compact"/>
      </w:pPr>
      <w:r>
        <w:t xml:space="preserve">compilar métricas de interacción;</w:t>
      </w:r>
    </w:p>
    <w:p>
      <w:pPr>
        <w:numPr>
          <w:ilvl w:val="0"/>
          <w:numId w:val="1002"/>
        </w:numPr>
        <w:pStyle w:val="Compact"/>
      </w:pPr>
      <w:r>
        <w:t xml:space="preserve">preparar notas de reuniones y listas de acciones;</w:t>
      </w:r>
    </w:p>
    <w:p>
      <w:pPr>
        <w:numPr>
          <w:ilvl w:val="0"/>
          <w:numId w:val="1002"/>
        </w:numPr>
        <w:pStyle w:val="Compact"/>
      </w:pPr>
      <w:r>
        <w:t xml:space="preserve">apoyar el registro de eventos o la logística de medios;</w:t>
      </w:r>
    </w:p>
    <w:p>
      <w:pPr>
        <w:numPr>
          <w:ilvl w:val="0"/>
          <w:numId w:val="1002"/>
        </w:numPr>
        <w:pStyle w:val="Compact"/>
      </w:pPr>
      <w:r>
        <w:t xml:space="preserve">revisar nombres, fechas, enlaces y formato;</w:t>
      </w:r>
    </w:p>
    <w:p>
      <w:pPr>
        <w:numPr>
          <w:ilvl w:val="0"/>
          <w:numId w:val="1002"/>
        </w:numPr>
        <w:pStyle w:val="Compact"/>
      </w:pPr>
      <w:r>
        <w:t xml:space="preserve">escalar preguntas o posibles errores.</w:t>
      </w:r>
    </w:p>
    <w:bookmarkEnd w:id="22"/>
    <w:bookmarkStart w:id="23" w:name="coordinadora-de-comunicaciones"/>
    <w:p>
      <w:pPr>
        <w:pStyle w:val="Heading3"/>
      </w:pPr>
      <w:r>
        <w:t xml:space="preserve">Coordinador/a de comunicaciones</w:t>
      </w:r>
    </w:p>
    <w:p>
      <w:pPr>
        <w:pStyle w:val="FirstParagraph"/>
      </w:pPr>
      <w:r>
        <w:t xml:space="preserve">Un coordinador puede además:</w:t>
      </w:r>
    </w:p>
    <w:p>
      <w:pPr>
        <w:numPr>
          <w:ilvl w:val="0"/>
          <w:numId w:val="1003"/>
        </w:numPr>
        <w:pStyle w:val="Compact"/>
      </w:pPr>
      <w:r>
        <w:t xml:space="preserve">coordinar calendarios de contenido y flujos de aprobación;</w:t>
      </w:r>
    </w:p>
    <w:p>
      <w:pPr>
        <w:numPr>
          <w:ilvl w:val="0"/>
          <w:numId w:val="1003"/>
        </w:numPr>
        <w:pStyle w:val="Compact"/>
      </w:pPr>
      <w:r>
        <w:t xml:space="preserve">gestionar proyectos rutinarios de comunicación;</w:t>
      </w:r>
    </w:p>
    <w:p>
      <w:pPr>
        <w:numPr>
          <w:ilvl w:val="0"/>
          <w:numId w:val="1003"/>
        </w:numPr>
        <w:pStyle w:val="Compact"/>
      </w:pPr>
      <w:r>
        <w:t xml:space="preserve">coordinar proveedores, diseñadores, fotógrafos o apoyo para eventos;</w:t>
      </w:r>
    </w:p>
    <w:p>
      <w:pPr>
        <w:numPr>
          <w:ilvl w:val="0"/>
          <w:numId w:val="1003"/>
        </w:numPr>
        <w:pStyle w:val="Compact"/>
      </w:pPr>
      <w:r>
        <w:t xml:space="preserve">preparar borradores de comunicados de prensa, mensajes clave, preguntas frecuentes o documentos informativos;</w:t>
      </w:r>
    </w:p>
    <w:p>
      <w:pPr>
        <w:numPr>
          <w:ilvl w:val="0"/>
          <w:numId w:val="1003"/>
        </w:numPr>
        <w:pStyle w:val="Compact"/>
      </w:pPr>
      <w:r>
        <w:t xml:space="preserve">coordinar listas de distribución internas y externas;</w:t>
      </w:r>
    </w:p>
    <w:p>
      <w:pPr>
        <w:numPr>
          <w:ilvl w:val="0"/>
          <w:numId w:val="1003"/>
        </w:numPr>
        <w:pStyle w:val="Compact"/>
      </w:pPr>
      <w:r>
        <w:t xml:space="preserve">administrar flujos aprobados de publicación en redes sociales;</w:t>
      </w:r>
    </w:p>
    <w:p>
      <w:pPr>
        <w:numPr>
          <w:ilvl w:val="0"/>
          <w:numId w:val="1003"/>
        </w:numPr>
        <w:pStyle w:val="Compact"/>
      </w:pPr>
      <w:r>
        <w:t xml:space="preserve">apoyar consultas de medios según procedimientos definidos;</w:t>
      </w:r>
    </w:p>
    <w:p>
      <w:pPr>
        <w:numPr>
          <w:ilvl w:val="0"/>
          <w:numId w:val="1003"/>
        </w:numPr>
        <w:pStyle w:val="Compact"/>
      </w:pPr>
      <w:r>
        <w:t xml:space="preserve">dar seguimiento a cobertura y preparar resúmenes;</w:t>
      </w:r>
    </w:p>
    <w:p>
      <w:pPr>
        <w:numPr>
          <w:ilvl w:val="0"/>
          <w:numId w:val="1003"/>
        </w:numPr>
        <w:pStyle w:val="Compact"/>
      </w:pPr>
      <w:r>
        <w:t xml:space="preserve">mantener registros de proyectos e historial de versiones;</w:t>
      </w:r>
    </w:p>
    <w:p>
      <w:pPr>
        <w:numPr>
          <w:ilvl w:val="0"/>
          <w:numId w:val="1003"/>
        </w:numPr>
        <w:pStyle w:val="Compact"/>
      </w:pPr>
      <w:r>
        <w:t xml:space="preserve">coordinar flujos de accesibilidad y traducción cuando se le asigne.</w:t>
      </w:r>
    </w:p>
    <w:bookmarkEnd w:id="23"/>
    <w:bookmarkStart w:id="24" w:name="X6334e828de319523f0247dc60646448f68dfcde"/>
    <w:p>
      <w:pPr>
        <w:pStyle w:val="Heading3"/>
      </w:pPr>
      <w:r>
        <w:t xml:space="preserve">Especialista en comunicaciones o relaciones públicas</w:t>
      </w:r>
    </w:p>
    <w:p>
      <w:pPr>
        <w:pStyle w:val="FirstParagraph"/>
      </w:pPr>
      <w:r>
        <w:t xml:space="preserve">Un especialista puede tener mayor responsabilidad en:</w:t>
      </w:r>
    </w:p>
    <w:p>
      <w:pPr>
        <w:numPr>
          <w:ilvl w:val="0"/>
          <w:numId w:val="1004"/>
        </w:numPr>
        <w:pStyle w:val="Compact"/>
      </w:pPr>
      <w:r>
        <w:t xml:space="preserve">relaciones con medios;</w:t>
      </w:r>
    </w:p>
    <w:p>
      <w:pPr>
        <w:numPr>
          <w:ilvl w:val="0"/>
          <w:numId w:val="1004"/>
        </w:numPr>
        <w:pStyle w:val="Compact"/>
      </w:pPr>
      <w:r>
        <w:t xml:space="preserve">estrategia de partes interesadas;</w:t>
      </w:r>
    </w:p>
    <w:p>
      <w:pPr>
        <w:numPr>
          <w:ilvl w:val="0"/>
          <w:numId w:val="1004"/>
        </w:numPr>
        <w:pStyle w:val="Compact"/>
      </w:pPr>
      <w:r>
        <w:t xml:space="preserve">planificación de campañas;</w:t>
      </w:r>
    </w:p>
    <w:p>
      <w:pPr>
        <w:numPr>
          <w:ilvl w:val="0"/>
          <w:numId w:val="1004"/>
        </w:numPr>
        <w:pStyle w:val="Compact"/>
      </w:pPr>
      <w:r>
        <w:t xml:space="preserve">comunicaciones ejecutivas;</w:t>
      </w:r>
    </w:p>
    <w:p>
      <w:pPr>
        <w:numPr>
          <w:ilvl w:val="0"/>
          <w:numId w:val="1004"/>
        </w:numPr>
        <w:pStyle w:val="Compact"/>
      </w:pPr>
      <w:r>
        <w:t xml:space="preserve">monitoreo de reputación;</w:t>
      </w:r>
    </w:p>
    <w:p>
      <w:pPr>
        <w:numPr>
          <w:ilvl w:val="0"/>
          <w:numId w:val="1004"/>
        </w:numPr>
        <w:pStyle w:val="Compact"/>
      </w:pPr>
      <w:r>
        <w:t xml:space="preserve">gestión de asuntos sensibles;</w:t>
      </w:r>
    </w:p>
    <w:p>
      <w:pPr>
        <w:numPr>
          <w:ilvl w:val="0"/>
          <w:numId w:val="1004"/>
        </w:numPr>
        <w:pStyle w:val="Compact"/>
      </w:pPr>
      <w:r>
        <w:t xml:space="preserve">programas de comunicación interna;</w:t>
      </w:r>
    </w:p>
    <w:p>
      <w:pPr>
        <w:numPr>
          <w:ilvl w:val="0"/>
          <w:numId w:val="1004"/>
        </w:numPr>
        <w:pStyle w:val="Compact"/>
      </w:pPr>
      <w:r>
        <w:t xml:space="preserve">relaciones comunitarias;</w:t>
      </w:r>
    </w:p>
    <w:p>
      <w:pPr>
        <w:numPr>
          <w:ilvl w:val="0"/>
          <w:numId w:val="1004"/>
        </w:numPr>
        <w:pStyle w:val="Compact"/>
      </w:pPr>
      <w:r>
        <w:t xml:space="preserve">medición y análisis de comunicaciones;</w:t>
      </w:r>
    </w:p>
    <w:p>
      <w:pPr>
        <w:numPr>
          <w:ilvl w:val="0"/>
          <w:numId w:val="1004"/>
        </w:numPr>
        <w:pStyle w:val="Compact"/>
      </w:pPr>
      <w:r>
        <w:t xml:space="preserve">desarrollo de discursos o documentos informativos.</w:t>
      </w:r>
    </w:p>
    <w:bookmarkEnd w:id="24"/>
    <w:bookmarkStart w:id="25" w:name="portavoz-o-gerente"/>
    <w:p>
      <w:pPr>
        <w:pStyle w:val="Heading3"/>
      </w:pPr>
      <w:r>
        <w:t xml:space="preserve">Portavoz o gerente</w:t>
      </w:r>
    </w:p>
    <w:p>
      <w:pPr>
        <w:pStyle w:val="FirstParagraph"/>
      </w:pPr>
      <w:r>
        <w:t xml:space="preserve">Un portavoz o gerente puede tener autoridad sobre:</w:t>
      </w:r>
    </w:p>
    <w:p>
      <w:pPr>
        <w:numPr>
          <w:ilvl w:val="0"/>
          <w:numId w:val="1005"/>
        </w:numPr>
        <w:pStyle w:val="Compact"/>
      </w:pPr>
      <w:r>
        <w:t xml:space="preserve">declaraciones públicas aprobadas;</w:t>
      </w:r>
    </w:p>
    <w:p>
      <w:pPr>
        <w:numPr>
          <w:ilvl w:val="0"/>
          <w:numId w:val="1005"/>
        </w:numPr>
        <w:pStyle w:val="Compact"/>
      </w:pPr>
      <w:r>
        <w:t xml:space="preserve">entrevistas con medios;</w:t>
      </w:r>
    </w:p>
    <w:p>
      <w:pPr>
        <w:numPr>
          <w:ilvl w:val="0"/>
          <w:numId w:val="1005"/>
        </w:numPr>
        <w:pStyle w:val="Compact"/>
      </w:pPr>
      <w:r>
        <w:t xml:space="preserve">estrategia de comunicación de crisis;</w:t>
      </w:r>
    </w:p>
    <w:p>
      <w:pPr>
        <w:numPr>
          <w:ilvl w:val="0"/>
          <w:numId w:val="1005"/>
        </w:numPr>
        <w:pStyle w:val="Compact"/>
      </w:pPr>
      <w:r>
        <w:t xml:space="preserve">mensajes ejecutivos;</w:t>
      </w:r>
    </w:p>
    <w:p>
      <w:pPr>
        <w:numPr>
          <w:ilvl w:val="0"/>
          <w:numId w:val="1005"/>
        </w:numPr>
        <w:pStyle w:val="Compact"/>
      </w:pPr>
      <w:r>
        <w:t xml:space="preserve">coordinación legal y de cumplimiento;</w:t>
      </w:r>
    </w:p>
    <w:p>
      <w:pPr>
        <w:numPr>
          <w:ilvl w:val="0"/>
          <w:numId w:val="1005"/>
        </w:numPr>
        <w:pStyle w:val="Compact"/>
      </w:pPr>
      <w:r>
        <w:t xml:space="preserve">decisiones presupuestarias y de proveedores;</w:t>
      </w:r>
    </w:p>
    <w:p>
      <w:pPr>
        <w:numPr>
          <w:ilvl w:val="0"/>
          <w:numId w:val="1005"/>
        </w:numPr>
        <w:pStyle w:val="Compact"/>
      </w:pPr>
      <w:r>
        <w:t xml:space="preserve">supervisión de personal;</w:t>
      </w:r>
    </w:p>
    <w:p>
      <w:pPr>
        <w:numPr>
          <w:ilvl w:val="0"/>
          <w:numId w:val="1005"/>
        </w:numPr>
        <w:pStyle w:val="Compact"/>
      </w:pPr>
      <w:r>
        <w:t xml:space="preserve">escalamiento de asuntos;</w:t>
      </w:r>
    </w:p>
    <w:p>
      <w:pPr>
        <w:numPr>
          <w:ilvl w:val="0"/>
          <w:numId w:val="1005"/>
        </w:numPr>
        <w:pStyle w:val="Compact"/>
      </w:pPr>
      <w:r>
        <w:t xml:space="preserve">aprobación final de publicaciones;</w:t>
      </w:r>
    </w:p>
    <w:p>
      <w:pPr>
        <w:numPr>
          <w:ilvl w:val="0"/>
          <w:numId w:val="1005"/>
        </w:numPr>
        <w:pStyle w:val="Compact"/>
      </w:pPr>
      <w:r>
        <w:t xml:space="preserve">decisiones de riesgo reputacional.</w:t>
      </w:r>
    </w:p>
    <w:p>
      <w:pPr>
        <w:pStyle w:val="FirstParagraph"/>
      </w:pPr>
      <w:r>
        <w:t xml:space="preserve">Estos límites son solo ejemplos. Las políticas del empleador, la autoridad delegada, la ley, los contratos, las obligaciones regulatorias, las reglas de confidencialidad y la naturaleza del evento o asunto determinan lo que una persona realmente puede hacer.</w:t>
      </w:r>
    </w:p>
    <w:bookmarkEnd w:id="25"/>
    <w:bookmarkEnd w:id="26"/>
    <w:bookmarkStart w:id="27" w:name="responsabilidades-típicas"/>
    <w:p>
      <w:pPr>
        <w:pStyle w:val="Heading2"/>
      </w:pPr>
      <w:r>
        <w:t xml:space="preserve">Responsabilidades típicas</w:t>
      </w:r>
    </w:p>
    <w:p>
      <w:pPr>
        <w:pStyle w:val="FirstParagraph"/>
      </w:pPr>
      <w:r>
        <w:t xml:space="preserve">Según el empleador, un asistente de relaciones públicas o coordinador de comunicaciones puede:</w:t>
      </w:r>
    </w:p>
    <w:p>
      <w:pPr>
        <w:numPr>
          <w:ilvl w:val="0"/>
          <w:numId w:val="1006"/>
        </w:numPr>
        <w:pStyle w:val="Compact"/>
      </w:pPr>
      <w:r>
        <w:t xml:space="preserve">mantener un calendario de comunicaciones;</w:t>
      </w:r>
    </w:p>
    <w:p>
      <w:pPr>
        <w:numPr>
          <w:ilvl w:val="0"/>
          <w:numId w:val="1006"/>
        </w:numPr>
        <w:pStyle w:val="Compact"/>
      </w:pPr>
      <w:r>
        <w:t xml:space="preserve">recopilar requisitos de gerentes o clientes internos;</w:t>
      </w:r>
    </w:p>
    <w:p>
      <w:pPr>
        <w:numPr>
          <w:ilvl w:val="0"/>
          <w:numId w:val="1006"/>
        </w:numPr>
        <w:pStyle w:val="Compact"/>
      </w:pPr>
      <w:r>
        <w:t xml:space="preserve">redactar para revisión anuncios rutinarios, boletines, contenido web, publicaciones sociales, avisos de eventos o materiales para medios;</w:t>
      </w:r>
    </w:p>
    <w:p>
      <w:pPr>
        <w:numPr>
          <w:ilvl w:val="0"/>
          <w:numId w:val="1006"/>
        </w:numPr>
        <w:pStyle w:val="Compact"/>
      </w:pPr>
      <w:r>
        <w:t xml:space="preserve">investigar antecedentes usando fuentes aprobadas;</w:t>
      </w:r>
    </w:p>
    <w:p>
      <w:pPr>
        <w:numPr>
          <w:ilvl w:val="0"/>
          <w:numId w:val="1006"/>
        </w:numPr>
        <w:pStyle w:val="Compact"/>
      </w:pPr>
      <w:r>
        <w:t xml:space="preserve">verificar nombres, cargos, fechas, estadísticas, citas y enlaces;</w:t>
      </w:r>
    </w:p>
    <w:p>
      <w:pPr>
        <w:numPr>
          <w:ilvl w:val="0"/>
          <w:numId w:val="1006"/>
        </w:numPr>
        <w:pStyle w:val="Compact"/>
      </w:pPr>
      <w:r>
        <w:t xml:space="preserve">mantener contactos de medios y listas de distribución en sistemas aprobados;</w:t>
      </w:r>
    </w:p>
    <w:p>
      <w:pPr>
        <w:numPr>
          <w:ilvl w:val="0"/>
          <w:numId w:val="1006"/>
        </w:numPr>
        <w:pStyle w:val="Compact"/>
      </w:pPr>
      <w:r>
        <w:t xml:space="preserve">monitorear cobertura de noticias y conversaciones en redes sociales;</w:t>
      </w:r>
    </w:p>
    <w:p>
      <w:pPr>
        <w:numPr>
          <w:ilvl w:val="0"/>
          <w:numId w:val="1006"/>
        </w:numPr>
        <w:pStyle w:val="Compact"/>
      </w:pPr>
      <w:r>
        <w:t xml:space="preserve">preparar informes de cobertura o resúmenes diarios;</w:t>
      </w:r>
    </w:p>
    <w:p>
      <w:pPr>
        <w:numPr>
          <w:ilvl w:val="0"/>
          <w:numId w:val="1006"/>
        </w:numPr>
        <w:pStyle w:val="Compact"/>
      </w:pPr>
      <w:r>
        <w:t xml:space="preserve">coordinar entrevistas, eventos, ruedas de prensa, seminarios web o actividades comunitarias;</w:t>
      </w:r>
    </w:p>
    <w:p>
      <w:pPr>
        <w:numPr>
          <w:ilvl w:val="0"/>
          <w:numId w:val="1006"/>
        </w:numPr>
        <w:pStyle w:val="Compact"/>
      </w:pPr>
      <w:r>
        <w:t xml:space="preserve">organizar fotografías, video, gráficos, logotipos, biografías y activos de marca aprobados;</w:t>
      </w:r>
    </w:p>
    <w:p>
      <w:pPr>
        <w:numPr>
          <w:ilvl w:val="0"/>
          <w:numId w:val="1006"/>
        </w:numPr>
        <w:pStyle w:val="Compact"/>
      </w:pPr>
      <w:r>
        <w:t xml:space="preserve">apoyar comunicaciones internas y anuncios a empleados;</w:t>
      </w:r>
    </w:p>
    <w:p>
      <w:pPr>
        <w:numPr>
          <w:ilvl w:val="0"/>
          <w:numId w:val="1006"/>
        </w:numPr>
        <w:pStyle w:val="Compact"/>
      </w:pPr>
      <w:r>
        <w:t xml:space="preserve">coordinar traducción o localización aprobada;</w:t>
      </w:r>
    </w:p>
    <w:p>
      <w:pPr>
        <w:numPr>
          <w:ilvl w:val="0"/>
          <w:numId w:val="1006"/>
        </w:numPr>
        <w:pStyle w:val="Compact"/>
      </w:pPr>
      <w:r>
        <w:t xml:space="preserve">preparar presentaciones o paquetes informativos;</w:t>
      </w:r>
    </w:p>
    <w:p>
      <w:pPr>
        <w:numPr>
          <w:ilvl w:val="0"/>
          <w:numId w:val="1006"/>
        </w:numPr>
        <w:pStyle w:val="Compact"/>
      </w:pPr>
      <w:r>
        <w:t xml:space="preserve">documentar aprobaciones, revisiones y fechas de publicación;</w:t>
      </w:r>
    </w:p>
    <w:p>
      <w:pPr>
        <w:numPr>
          <w:ilvl w:val="0"/>
          <w:numId w:val="1006"/>
        </w:numPr>
        <w:pStyle w:val="Compact"/>
      </w:pPr>
      <w:r>
        <w:t xml:space="preserve">actualizar sitios web o sistemas de gestión de contenido dentro de los permisos asignados;</w:t>
      </w:r>
    </w:p>
    <w:p>
      <w:pPr>
        <w:numPr>
          <w:ilvl w:val="0"/>
          <w:numId w:val="1006"/>
        </w:numPr>
        <w:pStyle w:val="Compact"/>
      </w:pPr>
      <w:r>
        <w:t xml:space="preserve">programar contenido aprobado para redes sociales;</w:t>
      </w:r>
    </w:p>
    <w:p>
      <w:pPr>
        <w:numPr>
          <w:ilvl w:val="0"/>
          <w:numId w:val="1006"/>
        </w:numPr>
        <w:pStyle w:val="Compact"/>
      </w:pPr>
      <w:r>
        <w:t xml:space="preserve">recopilar métricas aprobadas de interacción y comunicaciones;</w:t>
      </w:r>
    </w:p>
    <w:p>
      <w:pPr>
        <w:numPr>
          <w:ilvl w:val="0"/>
          <w:numId w:val="1006"/>
        </w:numPr>
        <w:pStyle w:val="Compact"/>
      </w:pPr>
      <w:r>
        <w:t xml:space="preserve">apoyar verificaciones de accesibilidad para documentos, contenido web, video y eventos;</w:t>
      </w:r>
    </w:p>
    <w:p>
      <w:pPr>
        <w:numPr>
          <w:ilvl w:val="0"/>
          <w:numId w:val="1006"/>
        </w:numPr>
        <w:pStyle w:val="Compact"/>
      </w:pPr>
      <w:r>
        <w:t xml:space="preserve">proteger borradores confidenciales, información bajo embargo, contactos de medios, credenciales y datos personales;</w:t>
      </w:r>
    </w:p>
    <w:p>
      <w:pPr>
        <w:numPr>
          <w:ilvl w:val="0"/>
          <w:numId w:val="1006"/>
        </w:numPr>
        <w:pStyle w:val="Compact"/>
      </w:pPr>
      <w:r>
        <w:t xml:space="preserve">reportar phishing, compromiso de cuentas, suplantación, solicitudes fraudulentas o posibles exposiciones de datos;</w:t>
      </w:r>
    </w:p>
    <w:p>
      <w:pPr>
        <w:numPr>
          <w:ilvl w:val="0"/>
          <w:numId w:val="1006"/>
        </w:numPr>
        <w:pStyle w:val="Compact"/>
      </w:pPr>
      <w:r>
        <w:t xml:space="preserve">archivar registros según la política organizacional.</w:t>
      </w:r>
    </w:p>
    <w:bookmarkEnd w:id="27"/>
    <w:bookmarkStart w:id="28" w:name="límites-profesionales-y-éticos"/>
    <w:p>
      <w:pPr>
        <w:pStyle w:val="Heading2"/>
      </w:pPr>
      <w:r>
        <w:t xml:space="preserve">Límites profesionales y éticos</w:t>
      </w:r>
    </w:p>
    <w:p>
      <w:pPr>
        <w:pStyle w:val="FirstParagraph"/>
      </w:pPr>
      <w:r>
        <w:t xml:space="preserve">Un cargo en comunicaciones</w:t>
      </w:r>
      <w:r>
        <w:t xml:space="preserve"> </w:t>
      </w:r>
      <w:r>
        <w:rPr>
          <w:bCs/>
          <w:b/>
        </w:rPr>
        <w:t xml:space="preserve">no</w:t>
      </w:r>
      <w:r>
        <w:t xml:space="preserve"> </w:t>
      </w:r>
      <w:r>
        <w:t xml:space="preserve">autoriza automáticamente a una persona a:</w:t>
      </w:r>
    </w:p>
    <w:p>
      <w:pPr>
        <w:numPr>
          <w:ilvl w:val="0"/>
          <w:numId w:val="1007"/>
        </w:numPr>
        <w:pStyle w:val="Compact"/>
      </w:pPr>
      <w:r>
        <w:t xml:space="preserve">hablar en nombre de la organización sin aprobación;</w:t>
      </w:r>
    </w:p>
    <w:p>
      <w:pPr>
        <w:numPr>
          <w:ilvl w:val="0"/>
          <w:numId w:val="1007"/>
        </w:numPr>
        <w:pStyle w:val="Compact"/>
      </w:pPr>
      <w:r>
        <w:t xml:space="preserve">brindar asesoría legal, médica, financiera, regulatoria, de seguridad o de crisis fuera de la autoridad asignada;</w:t>
      </w:r>
    </w:p>
    <w:p>
      <w:pPr>
        <w:numPr>
          <w:ilvl w:val="0"/>
          <w:numId w:val="1007"/>
        </w:numPr>
        <w:pStyle w:val="Compact"/>
      </w:pPr>
      <w:r>
        <w:t xml:space="preserve">publicar una declaración ejecutiva, respuesta de crisis, posición legal, resultado financiero, anuncio de personal o divulgación regulatoria sin aprobación;</w:t>
      </w:r>
    </w:p>
    <w:p>
      <w:pPr>
        <w:numPr>
          <w:ilvl w:val="0"/>
          <w:numId w:val="1007"/>
        </w:numPr>
        <w:pStyle w:val="Compact"/>
      </w:pPr>
      <w:r>
        <w:t xml:space="preserve">fabricar citas, testimonios, reseñas, respaldos, premios, cobertura de medios, estadísticas de interacción, resultados de encuestas, capturas de pantalla, referencias, fotografías, credenciales o aprobaciones de partes interesadas;</w:t>
      </w:r>
    </w:p>
    <w:p>
      <w:pPr>
        <w:numPr>
          <w:ilvl w:val="0"/>
          <w:numId w:val="1007"/>
        </w:numPr>
        <w:pStyle w:val="Compact"/>
      </w:pPr>
      <w:r>
        <w:t xml:space="preserve">modificar una cita de manera que cambie su significado;</w:t>
      </w:r>
    </w:p>
    <w:p>
      <w:pPr>
        <w:numPr>
          <w:ilvl w:val="0"/>
          <w:numId w:val="1007"/>
        </w:numPr>
        <w:pStyle w:val="Compact"/>
      </w:pPr>
      <w:r>
        <w:t xml:space="preserve">presentar opinión, rumor, salida de IA o una publicación social no verificada como si fuera un hecho;</w:t>
      </w:r>
    </w:p>
    <w:p>
      <w:pPr>
        <w:numPr>
          <w:ilvl w:val="0"/>
          <w:numId w:val="1007"/>
        </w:numPr>
        <w:pStyle w:val="Compact"/>
      </w:pPr>
      <w:r>
        <w:t xml:space="preserve">ocultar un patrocinio, respaldo o relación pagada material cuando se requiera divulgación;</w:t>
      </w:r>
    </w:p>
    <w:p>
      <w:pPr>
        <w:numPr>
          <w:ilvl w:val="0"/>
          <w:numId w:val="1007"/>
        </w:numPr>
        <w:pStyle w:val="Compact"/>
      </w:pPr>
      <w:r>
        <w:t xml:space="preserve">hacerse pasar por periodistas, clientes, empleados, funcionarios, competidores o miembros de la comunidad;</w:t>
      </w:r>
    </w:p>
    <w:p>
      <w:pPr>
        <w:numPr>
          <w:ilvl w:val="0"/>
          <w:numId w:val="1007"/>
        </w:numPr>
        <w:pStyle w:val="Compact"/>
      </w:pPr>
      <w:r>
        <w:t xml:space="preserve">crear cuentas falsas o actividad comunitaria engañosa;</w:t>
      </w:r>
    </w:p>
    <w:p>
      <w:pPr>
        <w:numPr>
          <w:ilvl w:val="0"/>
          <w:numId w:val="1007"/>
        </w:numPr>
        <w:pStyle w:val="Compact"/>
      </w:pPr>
      <w:r>
        <w:t xml:space="preserve">publicar datos privados de empleados, clientes, solicitantes, pacientes, estudiantes, donantes, medios o comunidades sin autorización;</w:t>
      </w:r>
    </w:p>
    <w:p>
      <w:pPr>
        <w:numPr>
          <w:ilvl w:val="0"/>
          <w:numId w:val="1007"/>
        </w:numPr>
        <w:pStyle w:val="Compact"/>
      </w:pPr>
      <w:r>
        <w:t xml:space="preserve">cargar borradores confidenciales, material bajo embargo, credenciales, listas de medios, datos personales, contratos, información financiera no publicada o material legal en un servicio de IA o nube no aprobado;</w:t>
      </w:r>
    </w:p>
    <w:p>
      <w:pPr>
        <w:numPr>
          <w:ilvl w:val="0"/>
          <w:numId w:val="1007"/>
        </w:numPr>
        <w:pStyle w:val="Compact"/>
      </w:pPr>
      <w:r>
        <w:t xml:space="preserve">eludir procesos de aprobación, retención, gestión de registros, marca, accesibilidad, privacidad, seguridad o revisión legal;</w:t>
      </w:r>
    </w:p>
    <w:p>
      <w:pPr>
        <w:numPr>
          <w:ilvl w:val="0"/>
          <w:numId w:val="1007"/>
        </w:numPr>
        <w:pStyle w:val="Compact"/>
      </w:pPr>
      <w:r>
        <w:t xml:space="preserve">afirmar que una comunicación, sitio web, campaña o evento cumple legalmente o está certificado en accesibilidad sin revisión calificada.</w:t>
      </w:r>
    </w:p>
    <w:p>
      <w:pPr>
        <w:pStyle w:val="FirstParagraph"/>
      </w:pPr>
      <w:r>
        <w:t xml:space="preserve">Cuando la autoridad no esté clara, detenga la publicación o respuesta y escale al gerente apropiado, líder de comunicaciones, función legal o de cumplimiento, equipo de privacidad, equipo de ciberseguridad, contacto de accesibilidad, gestión documental, recursos humanos, finanzas o responsable ejecutivo.</w:t>
      </w:r>
    </w:p>
    <w:bookmarkEnd w:id="28"/>
    <w:bookmarkStart w:id="34" w:name="habilidades-fundamentales"/>
    <w:p>
      <w:pPr>
        <w:pStyle w:val="Heading2"/>
      </w:pPr>
      <w:r>
        <w:t xml:space="preserve">Habilidades fundamentales</w:t>
      </w:r>
    </w:p>
    <w:bookmarkStart w:id="29" w:name="redacción-y-edición"/>
    <w:p>
      <w:pPr>
        <w:pStyle w:val="Heading3"/>
      </w:pPr>
      <w:r>
        <w:t xml:space="preserve">Redacción y edición</w:t>
      </w:r>
    </w:p>
    <w:p>
      <w:pPr>
        <w:numPr>
          <w:ilvl w:val="0"/>
          <w:numId w:val="1008"/>
        </w:numPr>
        <w:pStyle w:val="Compact"/>
      </w:pPr>
      <w:r>
        <w:t xml:space="preserve">redacción en lenguaje claro;</w:t>
      </w:r>
    </w:p>
    <w:p>
      <w:pPr>
        <w:numPr>
          <w:ilvl w:val="0"/>
          <w:numId w:val="1008"/>
        </w:numPr>
        <w:pStyle w:val="Compact"/>
      </w:pPr>
      <w:r>
        <w:t xml:space="preserve">corrección de textos;</w:t>
      </w:r>
    </w:p>
    <w:p>
      <w:pPr>
        <w:numPr>
          <w:ilvl w:val="0"/>
          <w:numId w:val="1008"/>
        </w:numPr>
        <w:pStyle w:val="Compact"/>
      </w:pPr>
      <w:r>
        <w:t xml:space="preserve">gramática y puntuación;</w:t>
      </w:r>
    </w:p>
    <w:p>
      <w:pPr>
        <w:numPr>
          <w:ilvl w:val="0"/>
          <w:numId w:val="1008"/>
        </w:numPr>
        <w:pStyle w:val="Compact"/>
      </w:pPr>
      <w:r>
        <w:t xml:space="preserve">redacción de titulares y asuntos;</w:t>
      </w:r>
    </w:p>
    <w:p>
      <w:pPr>
        <w:numPr>
          <w:ilvl w:val="0"/>
          <w:numId w:val="1008"/>
        </w:numPr>
        <w:pStyle w:val="Compact"/>
      </w:pPr>
      <w:r>
        <w:t xml:space="preserve">edición de textos cortos y largos;</w:t>
      </w:r>
    </w:p>
    <w:p>
      <w:pPr>
        <w:numPr>
          <w:ilvl w:val="0"/>
          <w:numId w:val="1008"/>
        </w:numPr>
        <w:pStyle w:val="Compact"/>
      </w:pPr>
      <w:r>
        <w:t xml:space="preserve">resumen preciso de información compleja;</w:t>
      </w:r>
    </w:p>
    <w:p>
      <w:pPr>
        <w:numPr>
          <w:ilvl w:val="0"/>
          <w:numId w:val="1008"/>
        </w:numPr>
        <w:pStyle w:val="Compact"/>
      </w:pPr>
      <w:r>
        <w:t xml:space="preserve">preservación del significado de las citas;</w:t>
      </w:r>
    </w:p>
    <w:p>
      <w:pPr>
        <w:numPr>
          <w:ilvl w:val="0"/>
          <w:numId w:val="1008"/>
        </w:numPr>
        <w:pStyle w:val="Compact"/>
      </w:pPr>
      <w:r>
        <w:t xml:space="preserve">adaptación del tono a diferentes audiencias;</w:t>
      </w:r>
    </w:p>
    <w:p>
      <w:pPr>
        <w:numPr>
          <w:ilvl w:val="0"/>
          <w:numId w:val="1008"/>
        </w:numPr>
        <w:pStyle w:val="Compact"/>
      </w:pPr>
      <w:r>
        <w:t xml:space="preserve">verificación de normas de estilo y marca.</w:t>
      </w:r>
    </w:p>
    <w:bookmarkEnd w:id="29"/>
    <w:bookmarkStart w:id="30" w:name="investigación-y-verificación"/>
    <w:p>
      <w:pPr>
        <w:pStyle w:val="Heading3"/>
      </w:pPr>
      <w:r>
        <w:t xml:space="preserve">Investigación y verificación</w:t>
      </w:r>
    </w:p>
    <w:p>
      <w:pPr>
        <w:numPr>
          <w:ilvl w:val="0"/>
          <w:numId w:val="1009"/>
        </w:numPr>
        <w:pStyle w:val="Compact"/>
      </w:pPr>
      <w:r>
        <w:t xml:space="preserve">comprobación de fuentes;</w:t>
      </w:r>
    </w:p>
    <w:p>
      <w:pPr>
        <w:numPr>
          <w:ilvl w:val="0"/>
          <w:numId w:val="1009"/>
        </w:numPr>
        <w:pStyle w:val="Compact"/>
      </w:pPr>
      <w:r>
        <w:t xml:space="preserve">identificación de fuentes primarias y secundarias;</w:t>
      </w:r>
    </w:p>
    <w:p>
      <w:pPr>
        <w:numPr>
          <w:ilvl w:val="0"/>
          <w:numId w:val="1009"/>
        </w:numPr>
        <w:pStyle w:val="Compact"/>
      </w:pPr>
      <w:r>
        <w:t xml:space="preserve">verificación de nombres, roles, fechas, lugares, estadísticas y afirmaciones;</w:t>
      </w:r>
    </w:p>
    <w:p>
      <w:pPr>
        <w:numPr>
          <w:ilvl w:val="0"/>
          <w:numId w:val="1009"/>
        </w:numPr>
        <w:pStyle w:val="Compact"/>
      </w:pPr>
      <w:r>
        <w:t xml:space="preserve">documentación de fechas de las fuentes;</w:t>
      </w:r>
    </w:p>
    <w:p>
      <w:pPr>
        <w:numPr>
          <w:ilvl w:val="0"/>
          <w:numId w:val="1009"/>
        </w:numPr>
        <w:pStyle w:val="Compact"/>
      </w:pPr>
      <w:r>
        <w:t xml:space="preserve">distinción entre hechos confirmados, estimaciones e interpretación;</w:t>
      </w:r>
    </w:p>
    <w:p>
      <w:pPr>
        <w:numPr>
          <w:ilvl w:val="0"/>
          <w:numId w:val="1009"/>
        </w:numPr>
        <w:pStyle w:val="Compact"/>
      </w:pPr>
      <w:r>
        <w:t xml:space="preserve">reconocimiento de material desactualizado, duplicado, manipulado o sospechoso.</w:t>
      </w:r>
    </w:p>
    <w:bookmarkEnd w:id="30"/>
    <w:bookmarkStart w:id="31" w:name="organización-y-coordinación"/>
    <w:p>
      <w:pPr>
        <w:pStyle w:val="Heading3"/>
      </w:pPr>
      <w:r>
        <w:t xml:space="preserve">Organización y coordinación</w:t>
      </w:r>
    </w:p>
    <w:p>
      <w:pPr>
        <w:numPr>
          <w:ilvl w:val="0"/>
          <w:numId w:val="1010"/>
        </w:numPr>
        <w:pStyle w:val="Compact"/>
      </w:pPr>
      <w:r>
        <w:t xml:space="preserve">calendarios de contenido;</w:t>
      </w:r>
    </w:p>
    <w:p>
      <w:pPr>
        <w:numPr>
          <w:ilvl w:val="0"/>
          <w:numId w:val="1010"/>
        </w:numPr>
        <w:pStyle w:val="Compact"/>
      </w:pPr>
      <w:r>
        <w:t xml:space="preserve">seguimiento de plazos;</w:t>
      </w:r>
    </w:p>
    <w:p>
      <w:pPr>
        <w:numPr>
          <w:ilvl w:val="0"/>
          <w:numId w:val="1010"/>
        </w:numPr>
        <w:pStyle w:val="Compact"/>
      </w:pPr>
      <w:r>
        <w:t xml:space="preserve">control de versiones;</w:t>
      </w:r>
    </w:p>
    <w:p>
      <w:pPr>
        <w:numPr>
          <w:ilvl w:val="0"/>
          <w:numId w:val="1010"/>
        </w:numPr>
        <w:pStyle w:val="Compact"/>
      </w:pPr>
      <w:r>
        <w:t xml:space="preserve">registros de aprobación;</w:t>
      </w:r>
    </w:p>
    <w:p>
      <w:pPr>
        <w:numPr>
          <w:ilvl w:val="0"/>
          <w:numId w:val="1010"/>
        </w:numPr>
        <w:pStyle w:val="Compact"/>
      </w:pPr>
      <w:r>
        <w:t xml:space="preserve">notas de reuniones;</w:t>
      </w:r>
    </w:p>
    <w:p>
      <w:pPr>
        <w:numPr>
          <w:ilvl w:val="0"/>
          <w:numId w:val="1010"/>
        </w:numPr>
        <w:pStyle w:val="Compact"/>
      </w:pPr>
      <w:r>
        <w:t xml:space="preserve">seguimiento de acciones;</w:t>
      </w:r>
    </w:p>
    <w:p>
      <w:pPr>
        <w:numPr>
          <w:ilvl w:val="0"/>
          <w:numId w:val="1010"/>
        </w:numPr>
        <w:pStyle w:val="Compact"/>
      </w:pPr>
      <w:r>
        <w:t xml:space="preserve">coordinación de eventos;</w:t>
      </w:r>
    </w:p>
    <w:p>
      <w:pPr>
        <w:numPr>
          <w:ilvl w:val="0"/>
          <w:numId w:val="1010"/>
        </w:numPr>
        <w:pStyle w:val="Compact"/>
      </w:pPr>
      <w:r>
        <w:t xml:space="preserve">mantenimiento de listas de medios;</w:t>
      </w:r>
    </w:p>
    <w:p>
      <w:pPr>
        <w:numPr>
          <w:ilvl w:val="0"/>
          <w:numId w:val="1010"/>
        </w:numPr>
        <w:pStyle w:val="Compact"/>
      </w:pPr>
      <w:r>
        <w:t xml:space="preserve">seguimiento de proveedores;</w:t>
      </w:r>
    </w:p>
    <w:p>
      <w:pPr>
        <w:numPr>
          <w:ilvl w:val="0"/>
          <w:numId w:val="1010"/>
        </w:numPr>
        <w:pStyle w:val="Compact"/>
      </w:pPr>
      <w:r>
        <w:t xml:space="preserve">organización de archivos y disciplina de nombres.</w:t>
      </w:r>
    </w:p>
    <w:bookmarkEnd w:id="31"/>
    <w:bookmarkStart w:id="32" w:name="relaciones-y-servicio"/>
    <w:p>
      <w:pPr>
        <w:pStyle w:val="Heading3"/>
      </w:pPr>
      <w:r>
        <w:t xml:space="preserve">Relaciones y servicio</w:t>
      </w:r>
    </w:p>
    <w:p>
      <w:pPr>
        <w:numPr>
          <w:ilvl w:val="0"/>
          <w:numId w:val="1011"/>
        </w:numPr>
        <w:pStyle w:val="Compact"/>
      </w:pPr>
      <w:r>
        <w:t xml:space="preserve">escucha activa;</w:t>
      </w:r>
    </w:p>
    <w:p>
      <w:pPr>
        <w:numPr>
          <w:ilvl w:val="0"/>
          <w:numId w:val="1011"/>
        </w:numPr>
        <w:pStyle w:val="Compact"/>
      </w:pPr>
      <w:r>
        <w:t xml:space="preserve">comunicación profesional por correo y teléfono;</w:t>
      </w:r>
    </w:p>
    <w:p>
      <w:pPr>
        <w:numPr>
          <w:ilvl w:val="0"/>
          <w:numId w:val="1011"/>
        </w:numPr>
        <w:pStyle w:val="Compact"/>
      </w:pPr>
      <w:r>
        <w:t xml:space="preserve">interacción respetuosa con medios;</w:t>
      </w:r>
    </w:p>
    <w:p>
      <w:pPr>
        <w:numPr>
          <w:ilvl w:val="0"/>
          <w:numId w:val="1011"/>
        </w:numPr>
        <w:pStyle w:val="Compact"/>
      </w:pPr>
      <w:r>
        <w:t xml:space="preserve">servicio a partes interesadas;</w:t>
      </w:r>
    </w:p>
    <w:p>
      <w:pPr>
        <w:numPr>
          <w:ilvl w:val="0"/>
          <w:numId w:val="1011"/>
        </w:numPr>
        <w:pStyle w:val="Compact"/>
      </w:pPr>
      <w:r>
        <w:t xml:space="preserve">desescalamiento de conflictos;</w:t>
      </w:r>
    </w:p>
    <w:p>
      <w:pPr>
        <w:numPr>
          <w:ilvl w:val="0"/>
          <w:numId w:val="1011"/>
        </w:numPr>
        <w:pStyle w:val="Compact"/>
      </w:pPr>
      <w:r>
        <w:t xml:space="preserve">comunicación intercultural;</w:t>
      </w:r>
    </w:p>
    <w:p>
      <w:pPr>
        <w:numPr>
          <w:ilvl w:val="0"/>
          <w:numId w:val="1011"/>
        </w:numPr>
        <w:pStyle w:val="Compact"/>
      </w:pPr>
      <w:r>
        <w:t xml:space="preserve">discreción;</w:t>
      </w:r>
    </w:p>
    <w:p>
      <w:pPr>
        <w:numPr>
          <w:ilvl w:val="0"/>
          <w:numId w:val="1011"/>
        </w:numPr>
        <w:pStyle w:val="Compact"/>
      </w:pPr>
      <w:r>
        <w:t xml:space="preserve">criterio para escalar.</w:t>
      </w:r>
    </w:p>
    <w:bookmarkEnd w:id="32"/>
    <w:bookmarkStart w:id="33" w:name="medición"/>
    <w:p>
      <w:pPr>
        <w:pStyle w:val="Heading3"/>
      </w:pPr>
      <w:r>
        <w:t xml:space="preserve">Medición</w:t>
      </w:r>
    </w:p>
    <w:p>
      <w:pPr>
        <w:numPr>
          <w:ilvl w:val="0"/>
          <w:numId w:val="1012"/>
        </w:numPr>
        <w:pStyle w:val="Compact"/>
      </w:pPr>
      <w:r>
        <w:t xml:space="preserve">fundamentos de hojas de cálculo;</w:t>
      </w:r>
    </w:p>
    <w:p>
      <w:pPr>
        <w:numPr>
          <w:ilvl w:val="0"/>
          <w:numId w:val="1012"/>
        </w:numPr>
        <w:pStyle w:val="Compact"/>
      </w:pPr>
      <w:r>
        <w:t xml:space="preserve">ordenar y filtrar;</w:t>
      </w:r>
    </w:p>
    <w:p>
      <w:pPr>
        <w:numPr>
          <w:ilvl w:val="0"/>
          <w:numId w:val="1012"/>
        </w:numPr>
        <w:pStyle w:val="Compact"/>
      </w:pPr>
      <w:r>
        <w:t xml:space="preserve">seguimiento de cobertura de medios;</w:t>
      </w:r>
    </w:p>
    <w:p>
      <w:pPr>
        <w:numPr>
          <w:ilvl w:val="0"/>
          <w:numId w:val="1012"/>
        </w:numPr>
        <w:pStyle w:val="Compact"/>
      </w:pPr>
      <w:r>
        <w:t xml:space="preserve">métricas de interacción;</w:t>
      </w:r>
    </w:p>
    <w:p>
      <w:pPr>
        <w:numPr>
          <w:ilvl w:val="0"/>
          <w:numId w:val="1012"/>
        </w:numPr>
        <w:pStyle w:val="Compact"/>
      </w:pPr>
      <w:r>
        <w:t xml:space="preserve">métricas de aperturas y clics de boletines cuando estén autorizadas;</w:t>
      </w:r>
    </w:p>
    <w:p>
      <w:pPr>
        <w:numPr>
          <w:ilvl w:val="0"/>
          <w:numId w:val="1012"/>
        </w:numPr>
        <w:pStyle w:val="Compact"/>
      </w:pPr>
      <w:r>
        <w:t xml:space="preserve">analítica social;</w:t>
      </w:r>
    </w:p>
    <w:p>
      <w:pPr>
        <w:numPr>
          <w:ilvl w:val="0"/>
          <w:numId w:val="1012"/>
        </w:numPr>
        <w:pStyle w:val="Compact"/>
      </w:pPr>
      <w:r>
        <w:t xml:space="preserve">fundamentos de tráfico web;</w:t>
      </w:r>
    </w:p>
    <w:p>
      <w:pPr>
        <w:numPr>
          <w:ilvl w:val="0"/>
          <w:numId w:val="1012"/>
        </w:numPr>
        <w:pStyle w:val="Compact"/>
      </w:pPr>
      <w:r>
        <w:t xml:space="preserve">resúmenes de asistencia y retroalimentación de eventos;</w:t>
      </w:r>
    </w:p>
    <w:p>
      <w:pPr>
        <w:numPr>
          <w:ilvl w:val="0"/>
          <w:numId w:val="1012"/>
        </w:numPr>
        <w:pStyle w:val="Compact"/>
      </w:pPr>
      <w:r>
        <w:t xml:space="preserve">distinguir una métrica de un resultado de negocio.</w:t>
      </w:r>
    </w:p>
    <w:bookmarkEnd w:id="33"/>
    <w:bookmarkEnd w:id="34"/>
    <w:bookmarkStart w:id="35" w:name="tecnología"/>
    <w:p>
      <w:pPr>
        <w:pStyle w:val="Heading2"/>
      </w:pPr>
      <w:r>
        <w:t xml:space="preserve">Tecnología</w:t>
      </w:r>
    </w:p>
    <w:p>
      <w:pPr>
        <w:pStyle w:val="FirstParagraph"/>
      </w:pPr>
      <w:r>
        <w:t xml:space="preserve">Las plataformas específicas varían. Los empleadores pueden usar:</w:t>
      </w:r>
    </w:p>
    <w:p>
      <w:pPr>
        <w:numPr>
          <w:ilvl w:val="0"/>
          <w:numId w:val="1013"/>
        </w:numPr>
        <w:pStyle w:val="Compact"/>
      </w:pPr>
      <w:r>
        <w:t xml:space="preserve">Microsoft 365 o Google Workspace;</w:t>
      </w:r>
    </w:p>
    <w:p>
      <w:pPr>
        <w:numPr>
          <w:ilvl w:val="0"/>
          <w:numId w:val="1013"/>
        </w:numPr>
        <w:pStyle w:val="Compact"/>
      </w:pPr>
      <w:r>
        <w:t xml:space="preserve">sistemas de gestión de contenido;</w:t>
      </w:r>
    </w:p>
    <w:p>
      <w:pPr>
        <w:numPr>
          <w:ilvl w:val="0"/>
          <w:numId w:val="1013"/>
        </w:numPr>
        <w:pStyle w:val="Compact"/>
      </w:pPr>
      <w:r>
        <w:t xml:space="preserve">plataformas de gestión de redes sociales;</w:t>
      </w:r>
    </w:p>
    <w:p>
      <w:pPr>
        <w:numPr>
          <w:ilvl w:val="0"/>
          <w:numId w:val="1013"/>
        </w:numPr>
        <w:pStyle w:val="Compact"/>
      </w:pPr>
      <w:r>
        <w:t xml:space="preserve">herramientas de monitoreo y bases de datos de medios;</w:t>
      </w:r>
    </w:p>
    <w:p>
      <w:pPr>
        <w:numPr>
          <w:ilvl w:val="0"/>
          <w:numId w:val="1013"/>
        </w:numPr>
        <w:pStyle w:val="Compact"/>
      </w:pPr>
      <w:r>
        <w:t xml:space="preserve">plataformas de correo y boletines;</w:t>
      </w:r>
    </w:p>
    <w:p>
      <w:pPr>
        <w:numPr>
          <w:ilvl w:val="0"/>
          <w:numId w:val="1013"/>
        </w:numPr>
        <w:pStyle w:val="Compact"/>
      </w:pPr>
      <w:r>
        <w:t xml:space="preserve">sistemas de gestión de relaciones con clientes;</w:t>
      </w:r>
    </w:p>
    <w:p>
      <w:pPr>
        <w:numPr>
          <w:ilvl w:val="0"/>
          <w:numId w:val="1013"/>
        </w:numPr>
        <w:pStyle w:val="Compact"/>
      </w:pPr>
      <w:r>
        <w:t xml:space="preserve">herramientas de gestión de proyectos;</w:t>
      </w:r>
    </w:p>
    <w:p>
      <w:pPr>
        <w:numPr>
          <w:ilvl w:val="0"/>
          <w:numId w:val="1013"/>
        </w:numPr>
        <w:pStyle w:val="Compact"/>
      </w:pPr>
      <w:r>
        <w:t xml:space="preserve">sistemas de gestión de activos digitales;</w:t>
      </w:r>
    </w:p>
    <w:p>
      <w:pPr>
        <w:numPr>
          <w:ilvl w:val="0"/>
          <w:numId w:val="1013"/>
        </w:numPr>
        <w:pStyle w:val="Compact"/>
      </w:pPr>
      <w:r>
        <w:t xml:space="preserve">plataformas de encuestas;</w:t>
      </w:r>
    </w:p>
    <w:p>
      <w:pPr>
        <w:numPr>
          <w:ilvl w:val="0"/>
          <w:numId w:val="1013"/>
        </w:numPr>
        <w:pStyle w:val="Compact"/>
      </w:pPr>
      <w:r>
        <w:t xml:space="preserve">plataformas de seminarios web y eventos;</w:t>
      </w:r>
    </w:p>
    <w:p>
      <w:pPr>
        <w:numPr>
          <w:ilvl w:val="0"/>
          <w:numId w:val="1013"/>
        </w:numPr>
        <w:pStyle w:val="Compact"/>
      </w:pPr>
      <w:r>
        <w:t xml:space="preserve">paneles de analítica;</w:t>
      </w:r>
    </w:p>
    <w:p>
      <w:pPr>
        <w:numPr>
          <w:ilvl w:val="0"/>
          <w:numId w:val="1013"/>
        </w:numPr>
        <w:pStyle w:val="Compact"/>
      </w:pPr>
      <w:r>
        <w:t xml:space="preserve">herramientas gráficas y de presentación;</w:t>
      </w:r>
    </w:p>
    <w:p>
      <w:pPr>
        <w:numPr>
          <w:ilvl w:val="0"/>
          <w:numId w:val="1013"/>
        </w:numPr>
        <w:pStyle w:val="Compact"/>
      </w:pPr>
      <w:r>
        <w:t xml:space="preserve">herramientas de transcripción o subtitulado;</w:t>
      </w:r>
    </w:p>
    <w:p>
      <w:pPr>
        <w:numPr>
          <w:ilvl w:val="0"/>
          <w:numId w:val="1013"/>
        </w:numPr>
        <w:pStyle w:val="Compact"/>
      </w:pPr>
      <w:r>
        <w:t xml:space="preserve">asistentes de IA generativa aprobados.</w:t>
      </w:r>
    </w:p>
    <w:p>
      <w:pPr>
        <w:pStyle w:val="FirstParagraph"/>
      </w:pPr>
      <w:r>
        <w:t xml:space="preserve">El nombre de un producto en una oferta de empleo es una preferencia del empleador, no una credencial universal. Aprenda conceptos transferibles como flujos de contenido, permisos, aprobaciones, versionado, publicación, monitoreo, accesibilidad, registros, analítica y seguridad de cuentas.</w:t>
      </w:r>
    </w:p>
    <w:bookmarkEnd w:id="35"/>
    <w:bookmarkStart w:id="44" w:name="un-flujo-práctico-de-comunicaciones"/>
    <w:p>
      <w:pPr>
        <w:pStyle w:val="Heading2"/>
      </w:pPr>
      <w:r>
        <w:t xml:space="preserve">Un flujo práctico de comunicaciones</w:t>
      </w:r>
    </w:p>
    <w:bookmarkStart w:id="36" w:name="X11edf6b03d376fcfa70f948c5a81e8131e83636"/>
    <w:p>
      <w:pPr>
        <w:pStyle w:val="Heading3"/>
      </w:pPr>
      <w:r>
        <w:t xml:space="preserve">1. Definir</w:t>
      </w:r>
    </w:p>
    <w:p>
      <w:pPr>
        <w:pStyle w:val="FirstParagraph"/>
      </w:pPr>
      <w:r>
        <w:t xml:space="preserve">Aclare:</w:t>
      </w:r>
    </w:p>
    <w:p>
      <w:pPr>
        <w:numPr>
          <w:ilvl w:val="0"/>
          <w:numId w:val="1014"/>
        </w:numPr>
        <w:pStyle w:val="Compact"/>
      </w:pPr>
      <w:r>
        <w:t xml:space="preserve">objetivo de comunicación;</w:t>
      </w:r>
    </w:p>
    <w:p>
      <w:pPr>
        <w:numPr>
          <w:ilvl w:val="0"/>
          <w:numId w:val="1014"/>
        </w:numPr>
        <w:pStyle w:val="Compact"/>
      </w:pPr>
      <w:r>
        <w:t xml:space="preserve">audiencia prevista;</w:t>
      </w:r>
    </w:p>
    <w:p>
      <w:pPr>
        <w:numPr>
          <w:ilvl w:val="0"/>
          <w:numId w:val="1014"/>
        </w:numPr>
        <w:pStyle w:val="Compact"/>
      </w:pPr>
      <w:r>
        <w:t xml:space="preserve">responsable del mensaje;</w:t>
      </w:r>
    </w:p>
    <w:p>
      <w:pPr>
        <w:numPr>
          <w:ilvl w:val="0"/>
          <w:numId w:val="1014"/>
        </w:numPr>
        <w:pStyle w:val="Compact"/>
      </w:pPr>
      <w:r>
        <w:t xml:space="preserve">tomador de decisiones;</w:t>
      </w:r>
    </w:p>
    <w:p>
      <w:pPr>
        <w:numPr>
          <w:ilvl w:val="0"/>
          <w:numId w:val="1014"/>
        </w:numPr>
        <w:pStyle w:val="Compact"/>
      </w:pPr>
      <w:r>
        <w:t xml:space="preserve">canal;</w:t>
      </w:r>
    </w:p>
    <w:p>
      <w:pPr>
        <w:numPr>
          <w:ilvl w:val="0"/>
          <w:numId w:val="1014"/>
        </w:numPr>
        <w:pStyle w:val="Compact"/>
      </w:pPr>
      <w:r>
        <w:t xml:space="preserve">fecha de publicación;</w:t>
      </w:r>
    </w:p>
    <w:p>
      <w:pPr>
        <w:numPr>
          <w:ilvl w:val="0"/>
          <w:numId w:val="1014"/>
        </w:numPr>
        <w:pStyle w:val="Compact"/>
      </w:pPr>
      <w:r>
        <w:t xml:space="preserve">aprobaciones necesarias;</w:t>
      </w:r>
    </w:p>
    <w:p>
      <w:pPr>
        <w:numPr>
          <w:ilvl w:val="0"/>
          <w:numId w:val="1014"/>
        </w:numPr>
        <w:pStyle w:val="Compact"/>
      </w:pPr>
      <w:r>
        <w:t xml:space="preserve">nivel de confidencialidad;</w:t>
      </w:r>
    </w:p>
    <w:p>
      <w:pPr>
        <w:numPr>
          <w:ilvl w:val="0"/>
          <w:numId w:val="1014"/>
        </w:numPr>
        <w:pStyle w:val="Compact"/>
      </w:pPr>
      <w:r>
        <w:t xml:space="preserve">necesidades de accesibilidad;</w:t>
      </w:r>
    </w:p>
    <w:p>
      <w:pPr>
        <w:numPr>
          <w:ilvl w:val="0"/>
          <w:numId w:val="1014"/>
        </w:numPr>
        <w:pStyle w:val="Compact"/>
      </w:pPr>
      <w:r>
        <w:t xml:space="preserve">necesidades de traducción o localización;</w:t>
      </w:r>
    </w:p>
    <w:p>
      <w:pPr>
        <w:numPr>
          <w:ilvl w:val="0"/>
          <w:numId w:val="1014"/>
        </w:numPr>
        <w:pStyle w:val="Compact"/>
      </w:pPr>
      <w:r>
        <w:t xml:space="preserve">requisitos de fuentes;</w:t>
      </w:r>
    </w:p>
    <w:p>
      <w:pPr>
        <w:numPr>
          <w:ilvl w:val="0"/>
          <w:numId w:val="1014"/>
        </w:numPr>
        <w:pStyle w:val="Compact"/>
      </w:pPr>
      <w:r>
        <w:t xml:space="preserve">medidas de éxito.</w:t>
      </w:r>
    </w:p>
    <w:bookmarkEnd w:id="36"/>
    <w:bookmarkStart w:id="37" w:name="X3410fecf7cfacefb17790266010a818a6c18674"/>
    <w:p>
      <w:pPr>
        <w:pStyle w:val="Heading3"/>
      </w:pPr>
      <w:r>
        <w:t xml:space="preserve">2. Investigar</w:t>
      </w:r>
    </w:p>
    <w:p>
      <w:pPr>
        <w:pStyle w:val="FirstParagraph"/>
      </w:pPr>
      <w:r>
        <w:t xml:space="preserve">Recopile información de fuentes aprobadas. Prefiera fuentes primarias o autorizadas para afirmaciones importantes. Registre las fechas de las fuentes e identifique cualquier dato incierto, estimado, controvertido o susceptible de cambiar.</w:t>
      </w:r>
    </w:p>
    <w:bookmarkEnd w:id="37"/>
    <w:bookmarkStart w:id="38" w:name="X8490556c125aee597a233fa6de6ba1bd83ec1e8"/>
    <w:p>
      <w:pPr>
        <w:pStyle w:val="Heading3"/>
      </w:pPr>
      <w:r>
        <w:t xml:space="preserve">3. Redactar</w:t>
      </w:r>
    </w:p>
    <w:p>
      <w:pPr>
        <w:pStyle w:val="FirstParagraph"/>
      </w:pPr>
      <w:r>
        <w:t xml:space="preserve">Prepare un borrador que:</w:t>
      </w:r>
    </w:p>
    <w:p>
      <w:pPr>
        <w:numPr>
          <w:ilvl w:val="0"/>
          <w:numId w:val="1015"/>
        </w:numPr>
        <w:pStyle w:val="Compact"/>
      </w:pPr>
      <w:r>
        <w:t xml:space="preserve">use lenguaje claro;</w:t>
      </w:r>
    </w:p>
    <w:p>
      <w:pPr>
        <w:numPr>
          <w:ilvl w:val="0"/>
          <w:numId w:val="1015"/>
        </w:numPr>
        <w:pStyle w:val="Compact"/>
      </w:pPr>
      <w:r>
        <w:t xml:space="preserve">conserve los hechos aprobados;</w:t>
      </w:r>
    </w:p>
    <w:p>
      <w:pPr>
        <w:numPr>
          <w:ilvl w:val="0"/>
          <w:numId w:val="1015"/>
        </w:numPr>
        <w:pStyle w:val="Compact"/>
      </w:pPr>
      <w:r>
        <w:t xml:space="preserve">distinga hechos de opiniones;</w:t>
      </w:r>
    </w:p>
    <w:p>
      <w:pPr>
        <w:numPr>
          <w:ilvl w:val="0"/>
          <w:numId w:val="1015"/>
        </w:numPr>
        <w:pStyle w:val="Compact"/>
      </w:pPr>
      <w:r>
        <w:t xml:space="preserve">evite afirmaciones sin respaldo;</w:t>
      </w:r>
    </w:p>
    <w:p>
      <w:pPr>
        <w:numPr>
          <w:ilvl w:val="0"/>
          <w:numId w:val="1015"/>
        </w:numPr>
        <w:pStyle w:val="Compact"/>
      </w:pPr>
      <w:r>
        <w:t xml:space="preserve">siga requisitos de marca y estilo;</w:t>
      </w:r>
    </w:p>
    <w:p>
      <w:pPr>
        <w:numPr>
          <w:ilvl w:val="0"/>
          <w:numId w:val="1015"/>
        </w:numPr>
        <w:pStyle w:val="Compact"/>
      </w:pPr>
      <w:r>
        <w:t xml:space="preserve">incluya encabezados y enlaces descriptivos;</w:t>
      </w:r>
    </w:p>
    <w:p>
      <w:pPr>
        <w:numPr>
          <w:ilvl w:val="0"/>
          <w:numId w:val="1015"/>
        </w:numPr>
        <w:pStyle w:val="Compact"/>
      </w:pPr>
      <w:r>
        <w:t xml:space="preserve">use una estructura accesible;</w:t>
      </w:r>
    </w:p>
    <w:p>
      <w:pPr>
        <w:numPr>
          <w:ilvl w:val="0"/>
          <w:numId w:val="1015"/>
        </w:numPr>
        <w:pStyle w:val="Compact"/>
      </w:pPr>
      <w:r>
        <w:t xml:space="preserve">no exponga información confidencial.</w:t>
      </w:r>
    </w:p>
    <w:bookmarkEnd w:id="38"/>
    <w:bookmarkStart w:id="39" w:name="Xe2afaa3ec66cfe717823f062d482fed689dc4fb"/>
    <w:p>
      <w:pPr>
        <w:pStyle w:val="Heading3"/>
      </w:pPr>
      <w:r>
        <w:t xml:space="preserve">4. Verificar</w:t>
      </w:r>
    </w:p>
    <w:p>
      <w:pPr>
        <w:pStyle w:val="FirstParagraph"/>
      </w:pPr>
      <w:r>
        <w:t xml:space="preserve">Antes de solicitar aprobación, revise:</w:t>
      </w:r>
    </w:p>
    <w:p>
      <w:pPr>
        <w:numPr>
          <w:ilvl w:val="0"/>
          <w:numId w:val="1016"/>
        </w:numPr>
        <w:pStyle w:val="Compact"/>
      </w:pPr>
      <w:r>
        <w:t xml:space="preserve">nombres y cargos;</w:t>
      </w:r>
    </w:p>
    <w:p>
      <w:pPr>
        <w:numPr>
          <w:ilvl w:val="0"/>
          <w:numId w:val="1016"/>
        </w:numPr>
        <w:pStyle w:val="Compact"/>
      </w:pPr>
      <w:r>
        <w:t xml:space="preserve">fechas y horas;</w:t>
      </w:r>
    </w:p>
    <w:p>
      <w:pPr>
        <w:numPr>
          <w:ilvl w:val="0"/>
          <w:numId w:val="1016"/>
        </w:numPr>
        <w:pStyle w:val="Compact"/>
      </w:pPr>
      <w:r>
        <w:t xml:space="preserve">lugares;</w:t>
      </w:r>
    </w:p>
    <w:p>
      <w:pPr>
        <w:numPr>
          <w:ilvl w:val="0"/>
          <w:numId w:val="1016"/>
        </w:numPr>
        <w:pStyle w:val="Compact"/>
      </w:pPr>
      <w:r>
        <w:t xml:space="preserve">citas;</w:t>
      </w:r>
    </w:p>
    <w:p>
      <w:pPr>
        <w:numPr>
          <w:ilvl w:val="0"/>
          <w:numId w:val="1016"/>
        </w:numPr>
        <w:pStyle w:val="Compact"/>
      </w:pPr>
      <w:r>
        <w:t xml:space="preserve">estadísticas;</w:t>
      </w:r>
    </w:p>
    <w:p>
      <w:pPr>
        <w:numPr>
          <w:ilvl w:val="0"/>
          <w:numId w:val="1016"/>
        </w:numPr>
        <w:pStyle w:val="Compact"/>
      </w:pPr>
      <w:r>
        <w:t xml:space="preserve">enlaces;</w:t>
      </w:r>
    </w:p>
    <w:p>
      <w:pPr>
        <w:numPr>
          <w:ilvl w:val="0"/>
          <w:numId w:val="1016"/>
        </w:numPr>
        <w:pStyle w:val="Compact"/>
      </w:pPr>
      <w:r>
        <w:t xml:space="preserve">permisos de imágenes y activos;</w:t>
      </w:r>
    </w:p>
    <w:p>
      <w:pPr>
        <w:numPr>
          <w:ilvl w:val="0"/>
          <w:numId w:val="1016"/>
        </w:numPr>
        <w:pStyle w:val="Compact"/>
      </w:pPr>
      <w:r>
        <w:t xml:space="preserve">información de contacto;</w:t>
      </w:r>
    </w:p>
    <w:p>
      <w:pPr>
        <w:numPr>
          <w:ilvl w:val="0"/>
          <w:numId w:val="1016"/>
        </w:numPr>
        <w:pStyle w:val="Compact"/>
      </w:pPr>
      <w:r>
        <w:t xml:space="preserve">afirmaciones aprobadas;</w:t>
      </w:r>
    </w:p>
    <w:p>
      <w:pPr>
        <w:numPr>
          <w:ilvl w:val="0"/>
          <w:numId w:val="1016"/>
        </w:numPr>
        <w:pStyle w:val="Compact"/>
      </w:pPr>
      <w:r>
        <w:t xml:space="preserve">divulgaciones de patrocinio o respaldo cuando correspondan;</w:t>
      </w:r>
    </w:p>
    <w:p>
      <w:pPr>
        <w:numPr>
          <w:ilvl w:val="0"/>
          <w:numId w:val="1016"/>
        </w:numPr>
        <w:pStyle w:val="Compact"/>
      </w:pPr>
      <w:r>
        <w:t xml:space="preserve">elementos de accesibilidad;</w:t>
      </w:r>
    </w:p>
    <w:p>
      <w:pPr>
        <w:numPr>
          <w:ilvl w:val="0"/>
          <w:numId w:val="1016"/>
        </w:numPr>
        <w:pStyle w:val="Compact"/>
      </w:pPr>
      <w:r>
        <w:t xml:space="preserve">privacidad y confidencialidad;</w:t>
      </w:r>
    </w:p>
    <w:p>
      <w:pPr>
        <w:numPr>
          <w:ilvl w:val="0"/>
          <w:numId w:val="1016"/>
        </w:numPr>
        <w:pStyle w:val="Compact"/>
      </w:pPr>
      <w:r>
        <w:t xml:space="preserve">revisión legal o de cumplimiento requerida.</w:t>
      </w:r>
    </w:p>
    <w:bookmarkEnd w:id="39"/>
    <w:bookmarkStart w:id="40" w:name="X97e1e72b534d2987413a74317deaac34be74c2f"/>
    <w:p>
      <w:pPr>
        <w:pStyle w:val="Heading3"/>
      </w:pPr>
      <w:r>
        <w:t xml:space="preserve">5. Aprobar</w:t>
      </w:r>
    </w:p>
    <w:p>
      <w:pPr>
        <w:pStyle w:val="FirstParagraph"/>
      </w:pPr>
      <w:r>
        <w:t xml:space="preserve">Use el proceso de aprobación de la organización. No trate un mensaje de chat, comentario informal o borrador de IA como aprobación final, salvo que la política organizacional lo reconozca expresamente.</w:t>
      </w:r>
    </w:p>
    <w:bookmarkEnd w:id="40"/>
    <w:bookmarkStart w:id="41" w:name="Xdd6c8c585eefaaa8499656297e294ee2cf9bc21"/>
    <w:p>
      <w:pPr>
        <w:pStyle w:val="Heading3"/>
      </w:pPr>
      <w:r>
        <w:t xml:space="preserve">6. Publicar o distribuir</w:t>
      </w:r>
    </w:p>
    <w:p>
      <w:pPr>
        <w:pStyle w:val="FirstParagraph"/>
      </w:pPr>
      <w:r>
        <w:t xml:space="preserve">Use cuentas y sistemas aprobados. Confirme audiencia, canal, fecha, archivos adjuntos, enlaces y permisos de acceso antes de enviar o publicar.</w:t>
      </w:r>
    </w:p>
    <w:bookmarkEnd w:id="41"/>
    <w:bookmarkStart w:id="42" w:name="X42591f3d67268e4782fa8414d25b878ed053284"/>
    <w:p>
      <w:pPr>
        <w:pStyle w:val="Heading3"/>
      </w:pPr>
      <w:r>
        <w:t xml:space="preserve">7. Monitorear y corregir</w:t>
      </w:r>
    </w:p>
    <w:p>
      <w:pPr>
        <w:pStyle w:val="FirstParagraph"/>
      </w:pPr>
      <w:r>
        <w:t xml:space="preserve">Monitoree respuestas, cobertura, problemas de entrega o errores. Si se requiere una corrección, preserve el registro, informe al responsable y siga el proceso aprobado de corrección en lugar de cambiar silenciosamente información importante sin documentación.</w:t>
      </w:r>
    </w:p>
    <w:bookmarkEnd w:id="42"/>
    <w:bookmarkStart w:id="43" w:name="Xda69cf3bd8c35133af90b1aba0d959f73a79719"/>
    <w:p>
      <w:pPr>
        <w:pStyle w:val="Heading3"/>
      </w:pPr>
      <w:r>
        <w:t xml:space="preserve">8. Cerrar y aprender</w:t>
      </w:r>
    </w:p>
    <w:p>
      <w:pPr>
        <w:pStyle w:val="FirstParagraph"/>
      </w:pPr>
      <w:r>
        <w:t xml:space="preserve">Archive los registros requeridos, retire accesos temporales cuando corresponda, resuma resultados, documente lecciones aprendidas y actualice plantillas o listas reutilizables.</w:t>
      </w:r>
    </w:p>
    <w:bookmarkEnd w:id="43"/>
    <w:bookmarkEnd w:id="44"/>
    <w:bookmarkStart w:id="45" w:name="X74d73751763b0093b0c7094489c28cf257bfa31"/>
    <w:p>
      <w:pPr>
        <w:pStyle w:val="Heading2"/>
      </w:pPr>
      <w:r>
        <w:t xml:space="preserve">Relaciones con medios y verificación de fuentes</w:t>
      </w:r>
    </w:p>
    <w:p>
      <w:pPr>
        <w:pStyle w:val="FirstParagraph"/>
      </w:pPr>
      <w:r>
        <w:t xml:space="preserve">Las relaciones con medios pueden involucrar periodistas, editores, productores, blogueros, creadores, medios comunitarios, publicaciones especializadas y equipos internos de medios.</w:t>
      </w:r>
    </w:p>
    <w:p>
      <w:pPr>
        <w:pStyle w:val="BodyText"/>
      </w:pPr>
      <w:r>
        <w:t xml:space="preserve">Una persona junior puede apoyar las relaciones con medios al:</w:t>
      </w:r>
    </w:p>
    <w:p>
      <w:pPr>
        <w:numPr>
          <w:ilvl w:val="0"/>
          <w:numId w:val="1017"/>
        </w:numPr>
        <w:pStyle w:val="Compact"/>
      </w:pPr>
      <w:r>
        <w:t xml:space="preserve">mantener registros de contacto precisos;</w:t>
      </w:r>
    </w:p>
    <w:p>
      <w:pPr>
        <w:numPr>
          <w:ilvl w:val="0"/>
          <w:numId w:val="1017"/>
        </w:numPr>
        <w:pStyle w:val="Compact"/>
      </w:pPr>
      <w:r>
        <w:t xml:space="preserve">preparar material de antecedentes aprobado;</w:t>
      </w:r>
    </w:p>
    <w:p>
      <w:pPr>
        <w:numPr>
          <w:ilvl w:val="0"/>
          <w:numId w:val="1017"/>
        </w:numPr>
        <w:pStyle w:val="Compact"/>
      </w:pPr>
      <w:r>
        <w:t xml:space="preserve">dar seguimiento a consultas y plazos;</w:t>
      </w:r>
    </w:p>
    <w:p>
      <w:pPr>
        <w:numPr>
          <w:ilvl w:val="0"/>
          <w:numId w:val="1017"/>
        </w:numPr>
        <w:pStyle w:val="Compact"/>
      </w:pPr>
      <w:r>
        <w:t xml:space="preserve">coordinar logística de entrevistas;</w:t>
      </w:r>
    </w:p>
    <w:p>
      <w:pPr>
        <w:numPr>
          <w:ilvl w:val="0"/>
          <w:numId w:val="1017"/>
        </w:numPr>
        <w:pStyle w:val="Compact"/>
      </w:pPr>
      <w:r>
        <w:t xml:space="preserve">distribuir materiales de prensa aprobados;</w:t>
      </w:r>
    </w:p>
    <w:p>
      <w:pPr>
        <w:numPr>
          <w:ilvl w:val="0"/>
          <w:numId w:val="1017"/>
        </w:numPr>
        <w:pStyle w:val="Compact"/>
      </w:pPr>
      <w:r>
        <w:t xml:space="preserve">monitorear cobertura publicada;</w:t>
      </w:r>
    </w:p>
    <w:p>
      <w:pPr>
        <w:numPr>
          <w:ilvl w:val="0"/>
          <w:numId w:val="1017"/>
        </w:numPr>
        <w:pStyle w:val="Compact"/>
      </w:pPr>
      <w:r>
        <w:t xml:space="preserve">señalar inexactitudes o asuntos urgentes para revisión;</w:t>
      </w:r>
    </w:p>
    <w:p>
      <w:pPr>
        <w:numPr>
          <w:ilvl w:val="0"/>
          <w:numId w:val="1017"/>
        </w:numPr>
        <w:pStyle w:val="Compact"/>
      </w:pPr>
      <w:r>
        <w:t xml:space="preserve">preservar instrucciones de embargo o confidencialidad.</w:t>
      </w:r>
    </w:p>
    <w:p>
      <w:pPr>
        <w:pStyle w:val="FirstParagraph"/>
      </w:pPr>
      <w:r>
        <w:t xml:space="preserve">No asuma que toda persona que afirma ser periodista es legítima. Verifique solicitudes inusuales mediante información de contacto establecida o canales oficiales del medio, especialmente cuando involucren horarios de ejecutivos, documentos internos, información de empleados, credenciales, productos no lanzados, información financiera o acceso urgente a cuentas.</w:t>
      </w:r>
    </w:p>
    <w:bookmarkEnd w:id="45"/>
    <w:bookmarkStart w:id="46" w:name="comunicaciones-internas"/>
    <w:p>
      <w:pPr>
        <w:pStyle w:val="Heading2"/>
      </w:pPr>
      <w:r>
        <w:t xml:space="preserve">Comunicaciones internas</w:t>
      </w:r>
    </w:p>
    <w:p>
      <w:pPr>
        <w:pStyle w:val="FirstParagraph"/>
      </w:pPr>
      <w:r>
        <w:t xml:space="preserve">Las comunicaciones internas pueden incluir mensajes de liderazgo, actualizaciones de políticas, avisos operativos, boletines, contenido de intranet, anuncios de capacitación, eventos de empleados, cambios organizacionales, información de beneficios y avisos de emergencia.</w:t>
      </w:r>
    </w:p>
    <w:p>
      <w:pPr>
        <w:pStyle w:val="BodyText"/>
      </w:pPr>
      <w:r>
        <w:t xml:space="preserve">Controles importantes incluyen:</w:t>
      </w:r>
    </w:p>
    <w:p>
      <w:pPr>
        <w:numPr>
          <w:ilvl w:val="0"/>
          <w:numId w:val="1018"/>
        </w:numPr>
        <w:pStyle w:val="Compact"/>
      </w:pPr>
      <w:r>
        <w:t xml:space="preserve">confirmar al remitente autorizado;</w:t>
      </w:r>
    </w:p>
    <w:p>
      <w:pPr>
        <w:numPr>
          <w:ilvl w:val="0"/>
          <w:numId w:val="1018"/>
        </w:numPr>
        <w:pStyle w:val="Compact"/>
      </w:pPr>
      <w:r>
        <w:t xml:space="preserve">confirmar la audiencia prevista;</w:t>
      </w:r>
    </w:p>
    <w:p>
      <w:pPr>
        <w:numPr>
          <w:ilvl w:val="0"/>
          <w:numId w:val="1018"/>
        </w:numPr>
        <w:pStyle w:val="Compact"/>
      </w:pPr>
      <w:r>
        <w:t xml:space="preserve">separar borradores de versiones finales;</w:t>
      </w:r>
    </w:p>
    <w:p>
      <w:pPr>
        <w:numPr>
          <w:ilvl w:val="0"/>
          <w:numId w:val="1018"/>
        </w:numPr>
        <w:pStyle w:val="Compact"/>
      </w:pPr>
      <w:r>
        <w:t xml:space="preserve">verificar fechas, enlaces, adjuntos e información de contacto;</w:t>
      </w:r>
    </w:p>
    <w:p>
      <w:pPr>
        <w:numPr>
          <w:ilvl w:val="0"/>
          <w:numId w:val="1018"/>
        </w:numPr>
        <w:pStyle w:val="Compact"/>
      </w:pPr>
      <w:r>
        <w:t xml:space="preserve">coordinar información sensible de recursos humanos, legal, seguridad, finanzas o seguridad física con la función responsable;</w:t>
      </w:r>
    </w:p>
    <w:p>
      <w:pPr>
        <w:numPr>
          <w:ilvl w:val="0"/>
          <w:numId w:val="1018"/>
        </w:numPr>
        <w:pStyle w:val="Compact"/>
      </w:pPr>
      <w:r>
        <w:t xml:space="preserve">evitar distribuir datos personales de empleados más allá de la necesidad aprobada;</w:t>
      </w:r>
    </w:p>
    <w:p>
      <w:pPr>
        <w:numPr>
          <w:ilvl w:val="0"/>
          <w:numId w:val="1018"/>
        </w:numPr>
        <w:pStyle w:val="Compact"/>
      </w:pPr>
      <w:r>
        <w:t xml:space="preserve">proporcionar formatos accesibles cuando se requiera;</w:t>
      </w:r>
    </w:p>
    <w:p>
      <w:pPr>
        <w:numPr>
          <w:ilvl w:val="0"/>
          <w:numId w:val="1018"/>
        </w:numPr>
        <w:pStyle w:val="Compact"/>
      </w:pPr>
      <w:r>
        <w:t xml:space="preserve">conservar registros según la política.</w:t>
      </w:r>
    </w:p>
    <w:p>
      <w:pPr>
        <w:pStyle w:val="FirstParagraph"/>
      </w:pPr>
      <w:r>
        <w:t xml:space="preserve">Un asistente no debe inventar políticas ni responder preguntas sensibles de empleados más allá del material fuente aprobado.</w:t>
      </w:r>
    </w:p>
    <w:bookmarkEnd w:id="46"/>
    <w:bookmarkStart w:id="47" w:name="X3b77ebefe33b43364ab13d1b1cee20a8b34d556"/>
    <w:p>
      <w:pPr>
        <w:pStyle w:val="Heading2"/>
      </w:pPr>
      <w:r>
        <w:t xml:space="preserve">Redes sociales y apoyo a comunidades en línea</w:t>
      </w:r>
    </w:p>
    <w:p>
      <w:pPr>
        <w:pStyle w:val="FirstParagraph"/>
      </w:pPr>
      <w:r>
        <w:t xml:space="preserve">Los coordinadores de comunicaciones pueden ayudar a administrar cuentas sociales oficiales. Las responsabilidades prácticas pueden incluir programar contenido, monitorear comentarios, escalar quejas o amenazas, mantener un calendario de contenido, coordinar aprobaciones y reportar métricas.</w:t>
      </w:r>
    </w:p>
    <w:p>
      <w:pPr>
        <w:pStyle w:val="BodyText"/>
      </w:pPr>
      <w:r>
        <w:t xml:space="preserve">Los controles de cuentas importan porque una cuenta social comprometida puede causar daño reputacional y de seguridad. Use autenticación aprobada por el empleador, MFA, acceso de privilegio mínimo, propiedad documentada y procedimientos de recuperación de cuentas.</w:t>
      </w:r>
    </w:p>
    <w:p>
      <w:pPr>
        <w:pStyle w:val="BodyText"/>
      </w:pPr>
      <w:r>
        <w:t xml:space="preserve">No:</w:t>
      </w:r>
    </w:p>
    <w:p>
      <w:pPr>
        <w:numPr>
          <w:ilvl w:val="0"/>
          <w:numId w:val="1019"/>
        </w:numPr>
        <w:pStyle w:val="Compact"/>
      </w:pPr>
      <w:r>
        <w:t xml:space="preserve">comparta contraseñas por canales no aprobados;</w:t>
      </w:r>
    </w:p>
    <w:p>
      <w:pPr>
        <w:numPr>
          <w:ilvl w:val="0"/>
          <w:numId w:val="1019"/>
        </w:numPr>
        <w:pStyle w:val="Compact"/>
      </w:pPr>
      <w:r>
        <w:t xml:space="preserve">use cuentas personales como sustitutos ocultos de cuentas oficiales;</w:t>
      </w:r>
    </w:p>
    <w:p>
      <w:pPr>
        <w:numPr>
          <w:ilvl w:val="0"/>
          <w:numId w:val="1019"/>
        </w:numPr>
        <w:pStyle w:val="Compact"/>
      </w:pPr>
      <w:r>
        <w:t xml:space="preserve">elimine críticas solo porque resultan incómodas, salvo que la política respalde la moderación;</w:t>
      </w:r>
    </w:p>
    <w:p>
      <w:pPr>
        <w:numPr>
          <w:ilvl w:val="0"/>
          <w:numId w:val="1019"/>
        </w:numPr>
        <w:pStyle w:val="Compact"/>
      </w:pPr>
      <w:r>
        <w:t xml:space="preserve">cree respaldos falsos o apoyo comunitario falso;</w:t>
      </w:r>
    </w:p>
    <w:p>
      <w:pPr>
        <w:numPr>
          <w:ilvl w:val="0"/>
          <w:numId w:val="1019"/>
        </w:numPr>
        <w:pStyle w:val="Compact"/>
      </w:pPr>
      <w:r>
        <w:t xml:space="preserve">divulgue información privada en una respuesta pública;</w:t>
      </w:r>
    </w:p>
    <w:p>
      <w:pPr>
        <w:numPr>
          <w:ilvl w:val="0"/>
          <w:numId w:val="1019"/>
        </w:numPr>
        <w:pStyle w:val="Compact"/>
      </w:pPr>
      <w:r>
        <w:t xml:space="preserve">discuta con usuarios de una manera que exceda el tono o la autoridad aprobados;</w:t>
      </w:r>
    </w:p>
    <w:p>
      <w:pPr>
        <w:numPr>
          <w:ilvl w:val="0"/>
          <w:numId w:val="1019"/>
        </w:numPr>
        <w:pStyle w:val="Compact"/>
      </w:pPr>
      <w:r>
        <w:t xml:space="preserve">haga promesas que operaciones, legal, recursos humanos, servicio al cliente u otra función no hayan aprobado.</w:t>
      </w:r>
    </w:p>
    <w:bookmarkEnd w:id="47"/>
    <w:bookmarkStart w:id="48" w:name="accesibilidad-y-comunicación-inclusiva"/>
    <w:p>
      <w:pPr>
        <w:pStyle w:val="Heading2"/>
      </w:pPr>
      <w:r>
        <w:t xml:space="preserve">Accesibilidad y comunicación inclusiva</w:t>
      </w:r>
    </w:p>
    <w:p>
      <w:pPr>
        <w:pStyle w:val="FirstParagraph"/>
      </w:pPr>
      <w:r>
        <w:t xml:space="preserve">La comunicación accesible debe planificarse desde el principio.</w:t>
      </w:r>
    </w:p>
    <w:p>
      <w:pPr>
        <w:pStyle w:val="BodyText"/>
      </w:pPr>
      <w:r>
        <w:t xml:space="preserve">Técnicas prácticas incluyen:</w:t>
      </w:r>
    </w:p>
    <w:p>
      <w:pPr>
        <w:numPr>
          <w:ilvl w:val="0"/>
          <w:numId w:val="1020"/>
        </w:numPr>
        <w:pStyle w:val="Compact"/>
      </w:pPr>
      <w:r>
        <w:t xml:space="preserve">encabezados descriptivos;</w:t>
      </w:r>
    </w:p>
    <w:p>
      <w:pPr>
        <w:numPr>
          <w:ilvl w:val="0"/>
          <w:numId w:val="1020"/>
        </w:numPr>
        <w:pStyle w:val="Compact"/>
      </w:pPr>
      <w:r>
        <w:t xml:space="preserve">lenguaje claro;</w:t>
      </w:r>
    </w:p>
    <w:p>
      <w:pPr>
        <w:numPr>
          <w:ilvl w:val="0"/>
          <w:numId w:val="1020"/>
        </w:numPr>
        <w:pStyle w:val="Compact"/>
      </w:pPr>
      <w:r>
        <w:t xml:space="preserve">texto significativo para enlaces;</w:t>
      </w:r>
    </w:p>
    <w:p>
      <w:pPr>
        <w:numPr>
          <w:ilvl w:val="0"/>
          <w:numId w:val="1020"/>
        </w:numPr>
        <w:pStyle w:val="Compact"/>
      </w:pPr>
      <w:r>
        <w:t xml:space="preserve">texto alternativo para imágenes informativas cuando corresponda;</w:t>
      </w:r>
    </w:p>
    <w:p>
      <w:pPr>
        <w:numPr>
          <w:ilvl w:val="0"/>
          <w:numId w:val="1020"/>
        </w:numPr>
        <w:pStyle w:val="Compact"/>
      </w:pPr>
      <w:r>
        <w:t xml:space="preserve">subtítulos o transcripciones para video y audio cuando se requieran o sean viables;</w:t>
      </w:r>
    </w:p>
    <w:p>
      <w:pPr>
        <w:numPr>
          <w:ilvl w:val="0"/>
          <w:numId w:val="1020"/>
        </w:numPr>
        <w:pStyle w:val="Compact"/>
      </w:pPr>
      <w:r>
        <w:t xml:space="preserve">tamaños de fuente legibles y contraste suficiente;</w:t>
      </w:r>
    </w:p>
    <w:p>
      <w:pPr>
        <w:numPr>
          <w:ilvl w:val="0"/>
          <w:numId w:val="1020"/>
        </w:numPr>
        <w:pStyle w:val="Compact"/>
      </w:pPr>
      <w:r>
        <w:t xml:space="preserve">evitar texto solo dentro de imágenes cuando pueda ofrecerse una alternativa textual;</w:t>
      </w:r>
    </w:p>
    <w:p>
      <w:pPr>
        <w:numPr>
          <w:ilvl w:val="0"/>
          <w:numId w:val="1020"/>
        </w:numPr>
        <w:pStyle w:val="Compact"/>
      </w:pPr>
      <w:r>
        <w:t xml:space="preserve">estructura accesible en documentos;</w:t>
      </w:r>
    </w:p>
    <w:p>
      <w:pPr>
        <w:numPr>
          <w:ilvl w:val="0"/>
          <w:numId w:val="1020"/>
        </w:numPr>
        <w:pStyle w:val="Compact"/>
      </w:pPr>
      <w:r>
        <w:t xml:space="preserve">contenido web utilizable con teclado cuando esté bajo control del trabajador;</w:t>
      </w:r>
    </w:p>
    <w:p>
      <w:pPr>
        <w:numPr>
          <w:ilvl w:val="0"/>
          <w:numId w:val="1020"/>
        </w:numPr>
        <w:pStyle w:val="Compact"/>
      </w:pPr>
      <w:r>
        <w:t xml:space="preserve">registro accesible para eventos y métodos de contacto para solicitar ajustes;</w:t>
      </w:r>
    </w:p>
    <w:p>
      <w:pPr>
        <w:numPr>
          <w:ilvl w:val="0"/>
          <w:numId w:val="1020"/>
        </w:numPr>
        <w:pStyle w:val="Compact"/>
      </w:pPr>
      <w:r>
        <w:t xml:space="preserve">evitar recopilar información médica o de discapacidad innecesaria.</w:t>
      </w:r>
    </w:p>
    <w:p>
      <w:pPr>
        <w:pStyle w:val="FirstParagraph"/>
      </w:pPr>
      <w:r>
        <w:t xml:space="preserve">La guía de accesibilidad web del Departamento de Justicia de Estados Unidos es una referencia útil, pero las obligaciones varían según la organización y jurisdicción. Esta guía no certifica que una comunicación, sitio web, evento o documento sea legalmente accesible.</w:t>
      </w:r>
    </w:p>
    <w:bookmarkEnd w:id="48"/>
    <w:bookmarkStart w:id="49" w:name="privacidad-confidencialidad-y-registros"/>
    <w:p>
      <w:pPr>
        <w:pStyle w:val="Heading2"/>
      </w:pPr>
      <w:r>
        <w:t xml:space="preserve">Privacidad, confidencialidad y registros</w:t>
      </w:r>
    </w:p>
    <w:p>
      <w:pPr>
        <w:pStyle w:val="FirstParagraph"/>
      </w:pPr>
      <w:r>
        <w:t xml:space="preserve">Los equipos de comunicaciones pueden manejar:</w:t>
      </w:r>
    </w:p>
    <w:p>
      <w:pPr>
        <w:numPr>
          <w:ilvl w:val="0"/>
          <w:numId w:val="1021"/>
        </w:numPr>
        <w:pStyle w:val="Compact"/>
      </w:pPr>
      <w:r>
        <w:t xml:space="preserve">nombres e información de contacto de empleados;</w:t>
      </w:r>
    </w:p>
    <w:p>
      <w:pPr>
        <w:numPr>
          <w:ilvl w:val="0"/>
          <w:numId w:val="1021"/>
        </w:numPr>
        <w:pStyle w:val="Compact"/>
      </w:pPr>
      <w:r>
        <w:t xml:space="preserve">listas de contactos de medios;</w:t>
      </w:r>
    </w:p>
    <w:p>
      <w:pPr>
        <w:numPr>
          <w:ilvl w:val="0"/>
          <w:numId w:val="1021"/>
        </w:numPr>
        <w:pStyle w:val="Compact"/>
      </w:pPr>
      <w:r>
        <w:t xml:space="preserve">horarios ejecutivos;</w:t>
      </w:r>
    </w:p>
    <w:p>
      <w:pPr>
        <w:numPr>
          <w:ilvl w:val="0"/>
          <w:numId w:val="1021"/>
        </w:numPr>
        <w:pStyle w:val="Compact"/>
      </w:pPr>
      <w:r>
        <w:t xml:space="preserve">anuncios bajo embargo;</w:t>
      </w:r>
    </w:p>
    <w:p>
      <w:pPr>
        <w:numPr>
          <w:ilvl w:val="0"/>
          <w:numId w:val="1021"/>
        </w:numPr>
        <w:pStyle w:val="Compact"/>
      </w:pPr>
      <w:r>
        <w:t xml:space="preserve">información de productos no lanzados;</w:t>
      </w:r>
    </w:p>
    <w:p>
      <w:pPr>
        <w:numPr>
          <w:ilvl w:val="0"/>
          <w:numId w:val="1021"/>
        </w:numPr>
        <w:pStyle w:val="Compact"/>
      </w:pPr>
      <w:r>
        <w:t xml:space="preserve">registros de clientes o donantes;</w:t>
      </w:r>
    </w:p>
    <w:p>
      <w:pPr>
        <w:numPr>
          <w:ilvl w:val="0"/>
          <w:numId w:val="1021"/>
        </w:numPr>
        <w:pStyle w:val="Compact"/>
      </w:pPr>
      <w:r>
        <w:t xml:space="preserve">información de asistentes a eventos;</w:t>
      </w:r>
    </w:p>
    <w:p>
      <w:pPr>
        <w:numPr>
          <w:ilvl w:val="0"/>
          <w:numId w:val="1021"/>
        </w:numPr>
        <w:pStyle w:val="Compact"/>
      </w:pPr>
      <w:r>
        <w:t xml:space="preserve">fotografías y grabaciones;</w:t>
      </w:r>
    </w:p>
    <w:p>
      <w:pPr>
        <w:numPr>
          <w:ilvl w:val="0"/>
          <w:numId w:val="1021"/>
        </w:numPr>
        <w:pStyle w:val="Compact"/>
      </w:pPr>
      <w:r>
        <w:t xml:space="preserve">documentos de estrategia interna;</w:t>
      </w:r>
    </w:p>
    <w:p>
      <w:pPr>
        <w:numPr>
          <w:ilvl w:val="0"/>
          <w:numId w:val="1021"/>
        </w:numPr>
        <w:pStyle w:val="Compact"/>
      </w:pPr>
      <w:r>
        <w:t xml:space="preserve">información de crisis o incidentes;</w:t>
      </w:r>
    </w:p>
    <w:p>
      <w:pPr>
        <w:numPr>
          <w:ilvl w:val="0"/>
          <w:numId w:val="1021"/>
        </w:numPr>
        <w:pStyle w:val="Compact"/>
      </w:pPr>
      <w:r>
        <w:t xml:space="preserve">borradores legales o regulatorios;</w:t>
      </w:r>
    </w:p>
    <w:p>
      <w:pPr>
        <w:numPr>
          <w:ilvl w:val="0"/>
          <w:numId w:val="1021"/>
        </w:numPr>
        <w:pStyle w:val="Compact"/>
      </w:pPr>
      <w:r>
        <w:t xml:space="preserve">material financiero o relacionado con inversionistas.</w:t>
      </w:r>
    </w:p>
    <w:p>
      <w:pPr>
        <w:pStyle w:val="FirstParagraph"/>
      </w:pPr>
      <w:r>
        <w:t xml:space="preserve">Use sistemas aprobados, recopile solo lo necesario, restrinja el acceso, verifique destinatarios antes de enviar y siga reglas de retención y eliminación. Nunca asuma que la información es segura para publicar solo porque aparece en un correo, unidad compartida, conversación con IA o borrador.</w:t>
      </w:r>
    </w:p>
    <w:bookmarkEnd w:id="49"/>
    <w:bookmarkStart w:id="50" w:name="Xc1141326f6729c77b7900f31f5e8337c431a679"/>
    <w:p>
      <w:pPr>
        <w:pStyle w:val="Heading2"/>
      </w:pPr>
      <w:r>
        <w:t xml:space="preserve">Ciberseguridad para el trabajo de comunicaciones</w:t>
      </w:r>
    </w:p>
    <w:p>
      <w:pPr>
        <w:pStyle w:val="FirstParagraph"/>
      </w:pPr>
      <w:r>
        <w:t xml:space="preserve">La guía Secure Our World de CISA enfatiza reconocer phishing, usar contraseñas sólidas y administradores de contraseñas, activar autenticación multifactor y mantener el software actualizado.</w:t>
      </w:r>
    </w:p>
    <w:p>
      <w:pPr>
        <w:pStyle w:val="BodyText"/>
      </w:pPr>
      <w:r>
        <w:t xml:space="preserve">Hábitos prácticos incluyen:</w:t>
      </w:r>
    </w:p>
    <w:p>
      <w:pPr>
        <w:numPr>
          <w:ilvl w:val="0"/>
          <w:numId w:val="1022"/>
        </w:numPr>
        <w:pStyle w:val="Compact"/>
      </w:pPr>
      <w:r>
        <w:t xml:space="preserve">activar MFA en cuentas de comunicación y redes aprobadas;</w:t>
      </w:r>
    </w:p>
    <w:p>
      <w:pPr>
        <w:numPr>
          <w:ilvl w:val="0"/>
          <w:numId w:val="1022"/>
        </w:numPr>
        <w:pStyle w:val="Compact"/>
      </w:pPr>
      <w:r>
        <w:t xml:space="preserve">usar credenciales únicas y administradores de contraseñas aprobados;</w:t>
      </w:r>
    </w:p>
    <w:p>
      <w:pPr>
        <w:numPr>
          <w:ilvl w:val="0"/>
          <w:numId w:val="1022"/>
        </w:numPr>
        <w:pStyle w:val="Compact"/>
      </w:pPr>
      <w:r>
        <w:t xml:space="preserve">verificar solicitudes inesperadas de restablecimiento de contraseña o acceso;</w:t>
      </w:r>
    </w:p>
    <w:p>
      <w:pPr>
        <w:numPr>
          <w:ilvl w:val="0"/>
          <w:numId w:val="1022"/>
        </w:numPr>
        <w:pStyle w:val="Compact"/>
      </w:pPr>
      <w:r>
        <w:t xml:space="preserve">verificar invitaciones inusuales para compartir archivos;</w:t>
      </w:r>
    </w:p>
    <w:p>
      <w:pPr>
        <w:numPr>
          <w:ilvl w:val="0"/>
          <w:numId w:val="1022"/>
        </w:numPr>
        <w:pStyle w:val="Compact"/>
      </w:pPr>
      <w:r>
        <w:t xml:space="preserve">verificar de manera independiente solicitudes urgentes sobre dinero, credenciales, mensajes ejecutivos o cambios de publicación;</w:t>
      </w:r>
    </w:p>
    <w:p>
      <w:pPr>
        <w:numPr>
          <w:ilvl w:val="0"/>
          <w:numId w:val="1022"/>
        </w:numPr>
        <w:pStyle w:val="Compact"/>
      </w:pPr>
      <w:r>
        <w:t xml:space="preserve">confirmar solicitudes inusuales de medios mediante canales de contacto conocidos;</w:t>
      </w:r>
    </w:p>
    <w:p>
      <w:pPr>
        <w:numPr>
          <w:ilvl w:val="0"/>
          <w:numId w:val="1022"/>
        </w:numPr>
        <w:pStyle w:val="Compact"/>
      </w:pPr>
      <w:r>
        <w:t xml:space="preserve">evitar enviar listas o borradores sensibles a correo personal;</w:t>
      </w:r>
    </w:p>
    <w:p>
      <w:pPr>
        <w:numPr>
          <w:ilvl w:val="0"/>
          <w:numId w:val="1022"/>
        </w:numPr>
        <w:pStyle w:val="Compact"/>
      </w:pPr>
      <w:r>
        <w:t xml:space="preserve">no publicar capturas que expongan tokens, direcciones de correo, URLs internas, chats privados o datos personales;</w:t>
      </w:r>
    </w:p>
    <w:p>
      <w:pPr>
        <w:numPr>
          <w:ilvl w:val="0"/>
          <w:numId w:val="1022"/>
        </w:numPr>
        <w:pStyle w:val="Compact"/>
      </w:pPr>
      <w:r>
        <w:t xml:space="preserve">reportar rápidamente sospechas de compromiso o suplantación;</w:t>
      </w:r>
    </w:p>
    <w:p>
      <w:pPr>
        <w:numPr>
          <w:ilvl w:val="0"/>
          <w:numId w:val="1022"/>
        </w:numPr>
        <w:pStyle w:val="Compact"/>
      </w:pPr>
      <w:r>
        <w:t xml:space="preserve">seguir procedimientos aprobados de respuesta a incidentes.</w:t>
      </w:r>
    </w:p>
    <w:bookmarkEnd w:id="50"/>
    <w:bookmarkStart w:id="51" w:name="respaldos-patrocinios-y-reseñas"/>
    <w:p>
      <w:pPr>
        <w:pStyle w:val="Heading2"/>
      </w:pPr>
      <w:r>
        <w:t xml:space="preserve">Respaldos, patrocinios y reseñas</w:t>
      </w:r>
    </w:p>
    <w:p>
      <w:pPr>
        <w:pStyle w:val="FirstParagraph"/>
      </w:pPr>
      <w:r>
        <w:t xml:space="preserve">La Comisión Federal de Comercio de Estados Unidos ofrece orientación sobre respaldos, influenciadores, reseñas y transparencia publicitaria. Pueden existir reglas similares en otras jurisdicciones.</w:t>
      </w:r>
    </w:p>
    <w:p>
      <w:pPr>
        <w:pStyle w:val="BodyText"/>
      </w:pPr>
      <w:r>
        <w:t xml:space="preserve">Un trabajador de comunicaciones debe:</w:t>
      </w:r>
    </w:p>
    <w:p>
      <w:pPr>
        <w:numPr>
          <w:ilvl w:val="0"/>
          <w:numId w:val="1023"/>
        </w:numPr>
        <w:pStyle w:val="Compact"/>
      </w:pPr>
      <w:r>
        <w:t xml:space="preserve">usar lenguaje de divulgación aprobado cuando corresponda;</w:t>
      </w:r>
    </w:p>
    <w:p>
      <w:pPr>
        <w:numPr>
          <w:ilvl w:val="0"/>
          <w:numId w:val="1023"/>
        </w:numPr>
        <w:pStyle w:val="Compact"/>
      </w:pPr>
      <w:r>
        <w:t xml:space="preserve">describir con precisión relaciones materiales;</w:t>
      </w:r>
    </w:p>
    <w:p>
      <w:pPr>
        <w:numPr>
          <w:ilvl w:val="0"/>
          <w:numId w:val="1023"/>
        </w:numPr>
        <w:pStyle w:val="Compact"/>
      </w:pPr>
      <w:r>
        <w:t xml:space="preserve">evitar reseñas o testimonios fabricados;</w:t>
      </w:r>
    </w:p>
    <w:p>
      <w:pPr>
        <w:numPr>
          <w:ilvl w:val="0"/>
          <w:numId w:val="1023"/>
        </w:numPr>
        <w:pStyle w:val="Compact"/>
      </w:pPr>
      <w:r>
        <w:t xml:space="preserve">evitar suprimir o editar reseñas de forma engañosa;</w:t>
      </w:r>
    </w:p>
    <w:p>
      <w:pPr>
        <w:numPr>
          <w:ilvl w:val="0"/>
          <w:numId w:val="1023"/>
        </w:numPr>
        <w:pStyle w:val="Compact"/>
      </w:pPr>
      <w:r>
        <w:t xml:space="preserve">conservar evidencia que respalde afirmaciones aprobadas;</w:t>
      </w:r>
    </w:p>
    <w:p>
      <w:pPr>
        <w:numPr>
          <w:ilvl w:val="0"/>
          <w:numId w:val="1023"/>
        </w:numPr>
        <w:pStyle w:val="Compact"/>
      </w:pPr>
      <w:r>
        <w:t xml:space="preserve">remitir casos dudosos a legal/cumplimiento o al gerente responsable.</w:t>
      </w:r>
    </w:p>
    <w:p>
      <w:pPr>
        <w:pStyle w:val="FirstParagraph"/>
      </w:pPr>
      <w:r>
        <w:t xml:space="preserve">Esta guía es educativa y no constituye asesoría legal específica para una jurisdicción.</w:t>
      </w:r>
    </w:p>
    <w:bookmarkEnd w:id="51"/>
    <w:bookmarkStart w:id="52" w:name="ia-responsable-en-comunicaciones"/>
    <w:p>
      <w:pPr>
        <w:pStyle w:val="Heading2"/>
      </w:pPr>
      <w:r>
        <w:t xml:space="preserve">IA responsable en comunicaciones</w:t>
      </w:r>
    </w:p>
    <w:p>
      <w:pPr>
        <w:pStyle w:val="FirstParagraph"/>
      </w:pPr>
      <w:r>
        <w:t xml:space="preserve">La IA puede ayudar con tareas de bajo riesgo cuando la organización lo permita.</w:t>
      </w:r>
    </w:p>
    <w:p>
      <w:pPr>
        <w:pStyle w:val="BodyText"/>
      </w:pPr>
      <w:r>
        <w:t xml:space="preserve">Usos posibles incluyen:</w:t>
      </w:r>
    </w:p>
    <w:p>
      <w:pPr>
        <w:numPr>
          <w:ilvl w:val="0"/>
          <w:numId w:val="1024"/>
        </w:numPr>
        <w:pStyle w:val="Compact"/>
      </w:pPr>
      <w:r>
        <w:t xml:space="preserve">generar ideas de titulares;</w:t>
      </w:r>
    </w:p>
    <w:p>
      <w:pPr>
        <w:numPr>
          <w:ilvl w:val="0"/>
          <w:numId w:val="1024"/>
        </w:numPr>
        <w:pStyle w:val="Compact"/>
      </w:pPr>
      <w:r>
        <w:t xml:space="preserve">crear esquemas iniciales;</w:t>
      </w:r>
    </w:p>
    <w:p>
      <w:pPr>
        <w:numPr>
          <w:ilvl w:val="0"/>
          <w:numId w:val="1024"/>
        </w:numPr>
        <w:pStyle w:val="Compact"/>
      </w:pPr>
      <w:r>
        <w:t xml:space="preserve">redactar contenido rutinario no sensible;</w:t>
      </w:r>
    </w:p>
    <w:p>
      <w:pPr>
        <w:numPr>
          <w:ilvl w:val="0"/>
          <w:numId w:val="1024"/>
        </w:numPr>
        <w:pStyle w:val="Compact"/>
      </w:pPr>
      <w:r>
        <w:t xml:space="preserve">resumir información pública;</w:t>
      </w:r>
    </w:p>
    <w:p>
      <w:pPr>
        <w:numPr>
          <w:ilvl w:val="0"/>
          <w:numId w:val="1024"/>
        </w:numPr>
        <w:pStyle w:val="Compact"/>
      </w:pPr>
      <w:r>
        <w:t xml:space="preserve">generar una lista de verificación;</w:t>
      </w:r>
    </w:p>
    <w:p>
      <w:pPr>
        <w:numPr>
          <w:ilvl w:val="0"/>
          <w:numId w:val="1024"/>
        </w:numPr>
        <w:pStyle w:val="Compact"/>
      </w:pPr>
      <w:r>
        <w:t xml:space="preserve">sugerir preguntas de entrevista;</w:t>
      </w:r>
    </w:p>
    <w:p>
      <w:pPr>
        <w:numPr>
          <w:ilvl w:val="0"/>
          <w:numId w:val="1024"/>
        </w:numPr>
        <w:pStyle w:val="Compact"/>
      </w:pPr>
      <w:r>
        <w:t xml:space="preserve">organizar un calendario de contenido;</w:t>
      </w:r>
    </w:p>
    <w:p>
      <w:pPr>
        <w:numPr>
          <w:ilvl w:val="0"/>
          <w:numId w:val="1024"/>
        </w:numPr>
        <w:pStyle w:val="Compact"/>
      </w:pPr>
      <w:r>
        <w:t xml:space="preserve">apoyar la traducción de un borrador que recibirá revisión humana;</w:t>
      </w:r>
    </w:p>
    <w:p>
      <w:pPr>
        <w:numPr>
          <w:ilvl w:val="0"/>
          <w:numId w:val="1024"/>
        </w:numPr>
        <w:pStyle w:val="Compact"/>
      </w:pPr>
      <w:r>
        <w:t xml:space="preserve">corregir texto no sensible.</w:t>
      </w:r>
    </w:p>
    <w:p>
      <w:pPr>
        <w:pStyle w:val="FirstParagraph"/>
      </w:pPr>
      <w:r>
        <w:t xml:space="preserve">La verificación humana sigue siendo obligatoria.</w:t>
      </w:r>
    </w:p>
    <w:p>
      <w:pPr>
        <w:pStyle w:val="BodyText"/>
      </w:pPr>
      <w:r>
        <w:t xml:space="preserve">No dependa solo de IA para:</w:t>
      </w:r>
    </w:p>
    <w:p>
      <w:pPr>
        <w:numPr>
          <w:ilvl w:val="0"/>
          <w:numId w:val="1025"/>
        </w:numPr>
        <w:pStyle w:val="Compact"/>
      </w:pPr>
      <w:r>
        <w:t xml:space="preserve">citas;</w:t>
      </w:r>
    </w:p>
    <w:p>
      <w:pPr>
        <w:numPr>
          <w:ilvl w:val="0"/>
          <w:numId w:val="1025"/>
        </w:numPr>
        <w:pStyle w:val="Compact"/>
      </w:pPr>
      <w:r>
        <w:t xml:space="preserve">estadísticas;</w:t>
      </w:r>
    </w:p>
    <w:p>
      <w:pPr>
        <w:numPr>
          <w:ilvl w:val="0"/>
          <w:numId w:val="1025"/>
        </w:numPr>
        <w:pStyle w:val="Compact"/>
      </w:pPr>
      <w:r>
        <w:t xml:space="preserve">declaraciones legales o regulatorias;</w:t>
      </w:r>
    </w:p>
    <w:p>
      <w:pPr>
        <w:numPr>
          <w:ilvl w:val="0"/>
          <w:numId w:val="1025"/>
        </w:numPr>
        <w:pStyle w:val="Compact"/>
      </w:pPr>
      <w:r>
        <w:t xml:space="preserve">comunicaciones de crisis;</w:t>
      </w:r>
    </w:p>
    <w:p>
      <w:pPr>
        <w:numPr>
          <w:ilvl w:val="0"/>
          <w:numId w:val="1025"/>
        </w:numPr>
        <w:pStyle w:val="Compact"/>
      </w:pPr>
      <w:r>
        <w:t xml:space="preserve">declaraciones ejecutivas;</w:t>
      </w:r>
    </w:p>
    <w:p>
      <w:pPr>
        <w:numPr>
          <w:ilvl w:val="0"/>
          <w:numId w:val="1025"/>
        </w:numPr>
        <w:pStyle w:val="Compact"/>
      </w:pPr>
      <w:r>
        <w:t xml:space="preserve">anuncios financieros;</w:t>
      </w:r>
    </w:p>
    <w:p>
      <w:pPr>
        <w:numPr>
          <w:ilvl w:val="0"/>
          <w:numId w:val="1025"/>
        </w:numPr>
        <w:pStyle w:val="Compact"/>
      </w:pPr>
      <w:r>
        <w:t xml:space="preserve">anuncios de personal;</w:t>
      </w:r>
    </w:p>
    <w:p>
      <w:pPr>
        <w:numPr>
          <w:ilvl w:val="0"/>
          <w:numId w:val="1025"/>
        </w:numPr>
        <w:pStyle w:val="Compact"/>
      </w:pPr>
      <w:r>
        <w:t xml:space="preserve">instrucciones de seguridad o emergencia;</w:t>
      </w:r>
    </w:p>
    <w:p>
      <w:pPr>
        <w:numPr>
          <w:ilvl w:val="0"/>
          <w:numId w:val="1025"/>
        </w:numPr>
        <w:pStyle w:val="Compact"/>
      </w:pPr>
      <w:r>
        <w:t xml:space="preserve">compromisos de accesibilidad;</w:t>
      </w:r>
    </w:p>
    <w:p>
      <w:pPr>
        <w:numPr>
          <w:ilvl w:val="0"/>
          <w:numId w:val="1025"/>
        </w:numPr>
        <w:pStyle w:val="Compact"/>
      </w:pPr>
      <w:r>
        <w:t xml:space="preserve">acusaciones sobre personas u organizaciones;</w:t>
      </w:r>
    </w:p>
    <w:p>
      <w:pPr>
        <w:numPr>
          <w:ilvl w:val="0"/>
          <w:numId w:val="1025"/>
        </w:numPr>
        <w:pStyle w:val="Compact"/>
      </w:pPr>
      <w:r>
        <w:t xml:space="preserve">atribución de fuentes;</w:t>
      </w:r>
    </w:p>
    <w:p>
      <w:pPr>
        <w:numPr>
          <w:ilvl w:val="0"/>
          <w:numId w:val="1025"/>
        </w:numPr>
        <w:pStyle w:val="Compact"/>
      </w:pPr>
      <w:r>
        <w:t xml:space="preserve">decisiones de respuesta a medios;</w:t>
      </w:r>
    </w:p>
    <w:p>
      <w:pPr>
        <w:numPr>
          <w:ilvl w:val="0"/>
          <w:numId w:val="1025"/>
        </w:numPr>
        <w:pStyle w:val="Compact"/>
      </w:pPr>
      <w:r>
        <w:t xml:space="preserve">traducciones finales de contenido importante.</w:t>
      </w:r>
    </w:p>
    <w:p>
      <w:pPr>
        <w:pStyle w:val="FirstParagraph"/>
      </w:pPr>
      <w:r>
        <w:t xml:space="preserve">No ingrese borradores confidenciales, información bajo embargo, listas privadas de medios, credenciales, datos de clientes o empleados, información financiera no publicada, material legal u otra información protegida en un servicio de IA no aprobado.</w:t>
      </w:r>
    </w:p>
    <w:p>
      <w:pPr>
        <w:pStyle w:val="BodyText"/>
      </w:pPr>
      <w:r>
        <w:t xml:space="preserve">El Marco de Gestión de Riesgos de IA de NIST es una referencia voluntaria para gestionar riesgos de IA. Una regla práctica para comunicaciones es:</w:t>
      </w:r>
      <w:r>
        <w:t xml:space="preserve"> </w:t>
      </w:r>
      <w:r>
        <w:rPr>
          <w:bCs/>
          <w:b/>
        </w:rPr>
        <w:t xml:space="preserve">la IA puede ayudar a redactar u organizar; una persona autorizada debe verificar y aprobar el contenido importante contra material fuente vigente.</w:t>
      </w:r>
    </w:p>
    <w:bookmarkEnd w:id="52"/>
    <w:bookmarkStart w:id="53" w:name="X2e40e8b476a4f61d95f2f6df22dd9e800baac25"/>
    <w:p>
      <w:pPr>
        <w:pStyle w:val="Heading2"/>
      </w:pPr>
      <w:r>
        <w:t xml:space="preserve">Educación y rutas de entrada — Estados Unidos</w:t>
      </w:r>
    </w:p>
    <w:p>
      <w:pPr>
        <w:pStyle w:val="FirstParagraph"/>
      </w:pPr>
      <w:r>
        <w:t xml:space="preserve">Los cargos de especialistas en relaciones públicas suelen favorecer una licenciatura en comunicaciones, relaciones públicas, periodismo, mercadeo, negocios o un campo relacionado. Los requisitos para cargos iniciales de asistente y coordinador varían más.</w:t>
      </w:r>
    </w:p>
    <w:p>
      <w:pPr>
        <w:pStyle w:val="BodyText"/>
      </w:pPr>
      <w:r>
        <w:t xml:space="preserve">Los empleadores pueden valorar:</w:t>
      </w:r>
    </w:p>
    <w:p>
      <w:pPr>
        <w:numPr>
          <w:ilvl w:val="0"/>
          <w:numId w:val="1026"/>
        </w:numPr>
        <w:pStyle w:val="Compact"/>
      </w:pPr>
      <w:r>
        <w:t xml:space="preserve">buenas muestras de redacción;</w:t>
      </w:r>
    </w:p>
    <w:p>
      <w:pPr>
        <w:numPr>
          <w:ilvl w:val="0"/>
          <w:numId w:val="1026"/>
        </w:numPr>
        <w:pStyle w:val="Compact"/>
      </w:pPr>
      <w:r>
        <w:t xml:space="preserve">experiencia administrativa o de coordinación de proyectos;</w:t>
      </w:r>
    </w:p>
    <w:p>
      <w:pPr>
        <w:numPr>
          <w:ilvl w:val="0"/>
          <w:numId w:val="1026"/>
        </w:numPr>
        <w:pStyle w:val="Compact"/>
      </w:pPr>
      <w:r>
        <w:t xml:space="preserve">experiencia en servicio al cliente o comunidad;</w:t>
      </w:r>
    </w:p>
    <w:p>
      <w:pPr>
        <w:numPr>
          <w:ilvl w:val="0"/>
          <w:numId w:val="1026"/>
        </w:numPr>
        <w:pStyle w:val="Compact"/>
      </w:pPr>
      <w:r>
        <w:t xml:space="preserve">experiencia en redes sociales o contenido;</w:t>
      </w:r>
    </w:p>
    <w:p>
      <w:pPr>
        <w:numPr>
          <w:ilvl w:val="0"/>
          <w:numId w:val="1026"/>
        </w:numPr>
        <w:pStyle w:val="Compact"/>
      </w:pPr>
      <w:r>
        <w:t xml:space="preserve">experiencia de apoyo a eventos;</w:t>
      </w:r>
    </w:p>
    <w:p>
      <w:pPr>
        <w:numPr>
          <w:ilvl w:val="0"/>
          <w:numId w:val="1026"/>
        </w:numPr>
        <w:pStyle w:val="Compact"/>
      </w:pPr>
      <w:r>
        <w:t xml:space="preserve">experiencia en periodismo o medios estudiantiles;</w:t>
      </w:r>
    </w:p>
    <w:p>
      <w:pPr>
        <w:numPr>
          <w:ilvl w:val="0"/>
          <w:numId w:val="1026"/>
        </w:numPr>
        <w:pStyle w:val="Compact"/>
      </w:pPr>
      <w:r>
        <w:t xml:space="preserve">un certificado o programa de nivel asociado;</w:t>
      </w:r>
    </w:p>
    <w:p>
      <w:pPr>
        <w:numPr>
          <w:ilvl w:val="0"/>
          <w:numId w:val="1026"/>
        </w:numPr>
        <w:pStyle w:val="Compact"/>
      </w:pPr>
      <w:r>
        <w:t xml:space="preserve">experiencia de pasantía;</w:t>
      </w:r>
    </w:p>
    <w:p>
      <w:pPr>
        <w:numPr>
          <w:ilvl w:val="0"/>
          <w:numId w:val="1026"/>
        </w:numPr>
        <w:pStyle w:val="Compact"/>
      </w:pPr>
      <w:r>
        <w:t xml:space="preserve">un portafolio que demuestre comunicación precisa y ética.</w:t>
      </w:r>
    </w:p>
    <w:p>
      <w:pPr>
        <w:pStyle w:val="FirstParagraph"/>
      </w:pPr>
      <w:r>
        <w:t xml:space="preserve">Una secuencia de entrada de menor costo puede ser:</w:t>
      </w:r>
    </w:p>
    <w:p>
      <w:pPr>
        <w:numPr>
          <w:ilvl w:val="0"/>
          <w:numId w:val="1027"/>
        </w:numPr>
        <w:pStyle w:val="Compact"/>
      </w:pPr>
      <w:r>
        <w:t xml:space="preserve">fortalecer redacción, corrección, hojas de cálculo, presentaciones y correo;</w:t>
      </w:r>
    </w:p>
    <w:p>
      <w:pPr>
        <w:numPr>
          <w:ilvl w:val="0"/>
          <w:numId w:val="1027"/>
        </w:numPr>
        <w:pStyle w:val="Compact"/>
      </w:pPr>
      <w:r>
        <w:t xml:space="preserve">aprender el flujo de comunicaciones y la disciplina de aprobación;</w:t>
      </w:r>
    </w:p>
    <w:p>
      <w:pPr>
        <w:numPr>
          <w:ilvl w:val="0"/>
          <w:numId w:val="1027"/>
        </w:numPr>
        <w:pStyle w:val="Compact"/>
      </w:pPr>
      <w:r>
        <w:t xml:space="preserve">crear materiales ficticios de práctica sin datos confidenciales;</w:t>
      </w:r>
    </w:p>
    <w:p>
      <w:pPr>
        <w:numPr>
          <w:ilvl w:val="0"/>
          <w:numId w:val="1027"/>
        </w:numPr>
        <w:pStyle w:val="Compact"/>
      </w:pPr>
      <w:r>
        <w:t xml:space="preserve">construir un portafolio pequeño;</w:t>
      </w:r>
    </w:p>
    <w:p>
      <w:pPr>
        <w:numPr>
          <w:ilvl w:val="0"/>
          <w:numId w:val="1027"/>
        </w:numPr>
        <w:pStyle w:val="Compact"/>
      </w:pPr>
      <w:r>
        <w:t xml:space="preserve">obtener experiencia supervisada mediante una organización comunitaria, grupo universitario, pasantía o empleo junior cuando corresponda;</w:t>
      </w:r>
    </w:p>
    <w:p>
      <w:pPr>
        <w:numPr>
          <w:ilvl w:val="0"/>
          <w:numId w:val="1027"/>
        </w:numPr>
        <w:pStyle w:val="Compact"/>
      </w:pPr>
      <w:r>
        <w:t xml:space="preserve">postularse a cargos de asistente de comunicaciones, asistente de relaciones públicas, asistente de medios, asistente de contenido, asistente de comunicaciones internas, asistente de redes sociales o coordinador;</w:t>
      </w:r>
    </w:p>
    <w:p>
      <w:pPr>
        <w:numPr>
          <w:ilvl w:val="0"/>
          <w:numId w:val="1027"/>
        </w:numPr>
        <w:pStyle w:val="Compact"/>
      </w:pPr>
      <w:r>
        <w:t xml:space="preserve">aprender procesos específicos del empleador de marca, aprobación, privacidad, registros, accesibilidad y seguridad;</w:t>
      </w:r>
    </w:p>
    <w:p>
      <w:pPr>
        <w:numPr>
          <w:ilvl w:val="0"/>
          <w:numId w:val="1027"/>
        </w:numPr>
        <w:pStyle w:val="Compact"/>
      </w:pPr>
      <w:r>
        <w:t xml:space="preserve">avanzar a responsabilidades más amplias de especialista después de demostrar criterio confiable.</w:t>
      </w:r>
    </w:p>
    <w:bookmarkEnd w:id="53"/>
    <w:bookmarkStart w:id="58" w:name="X19201545a71cf287f9767b02950964522ffe1c0"/>
    <w:p>
      <w:pPr>
        <w:pStyle w:val="Heading2"/>
      </w:pPr>
      <w:r>
        <w:t xml:space="preserve">Financiamiento, capacitación gratuita o de bajo costo, becas y aprendizaje basado en el trabajo — Estados Unidos</w:t>
      </w:r>
    </w:p>
    <w:bookmarkStart w:id="55" w:name="careeronestop-y-american-job-centers"/>
    <w:p>
      <w:pPr>
        <w:pStyle w:val="Heading3"/>
      </w:pPr>
      <w:r>
        <w:t xml:space="preserve">CareerOneStop y American Job Centers</w:t>
      </w:r>
    </w:p>
    <w:p>
      <w:pPr>
        <w:pStyle w:val="FirstParagraph"/>
      </w:pPr>
      <w:r>
        <w:t xml:space="preserve">El buscador de programas de capacitación elegibles para WIOA de CareerOneStop ayuda a localizar directorios estatales de programas potencialmente elegibles:</w:t>
      </w:r>
    </w:p>
    <w:p>
      <w:pPr>
        <w:pStyle w:val="BodyText"/>
      </w:pPr>
      <w:hyperlink r:id="rId54">
        <w:hyperlink r:id="rId54">
          <w:r>
            <w:rPr>
              <w:rStyle w:val="Hyperlink"/>
            </w:rPr>
            <w:t xml:space="preserve">Source link</w:t>
          </w:r>
        </w:hyperlink>
      </w:hyperlink>
    </w:p>
    <w:p>
      <w:pPr>
        <w:pStyle w:val="BodyText"/>
      </w:pPr>
      <w:r>
        <w:t xml:space="preserve">El financiamiento no es automático. La elegibilidad, proveedores aprobados, servicios de apoyo y prioridades locales varían. Un American Job Center puede explicar las opciones locales vigentes.</w:t>
      </w:r>
    </w:p>
    <w:p>
      <w:pPr>
        <w:pStyle w:val="BodyText"/>
      </w:pPr>
      <w:r>
        <w:t xml:space="preserve">Áreas útiles de búsqueda pueden incluir:</w:t>
      </w:r>
    </w:p>
    <w:p>
      <w:pPr>
        <w:numPr>
          <w:ilvl w:val="0"/>
          <w:numId w:val="1028"/>
        </w:numPr>
        <w:pStyle w:val="Compact"/>
      </w:pPr>
      <w:r>
        <w:t xml:space="preserve">relaciones públicas;</w:t>
      </w:r>
    </w:p>
    <w:p>
      <w:pPr>
        <w:numPr>
          <w:ilvl w:val="0"/>
          <w:numId w:val="1028"/>
        </w:numPr>
        <w:pStyle w:val="Compact"/>
      </w:pPr>
      <w:r>
        <w:t xml:space="preserve">comunicaciones;</w:t>
      </w:r>
    </w:p>
    <w:p>
      <w:pPr>
        <w:numPr>
          <w:ilvl w:val="0"/>
          <w:numId w:val="1028"/>
        </w:numPr>
        <w:pStyle w:val="Compact"/>
      </w:pPr>
      <w:r>
        <w:t xml:space="preserve">periodismo;</w:t>
      </w:r>
    </w:p>
    <w:p>
      <w:pPr>
        <w:numPr>
          <w:ilvl w:val="0"/>
          <w:numId w:val="1028"/>
        </w:numPr>
        <w:pStyle w:val="Compact"/>
      </w:pPr>
      <w:r>
        <w:t xml:space="preserve">mercadeo;</w:t>
      </w:r>
    </w:p>
    <w:p>
      <w:pPr>
        <w:numPr>
          <w:ilvl w:val="0"/>
          <w:numId w:val="1028"/>
        </w:numPr>
        <w:pStyle w:val="Compact"/>
      </w:pPr>
      <w:r>
        <w:t xml:space="preserve">medios digitales;</w:t>
      </w:r>
    </w:p>
    <w:p>
      <w:pPr>
        <w:numPr>
          <w:ilvl w:val="0"/>
          <w:numId w:val="1028"/>
        </w:numPr>
        <w:pStyle w:val="Compact"/>
      </w:pPr>
      <w:r>
        <w:t xml:space="preserve">comunicación empresarial;</w:t>
      </w:r>
    </w:p>
    <w:p>
      <w:pPr>
        <w:numPr>
          <w:ilvl w:val="0"/>
          <w:numId w:val="1028"/>
        </w:numPr>
        <w:pStyle w:val="Compact"/>
      </w:pPr>
      <w:r>
        <w:t xml:space="preserve">redacción y edición;</w:t>
      </w:r>
    </w:p>
    <w:p>
      <w:pPr>
        <w:numPr>
          <w:ilvl w:val="0"/>
          <w:numId w:val="1028"/>
        </w:numPr>
        <w:pStyle w:val="Compact"/>
      </w:pPr>
      <w:r>
        <w:t xml:space="preserve">redes sociales;</w:t>
      </w:r>
    </w:p>
    <w:p>
      <w:pPr>
        <w:numPr>
          <w:ilvl w:val="0"/>
          <w:numId w:val="1028"/>
        </w:numPr>
        <w:pStyle w:val="Compact"/>
      </w:pPr>
      <w:r>
        <w:t xml:space="preserve">comunicación gráfica;</w:t>
      </w:r>
    </w:p>
    <w:p>
      <w:pPr>
        <w:numPr>
          <w:ilvl w:val="0"/>
          <w:numId w:val="1028"/>
        </w:numPr>
        <w:pStyle w:val="Compact"/>
      </w:pPr>
      <w:r>
        <w:t xml:space="preserve">tecnología de oficina o administrativa.</w:t>
      </w:r>
    </w:p>
    <w:bookmarkEnd w:id="55"/>
    <w:bookmarkStart w:id="56" w:name="becas-y-apoyo-del-empleador"/>
    <w:p>
      <w:pPr>
        <w:pStyle w:val="Heading3"/>
      </w:pPr>
      <w:r>
        <w:t xml:space="preserve">Becas y apoyo del empleador</w:t>
      </w:r>
    </w:p>
    <w:p>
      <w:pPr>
        <w:pStyle w:val="FirstParagraph"/>
      </w:pPr>
      <w:r>
        <w:t xml:space="preserve">Colegios, universidades, asociaciones profesionales, fundaciones comunitarias, empleadores, sindicatos, agencias de empleo y organizaciones sin fines de lucro pueden ofrecer becas, asistencia de matrícula, presupuestos de desarrollo profesional o reembolsos. Verifique elegibilidad, fechas límite, tratamiento tributario, obligaciones de reembolso y proveedores aprobados antes de inscribirse.</w:t>
      </w:r>
    </w:p>
    <w:bookmarkEnd w:id="56"/>
    <w:bookmarkStart w:id="57" w:name="aprendizaje-basado-en-el-trabajo"/>
    <w:p>
      <w:pPr>
        <w:pStyle w:val="Heading3"/>
      </w:pPr>
      <w:r>
        <w:t xml:space="preserve">Aprendizaje basado en el trabajo</w:t>
      </w:r>
    </w:p>
    <w:p>
      <w:pPr>
        <w:pStyle w:val="FirstParagraph"/>
      </w:pPr>
      <w:r>
        <w:t xml:space="preserve">Los programas formales de Registered Apprenticeship pueden ser limitados para esta ocupación. Alternativas prácticas pueden incluir:</w:t>
      </w:r>
    </w:p>
    <w:p>
      <w:pPr>
        <w:numPr>
          <w:ilvl w:val="0"/>
          <w:numId w:val="1029"/>
        </w:numPr>
        <w:pStyle w:val="Compact"/>
      </w:pPr>
      <w:r>
        <w:t xml:space="preserve">cargos pagados de asistente de comunicaciones;</w:t>
      </w:r>
    </w:p>
    <w:p>
      <w:pPr>
        <w:numPr>
          <w:ilvl w:val="0"/>
          <w:numId w:val="1029"/>
        </w:numPr>
        <w:pStyle w:val="Compact"/>
      </w:pPr>
      <w:r>
        <w:t xml:space="preserve">pasantías;</w:t>
      </w:r>
    </w:p>
    <w:p>
      <w:pPr>
        <w:numPr>
          <w:ilvl w:val="0"/>
          <w:numId w:val="1029"/>
        </w:numPr>
        <w:pStyle w:val="Compact"/>
      </w:pPr>
      <w:r>
        <w:t xml:space="preserve">comunicaciones universitarias;</w:t>
      </w:r>
    </w:p>
    <w:p>
      <w:pPr>
        <w:numPr>
          <w:ilvl w:val="0"/>
          <w:numId w:val="1029"/>
        </w:numPr>
        <w:pStyle w:val="Compact"/>
      </w:pPr>
      <w:r>
        <w:t xml:space="preserve">proyectos de comunicación para organizaciones sin fines de lucro;</w:t>
      </w:r>
    </w:p>
    <w:p>
      <w:pPr>
        <w:numPr>
          <w:ilvl w:val="0"/>
          <w:numId w:val="1029"/>
        </w:numPr>
        <w:pStyle w:val="Compact"/>
      </w:pPr>
      <w:r>
        <w:t xml:space="preserve">capacitación del empleador;</w:t>
      </w:r>
    </w:p>
    <w:p>
      <w:pPr>
        <w:numPr>
          <w:ilvl w:val="0"/>
          <w:numId w:val="1029"/>
        </w:numPr>
        <w:pStyle w:val="Compact"/>
      </w:pPr>
      <w:r>
        <w:t xml:space="preserve">trabajo supervisado en eventos o relaciones comunitarias;</w:t>
      </w:r>
    </w:p>
    <w:p>
      <w:pPr>
        <w:numPr>
          <w:ilvl w:val="0"/>
          <w:numId w:val="1029"/>
        </w:numPr>
        <w:pStyle w:val="Compact"/>
      </w:pPr>
      <w:r>
        <w:t xml:space="preserve">tareas de monitoreo de medios;</w:t>
      </w:r>
    </w:p>
    <w:p>
      <w:pPr>
        <w:numPr>
          <w:ilvl w:val="0"/>
          <w:numId w:val="1029"/>
        </w:numPr>
        <w:pStyle w:val="Compact"/>
      </w:pPr>
      <w:r>
        <w:t xml:space="preserve">apoyo a producción de contenido;</w:t>
      </w:r>
    </w:p>
    <w:p>
      <w:pPr>
        <w:numPr>
          <w:ilvl w:val="0"/>
          <w:numId w:val="1029"/>
        </w:numPr>
        <w:pStyle w:val="Compact"/>
      </w:pPr>
      <w:r>
        <w:t xml:space="preserve">proyectos aprobados de portafolio.</w:t>
      </w:r>
    </w:p>
    <w:p>
      <w:pPr>
        <w:pStyle w:val="FirstParagraph"/>
      </w:pPr>
      <w:r>
        <w:t xml:space="preserve">Nunca use un proyecto de portafolio como excusa para publicar información confidencial o privada.</w:t>
      </w:r>
    </w:p>
    <w:bookmarkEnd w:id="57"/>
    <w:bookmarkEnd w:id="58"/>
    <w:bookmarkStart w:id="59" w:name="Xac9df557112b44c3ba1f20a0f8f1c9e1fc069cf"/>
    <w:p>
      <w:pPr>
        <w:pStyle w:val="Heading2"/>
      </w:pPr>
      <w:r>
        <w:t xml:space="preserve">Canadá — educación y rutas de capacitación</w:t>
      </w:r>
    </w:p>
    <w:p>
      <w:pPr>
        <w:pStyle w:val="FirstParagraph"/>
      </w:pPr>
      <w:r>
        <w:t xml:space="preserve">El NOC 11202 de Canadá cubre trabajo profesional en publicidad, mercadeo y relaciones públicas. Los empleadores pueden pedir educación universitaria o técnica en comunicaciones, relaciones públicas, periodismo, mercadeo, negocios o un área relacionada, pero los requisitos cambian según el cargo y la provincia.</w:t>
      </w:r>
    </w:p>
    <w:p>
      <w:pPr>
        <w:pStyle w:val="BodyText"/>
      </w:pPr>
      <w:r>
        <w:t xml:space="preserve">Job Bank de Canadá reporta salarios nacionales para NOC 11202, actualizados el 19 de noviembre de 2025, de:</w:t>
      </w:r>
    </w:p>
    <w:p>
      <w:pPr>
        <w:numPr>
          <w:ilvl w:val="0"/>
          <w:numId w:val="1030"/>
        </w:numPr>
        <w:pStyle w:val="Compact"/>
      </w:pPr>
      <w:r>
        <w:rPr>
          <w:bCs/>
          <w:b/>
        </w:rPr>
        <w:t xml:space="preserve">C$20.50/hora, nivel bajo</w:t>
      </w:r>
      <w:r>
        <w:t xml:space="preserve">;</w:t>
      </w:r>
    </w:p>
    <w:p>
      <w:pPr>
        <w:numPr>
          <w:ilvl w:val="0"/>
          <w:numId w:val="1030"/>
        </w:numPr>
        <w:pStyle w:val="Compact"/>
      </w:pPr>
      <w:r>
        <w:rPr>
          <w:bCs/>
          <w:b/>
        </w:rPr>
        <w:t xml:space="preserve">C$35.58/hora, mediana</w:t>
      </w:r>
      <w:r>
        <w:t xml:space="preserve">;</w:t>
      </w:r>
    </w:p>
    <w:p>
      <w:pPr>
        <w:numPr>
          <w:ilvl w:val="0"/>
          <w:numId w:val="1030"/>
        </w:numPr>
        <w:pStyle w:val="Compact"/>
      </w:pPr>
      <w:r>
        <w:rPr>
          <w:bCs/>
          <w:b/>
        </w:rPr>
        <w:t xml:space="preserve">C$57.44/hora, nivel alto</w:t>
      </w:r>
      <w:r>
        <w:t xml:space="preserve">.</w:t>
      </w:r>
    </w:p>
    <w:p>
      <w:pPr>
        <w:pStyle w:val="FirstParagraph"/>
      </w:pPr>
      <w:r>
        <w:t xml:space="preserve">Estas cifras cubren el grupo NOC amplio, no todos los empleos de asistente o coordinador.</w:t>
      </w:r>
    </w:p>
    <w:p>
      <w:pPr>
        <w:pStyle w:val="BodyText"/>
      </w:pPr>
      <w:r>
        <w:t xml:space="preserve">Las páginas de capacitación del Gobierno de Canadá y los programas provinciales o territoriales pueden ayudar a encontrar asistencia de empleo, ayuda estudiantil, capacitación corta y programas de habilidades. Los Labour Market Development Agreements proporcionan más de</w:t>
      </w:r>
      <w:r>
        <w:t xml:space="preserve"> </w:t>
      </w:r>
      <w:r>
        <w:rPr>
          <w:bCs/>
          <w:b/>
        </w:rPr>
        <w:t xml:space="preserve">C$2.1 mil millones anuales</w:t>
      </w:r>
      <w:r>
        <w:t xml:space="preserve"> </w:t>
      </w:r>
      <w:r>
        <w:t xml:space="preserve">a provincias y territorios para capacitación de habilidades y asistencia de empleo elegibles. La elegibilidad y el financiamiento varían y deben verificarse localmente.</w:t>
      </w:r>
    </w:p>
    <w:bookmarkEnd w:id="59"/>
    <w:bookmarkStart w:id="63" w:name="Xd36f731897571fc8536f921dbfd081e86e12bf6"/>
    <w:p>
      <w:pPr>
        <w:pStyle w:val="Heading2"/>
      </w:pPr>
      <w:r>
        <w:t xml:space="preserve">Colombia — ocupación y rutas de capacitación</w:t>
      </w:r>
    </w:p>
    <w:p>
      <w:pPr>
        <w:pStyle w:val="FirstParagraph"/>
      </w:pPr>
      <w:r>
        <w:t xml:space="preserve">Colombia ofrece comparaciones útiles de roles mediante OCUPACOL.</w:t>
      </w:r>
    </w:p>
    <w:bookmarkStart w:id="60" w:name="referencia-profesional"/>
    <w:p>
      <w:pPr>
        <w:pStyle w:val="Heading3"/>
      </w:pPr>
      <w:r>
        <w:t xml:space="preserve">Referencia profesional</w:t>
      </w:r>
    </w:p>
    <w:p>
      <w:pPr>
        <w:pStyle w:val="FirstParagraph"/>
      </w:pPr>
      <w:r>
        <w:rPr>
          <w:bCs/>
          <w:b/>
        </w:rPr>
        <w:t xml:space="preserve">CUOC 24320 — Profesionales de relaciones públicas y comunicaciones</w:t>
      </w:r>
      <w:r>
        <w:t xml:space="preserve"> </w:t>
      </w:r>
      <w:r>
        <w:t xml:space="preserve">cubre trabajo profesional de comunicaciones y relaciones públicas como estrategia, relaciones con medios, materiales de prensa, información pública, eventos y actividad de portavoz.</w:t>
      </w:r>
    </w:p>
    <w:bookmarkEnd w:id="60"/>
    <w:bookmarkStart w:id="61" w:name="referencia-de-asistente"/>
    <w:p>
      <w:pPr>
        <w:pStyle w:val="Heading3"/>
      </w:pPr>
      <w:r>
        <w:t xml:space="preserve">Referencia de asistente</w:t>
      </w:r>
    </w:p>
    <w:p>
      <w:pPr>
        <w:pStyle w:val="FirstParagraph"/>
      </w:pPr>
      <w:r>
        <w:rPr>
          <w:bCs/>
          <w:b/>
        </w:rPr>
        <w:t xml:space="preserve">CUOC 33392 — Asistentes de mercadeo, publicidad y comunicaciones</w:t>
      </w:r>
      <w:r>
        <w:t xml:space="preserve"> </w:t>
      </w:r>
      <w:r>
        <w:t xml:space="preserve">incluye títulos como asistente de comunicación y asistente de comunicación/redes sociales. Es un comparador útil para trabajo de apoyo junior.</w:t>
      </w:r>
    </w:p>
    <w:p>
      <w:pPr>
        <w:pStyle w:val="BodyText"/>
      </w:pPr>
      <w:r>
        <w:t xml:space="preserve">OCUPACOL publica indicadores del mercado laboral, pero el perfil de asistente advierte expresamente que sus datos salariales a nivel de ocupación</w:t>
      </w:r>
      <w:r>
        <w:t xml:space="preserve"> </w:t>
      </w:r>
      <w:r>
        <w:rPr>
          <w:bCs/>
          <w:b/>
        </w:rPr>
        <w:t xml:space="preserve">no tienen representatividad estadística bajo la metodología aplicada</w:t>
      </w:r>
      <w:r>
        <w:t xml:space="preserve">. No use el rango mostrado como una referencia salarial nacional representativa.</w:t>
      </w:r>
    </w:p>
    <w:bookmarkEnd w:id="61"/>
    <w:bookmarkStart w:id="62" w:name="sena-betowa"/>
    <w:p>
      <w:pPr>
        <w:pStyle w:val="Heading3"/>
      </w:pPr>
      <w:r>
        <w:t xml:space="preserve">SENA Betowa</w:t>
      </w:r>
    </w:p>
    <w:p>
      <w:pPr>
        <w:pStyle w:val="FirstParagraph"/>
      </w:pPr>
      <w:r>
        <w:t xml:space="preserve">Rutas actuales de SENA relevantes para comunicaciones incluyen:</w:t>
      </w:r>
    </w:p>
    <w:p>
      <w:pPr>
        <w:numPr>
          <w:ilvl w:val="0"/>
          <w:numId w:val="1031"/>
        </w:numPr>
        <w:pStyle w:val="Compact"/>
      </w:pPr>
      <w:r>
        <w:rPr>
          <w:bCs/>
          <w:b/>
        </w:rPr>
        <w:t xml:space="preserve">Creación de contenido digital para redes sociales</w:t>
      </w:r>
      <w:r>
        <w:t xml:space="preserve"> </w:t>
      </w:r>
      <w:r>
        <w:t xml:space="preserve">— curso especial complementario,</w:t>
      </w:r>
      <w:r>
        <w:t xml:space="preserve"> </w:t>
      </w:r>
      <w:r>
        <w:rPr>
          <w:bCs/>
          <w:b/>
        </w:rPr>
        <w:t xml:space="preserve">48 horas</w:t>
      </w:r>
      <w:r>
        <w:t xml:space="preserve">;</w:t>
      </w:r>
    </w:p>
    <w:p>
      <w:pPr>
        <w:numPr>
          <w:ilvl w:val="0"/>
          <w:numId w:val="1031"/>
        </w:numPr>
        <w:pStyle w:val="Compact"/>
      </w:pPr>
      <w:r>
        <w:rPr>
          <w:bCs/>
          <w:b/>
        </w:rPr>
        <w:t xml:space="preserve">Community management y analítica web</w:t>
      </w:r>
      <w:r>
        <w:t xml:space="preserve"> </w:t>
      </w:r>
      <w:r>
        <w:t xml:space="preserve">— incluye gestión de comunidades en línea usando técnicas de relaciones públicas, contenido, confidencialidad, métricas y analítica;</w:t>
      </w:r>
    </w:p>
    <w:p>
      <w:pPr>
        <w:numPr>
          <w:ilvl w:val="0"/>
          <w:numId w:val="1031"/>
        </w:numPr>
        <w:pStyle w:val="Compact"/>
      </w:pPr>
      <w:r>
        <w:rPr>
          <w:bCs/>
          <w:b/>
        </w:rPr>
        <w:t xml:space="preserve">Marketing digital</w:t>
      </w:r>
      <w:r>
        <w:t xml:space="preserve"> </w:t>
      </w:r>
      <w:r>
        <w:t xml:space="preserve">— curso complementario de</w:t>
      </w:r>
      <w:r>
        <w:t xml:space="preserve"> </w:t>
      </w:r>
      <w:r>
        <w:rPr>
          <w:bCs/>
          <w:b/>
        </w:rPr>
        <w:t xml:space="preserve">48 horas</w:t>
      </w:r>
      <w:r>
        <w:t xml:space="preserve">;</w:t>
      </w:r>
    </w:p>
    <w:p>
      <w:pPr>
        <w:numPr>
          <w:ilvl w:val="0"/>
          <w:numId w:val="1031"/>
        </w:numPr>
        <w:pStyle w:val="Compact"/>
      </w:pPr>
      <w:r>
        <w:rPr>
          <w:bCs/>
          <w:b/>
        </w:rPr>
        <w:t xml:space="preserve">Desarrollo de habilidades digitales para la construcción de contenido digital</w:t>
      </w:r>
      <w:r>
        <w:t xml:space="preserve"> </w:t>
      </w:r>
      <w:r>
        <w:t xml:space="preserve">— incluye herramientas digitales, licenciamiento, derechos de autor, web, redes sociales y prácticas de contenido.</w:t>
      </w:r>
    </w:p>
    <w:p>
      <w:pPr>
        <w:pStyle w:val="FirstParagraph"/>
      </w:pPr>
      <w:r>
        <w:t xml:space="preserve">Las cohortes, ubicaciones, modalidad, cupos, requisitos y fechas de SENA cambian. Verifique la disponibilidad vigente en Betowa antes de planificar alrededor de un curso.</w:t>
      </w:r>
    </w:p>
    <w:bookmarkEnd w:id="62"/>
    <w:bookmarkEnd w:id="63"/>
    <w:bookmarkStart w:id="66" w:name="américa-latina-y-el-caribe"/>
    <w:p>
      <w:pPr>
        <w:pStyle w:val="Heading2"/>
      </w:pPr>
      <w:r>
        <w:t xml:space="preserve">América Latina y el Caribe</w:t>
      </w:r>
    </w:p>
    <w:p>
      <w:pPr>
        <w:pStyle w:val="FirstParagraph"/>
      </w:pPr>
      <w:r>
        <w:t xml:space="preserve">OIT/Cinterfor ofrece una red regional y recursos por país para instituciones de formación profesional:</w:t>
      </w:r>
    </w:p>
    <w:p>
      <w:pPr>
        <w:pStyle w:val="BodyText"/>
      </w:pPr>
      <w:hyperlink r:id="rId64">
        <w:r>
          <w:rPr>
            <w:rStyle w:val="Hyperlink"/>
          </w:rPr>
          <w:t xml:space="preserve">https://www.oitcinterfor.org/</w:t>
        </w:r>
      </w:hyperlink>
    </w:p>
    <w:p>
      <w:pPr>
        <w:pStyle w:val="BodyText"/>
      </w:pPr>
      <w:hyperlink r:id="rId65">
        <w:r>
          <w:rPr>
            <w:rStyle w:val="Hyperlink"/>
          </w:rPr>
          <w:t xml:space="preserve">https://www.oitcinterfor.org/statsfp/paises</w:t>
        </w:r>
      </w:hyperlink>
    </w:p>
    <w:p>
      <w:pPr>
        <w:pStyle w:val="BodyText"/>
      </w:pPr>
      <w:r>
        <w:t xml:space="preserve">Use las páginas por país para identificar instituciones nacionales de capacitación y luego verifique el catálogo vigente de cada institución, elegibilidad, modalidad, costo, becas o financiamiento y procedimientos de solicitud. La presencia regional no garantiza que exista un programa específico de relaciones públicas o comunicaciones en todos los países.</w:t>
      </w:r>
    </w:p>
    <w:bookmarkEnd w:id="66"/>
    <w:bookmarkStart w:id="71" w:name="X6ad532d1e0db339ea21dd1db6e0db58007b11dc"/>
    <w:p>
      <w:pPr>
        <w:pStyle w:val="Heading2"/>
      </w:pPr>
      <w:r>
        <w:t xml:space="preserve">Investigación de ingresos — úsela con cuidado</w:t>
      </w:r>
    </w:p>
    <w:bookmarkStart w:id="67" w:name="estados-unidos--referencia-oficial"/>
    <w:p>
      <w:pPr>
        <w:pStyle w:val="Heading3"/>
      </w:pPr>
      <w:r>
        <w:t xml:space="preserve">Estados Unidos — referencia oficial</w:t>
      </w:r>
    </w:p>
    <w:p>
      <w:pPr>
        <w:pStyle w:val="FirstParagraph"/>
      </w:pPr>
      <w:r>
        <w:t xml:space="preserve">Los datos salariales 2025 de O*NET/BLS para</w:t>
      </w:r>
      <w:r>
        <w:t xml:space="preserve"> </w:t>
      </w:r>
      <w:r>
        <w:rPr>
          <w:bCs/>
          <w:b/>
        </w:rPr>
        <w:t xml:space="preserve">Public Relations Specialists (27-3031.00)</w:t>
      </w:r>
      <w:r>
        <w:t xml:space="preserve"> </w:t>
      </w:r>
      <w:r>
        <w:t xml:space="preserve">muestran:</w:t>
      </w:r>
    </w:p>
    <w:p>
      <w:pPr>
        <w:numPr>
          <w:ilvl w:val="0"/>
          <w:numId w:val="1032"/>
        </w:numPr>
        <w:pStyle w:val="Compact"/>
      </w:pPr>
      <w:r>
        <w:t xml:space="preserve">percentil 10:</w:t>
      </w:r>
      <w:r>
        <w:t xml:space="preserve"> </w:t>
      </w:r>
      <w:r>
        <w:rPr>
          <w:bCs/>
          <w:b/>
        </w:rPr>
        <w:t xml:space="preserve">US$44,110/año</w:t>
      </w:r>
      <w:r>
        <w:t xml:space="preserve">;</w:t>
      </w:r>
    </w:p>
    <w:p>
      <w:pPr>
        <w:numPr>
          <w:ilvl w:val="0"/>
          <w:numId w:val="1032"/>
        </w:numPr>
        <w:pStyle w:val="Compact"/>
      </w:pPr>
      <w:r>
        <w:t xml:space="preserve">mediana:</w:t>
      </w:r>
      <w:r>
        <w:t xml:space="preserve"> </w:t>
      </w:r>
      <w:r>
        <w:rPr>
          <w:bCs/>
          <w:b/>
        </w:rPr>
        <w:t xml:space="preserve">US$74,750/año</w:t>
      </w:r>
      <w:r>
        <w:t xml:space="preserve"> </w:t>
      </w:r>
      <w:r>
        <w:t xml:space="preserve">o</w:t>
      </w:r>
      <w:r>
        <w:t xml:space="preserve"> </w:t>
      </w:r>
      <w:r>
        <w:rPr>
          <w:bCs/>
          <w:b/>
        </w:rPr>
        <w:t xml:space="preserve">US$35.94/hora</w:t>
      </w:r>
      <w:r>
        <w:t xml:space="preserve">;</w:t>
      </w:r>
    </w:p>
    <w:p>
      <w:pPr>
        <w:numPr>
          <w:ilvl w:val="0"/>
          <w:numId w:val="1032"/>
        </w:numPr>
        <w:pStyle w:val="Compact"/>
      </w:pPr>
      <w:r>
        <w:t xml:space="preserve">percentil 90:</w:t>
      </w:r>
      <w:r>
        <w:t xml:space="preserve"> </w:t>
      </w:r>
      <w:r>
        <w:rPr>
          <w:bCs/>
          <w:b/>
        </w:rPr>
        <w:t xml:space="preserve">US$135,150/año</w:t>
      </w:r>
      <w:r>
        <w:t xml:space="preserve">.</w:t>
      </w:r>
    </w:p>
    <w:p>
      <w:pPr>
        <w:pStyle w:val="FirstParagraph"/>
      </w:pPr>
      <w:r>
        <w:t xml:space="preserve">Es una referencia de ocupación amplia. Los cargos iniciales de asistente pueden pagar menos; los cargos sénior, especializados, en mercados de alto costo, ejecutivos, de agencia, de crisis, de relaciones con inversionistas o de comunicaciones altamente técnicas pueden pagar más.</w:t>
      </w:r>
    </w:p>
    <w:bookmarkEnd w:id="67"/>
    <w:bookmarkStart w:id="68" w:name="canadá--referencia-oficial"/>
    <w:p>
      <w:pPr>
        <w:pStyle w:val="Heading3"/>
      </w:pPr>
      <w:r>
        <w:t xml:space="preserve">Canadá — referencia oficial</w:t>
      </w:r>
    </w:p>
    <w:p>
      <w:pPr>
        <w:pStyle w:val="FirstParagraph"/>
      </w:pPr>
      <w:r>
        <w:t xml:space="preserve">Job Bank reporta para</w:t>
      </w:r>
      <w:r>
        <w:t xml:space="preserve"> </w:t>
      </w:r>
      <w:r>
        <w:rPr>
          <w:bCs/>
          <w:b/>
        </w:rPr>
        <w:t xml:space="preserve">NOC 11202</w:t>
      </w:r>
      <w:r>
        <w:t xml:space="preserve">:</w:t>
      </w:r>
    </w:p>
    <w:p>
      <w:pPr>
        <w:numPr>
          <w:ilvl w:val="0"/>
          <w:numId w:val="1033"/>
        </w:numPr>
        <w:pStyle w:val="Compact"/>
      </w:pPr>
      <w:r>
        <w:t xml:space="preserve">bajo:</w:t>
      </w:r>
      <w:r>
        <w:t xml:space="preserve"> </w:t>
      </w:r>
      <w:r>
        <w:rPr>
          <w:bCs/>
          <w:b/>
        </w:rPr>
        <w:t xml:space="preserve">C$20.50/hora</w:t>
      </w:r>
      <w:r>
        <w:t xml:space="preserve">;</w:t>
      </w:r>
    </w:p>
    <w:p>
      <w:pPr>
        <w:numPr>
          <w:ilvl w:val="0"/>
          <w:numId w:val="1033"/>
        </w:numPr>
        <w:pStyle w:val="Compact"/>
      </w:pPr>
      <w:r>
        <w:t xml:space="preserve">mediana:</w:t>
      </w:r>
      <w:r>
        <w:t xml:space="preserve"> </w:t>
      </w:r>
      <w:r>
        <w:rPr>
          <w:bCs/>
          <w:b/>
        </w:rPr>
        <w:t xml:space="preserve">C$35.58/hora</w:t>
      </w:r>
      <w:r>
        <w:t xml:space="preserve">;</w:t>
      </w:r>
    </w:p>
    <w:p>
      <w:pPr>
        <w:numPr>
          <w:ilvl w:val="0"/>
          <w:numId w:val="1033"/>
        </w:numPr>
        <w:pStyle w:val="Compact"/>
      </w:pPr>
      <w:r>
        <w:t xml:space="preserve">alto:</w:t>
      </w:r>
      <w:r>
        <w:t xml:space="preserve"> </w:t>
      </w:r>
      <w:r>
        <w:rPr>
          <w:bCs/>
          <w:b/>
        </w:rPr>
        <w:t xml:space="preserve">C$57.44/hora</w:t>
      </w:r>
      <w:r>
        <w:t xml:space="preserve">.</w:t>
      </w:r>
    </w:p>
    <w:p>
      <w:pPr>
        <w:pStyle w:val="FirstParagraph"/>
      </w:pPr>
      <w:r>
        <w:t xml:space="preserve">Los valores se actualizaron el 19 de noviembre de 2025 y usan un período de referencia 2023-2024 de la Labour Force Survey.</w:t>
      </w:r>
    </w:p>
    <w:bookmarkEnd w:id="68"/>
    <w:bookmarkStart w:id="69" w:name="X127171c464fe92dfaf036b4859b9eb606f9120b"/>
    <w:p>
      <w:pPr>
        <w:pStyle w:val="Heading3"/>
      </w:pPr>
      <w:r>
        <w:t xml:space="preserve">Ejemplos actuales no gubernamentales — Estados Unidos</w:t>
      </w:r>
    </w:p>
    <w:p>
      <w:pPr>
        <w:pStyle w:val="FirstParagraph"/>
      </w:pPr>
      <w:r>
        <w:t xml:space="preserve">Listados actuales de Indeed ilustran variación y no constituyen un promedio nacional. Ejemplos recientes incluyen:</w:t>
      </w:r>
    </w:p>
    <w:p>
      <w:pPr>
        <w:numPr>
          <w:ilvl w:val="0"/>
          <w:numId w:val="1034"/>
        </w:numPr>
        <w:pStyle w:val="Compact"/>
      </w:pPr>
      <w:r>
        <w:t xml:space="preserve">coordinador de comunicaciones/participación:</w:t>
      </w:r>
      <w:r>
        <w:t xml:space="preserve"> </w:t>
      </w:r>
      <w:r>
        <w:rPr>
          <w:bCs/>
          <w:b/>
        </w:rPr>
        <w:t xml:space="preserve">US$70,988-US$91,128/año</w:t>
      </w:r>
      <w:r>
        <w:t xml:space="preserve">;</w:t>
      </w:r>
    </w:p>
    <w:p>
      <w:pPr>
        <w:numPr>
          <w:ilvl w:val="0"/>
          <w:numId w:val="1034"/>
        </w:numPr>
        <w:pStyle w:val="Compact"/>
      </w:pPr>
      <w:r>
        <w:t xml:space="preserve">coordinador de comunicaciones/relaciones con medios a tiempo parcial:</w:t>
      </w:r>
      <w:r>
        <w:t xml:space="preserve"> </w:t>
      </w:r>
      <w:r>
        <w:rPr>
          <w:bCs/>
          <w:b/>
        </w:rPr>
        <w:t xml:space="preserve">US$25/hora</w:t>
      </w:r>
      <w:r>
        <w:t xml:space="preserve">;</w:t>
      </w:r>
    </w:p>
    <w:p>
      <w:pPr>
        <w:numPr>
          <w:ilvl w:val="0"/>
          <w:numId w:val="1034"/>
        </w:numPr>
        <w:pStyle w:val="Compact"/>
      </w:pPr>
      <w:r>
        <w:t xml:space="preserve">coordinador de relaciones públicas:</w:t>
      </w:r>
      <w:r>
        <w:t xml:space="preserve"> </w:t>
      </w:r>
      <w:r>
        <w:rPr>
          <w:bCs/>
          <w:b/>
        </w:rPr>
        <w:t xml:space="preserve">US$19.97-US$29.95/hora</w:t>
      </w:r>
      <w:r>
        <w:t xml:space="preserve">.</w:t>
      </w:r>
    </w:p>
    <w:p>
      <w:pPr>
        <w:pStyle w:val="FirstParagraph"/>
      </w:pPr>
      <w:r>
        <w:t xml:space="preserve">Son ejemplos individuales del mercado laboral. Empleador, ubicación, sector, horas, experiencia, beneficios y nivel de responsabilidad varían.</w:t>
      </w:r>
    </w:p>
    <w:bookmarkEnd w:id="69"/>
    <w:bookmarkStart w:id="70" w:name="X4b03b93f063601fe5e3c4490c91df4b9863f882"/>
    <w:p>
      <w:pPr>
        <w:pStyle w:val="Heading3"/>
      </w:pPr>
      <w:r>
        <w:t xml:space="preserve">Ejemplos actuales no gubernamentales — Colombia</w:t>
      </w:r>
    </w:p>
    <w:p>
      <w:pPr>
        <w:pStyle w:val="FirstParagraph"/>
      </w:pPr>
      <w:r>
        <w:t xml:space="preserve">Listados actuales de Indeed en Bogotá ilustran una gran variación de alcance:</w:t>
      </w:r>
    </w:p>
    <w:p>
      <w:pPr>
        <w:numPr>
          <w:ilvl w:val="0"/>
          <w:numId w:val="1035"/>
        </w:numPr>
        <w:pStyle w:val="Compact"/>
      </w:pPr>
      <w:r>
        <w:t xml:space="preserve">Communications Coordinator:</w:t>
      </w:r>
      <w:r>
        <w:t xml:space="preserve"> </w:t>
      </w:r>
      <w:r>
        <w:rPr>
          <w:bCs/>
          <w:b/>
        </w:rPr>
        <w:t xml:space="preserve">COP 6.0-6.5 millones/mes</w:t>
      </w:r>
      <w:r>
        <w:t xml:space="preserve"> </w:t>
      </w:r>
      <w:r>
        <w:t xml:space="preserve">para un rol estratégico con liderazgo de equipo;</w:t>
      </w:r>
    </w:p>
    <w:p>
      <w:pPr>
        <w:numPr>
          <w:ilvl w:val="0"/>
          <w:numId w:val="1035"/>
        </w:numPr>
        <w:pStyle w:val="Compact"/>
      </w:pPr>
      <w:r>
        <w:t xml:space="preserve">Communications and Digital Marketing Coordinator:</w:t>
      </w:r>
      <w:r>
        <w:t xml:space="preserve"> </w:t>
      </w:r>
      <w:r>
        <w:rPr>
          <w:bCs/>
          <w:b/>
        </w:rPr>
        <w:t xml:space="preserve">COP 2.8 millones/mes</w:t>
      </w:r>
      <w:r>
        <w:t xml:space="preserve"> </w:t>
      </w:r>
      <w:r>
        <w:t xml:space="preserve">para un rol más acotado de contenido digital.</w:t>
      </w:r>
    </w:p>
    <w:p>
      <w:pPr>
        <w:pStyle w:val="FirstParagraph"/>
      </w:pPr>
      <w:r>
        <w:t xml:space="preserve">Son publicaciones individuales, no promedios representativos. Verifique siempre si una cifra es salario base, compensación total, pago de contratista u otro esquema.</w:t>
      </w:r>
    </w:p>
    <w:bookmarkEnd w:id="70"/>
    <w:bookmarkEnd w:id="71"/>
    <w:bookmarkStart w:id="72" w:name="construir-un-portafolio-de-forma-ética"/>
    <w:p>
      <w:pPr>
        <w:pStyle w:val="Heading2"/>
      </w:pPr>
      <w:r>
        <w:t xml:space="preserve">Construir un portafolio de forma ética</w:t>
      </w:r>
    </w:p>
    <w:p>
      <w:pPr>
        <w:pStyle w:val="FirstParagraph"/>
      </w:pPr>
      <w:r>
        <w:t xml:space="preserve">Un portafolio inicial puede usar trabajo ficticio o autorizado.</w:t>
      </w:r>
    </w:p>
    <w:p>
      <w:pPr>
        <w:pStyle w:val="BodyText"/>
      </w:pPr>
      <w:r>
        <w:t xml:space="preserve">Muestras útiles incluyen:</w:t>
      </w:r>
    </w:p>
    <w:p>
      <w:pPr>
        <w:numPr>
          <w:ilvl w:val="0"/>
          <w:numId w:val="1036"/>
        </w:numPr>
        <w:pStyle w:val="Compact"/>
      </w:pPr>
      <w:r>
        <w:t xml:space="preserve">un comunicado de prensa ficticio;</w:t>
      </w:r>
    </w:p>
    <w:p>
      <w:pPr>
        <w:numPr>
          <w:ilvl w:val="0"/>
          <w:numId w:val="1036"/>
        </w:numPr>
        <w:pStyle w:val="Compact"/>
      </w:pPr>
      <w:r>
        <w:t xml:space="preserve">un briefing de medios de una página;</w:t>
      </w:r>
    </w:p>
    <w:p>
      <w:pPr>
        <w:numPr>
          <w:ilvl w:val="0"/>
          <w:numId w:val="1036"/>
        </w:numPr>
        <w:pStyle w:val="Compact"/>
      </w:pPr>
      <w:r>
        <w:t xml:space="preserve">un anuncio interno ficticio;</w:t>
      </w:r>
    </w:p>
    <w:p>
      <w:pPr>
        <w:numPr>
          <w:ilvl w:val="0"/>
          <w:numId w:val="1036"/>
        </w:numPr>
        <w:pStyle w:val="Compact"/>
      </w:pPr>
      <w:r>
        <w:t xml:space="preserve">un calendario de contenido para redes;</w:t>
      </w:r>
    </w:p>
    <w:p>
      <w:pPr>
        <w:numPr>
          <w:ilvl w:val="0"/>
          <w:numId w:val="1036"/>
        </w:numPr>
        <w:pStyle w:val="Compact"/>
      </w:pPr>
      <w:r>
        <w:t xml:space="preserve">un rastreador de proyecto de comunicaciones;</w:t>
      </w:r>
    </w:p>
    <w:p>
      <w:pPr>
        <w:numPr>
          <w:ilvl w:val="0"/>
          <w:numId w:val="1036"/>
        </w:numPr>
        <w:pStyle w:val="Compact"/>
      </w:pPr>
      <w:r>
        <w:t xml:space="preserve">un plan de comunicaciones para eventos;</w:t>
      </w:r>
    </w:p>
    <w:p>
      <w:pPr>
        <w:numPr>
          <w:ilvl w:val="0"/>
          <w:numId w:val="1036"/>
        </w:numPr>
        <w:pStyle w:val="Compact"/>
      </w:pPr>
      <w:r>
        <w:t xml:space="preserve">un resumen de monitoreo de medios usando artículos públicos;</w:t>
      </w:r>
    </w:p>
    <w:p>
      <w:pPr>
        <w:numPr>
          <w:ilvl w:val="0"/>
          <w:numId w:val="1036"/>
        </w:numPr>
        <w:pStyle w:val="Compact"/>
      </w:pPr>
      <w:r>
        <w:t xml:space="preserve">una maqueta de boletín accesible;</w:t>
      </w:r>
    </w:p>
    <w:p>
      <w:pPr>
        <w:numPr>
          <w:ilvl w:val="0"/>
          <w:numId w:val="1036"/>
        </w:numPr>
        <w:pStyle w:val="Compact"/>
      </w:pPr>
      <w:r>
        <w:t xml:space="preserve">un árbol de decisiones para escalamiento de crisis que demuestre límites en vez de pretender ser asesoría legal;</w:t>
      </w:r>
    </w:p>
    <w:p>
      <w:pPr>
        <w:numPr>
          <w:ilvl w:val="0"/>
          <w:numId w:val="1036"/>
        </w:numPr>
        <w:pStyle w:val="Compact"/>
      </w:pPr>
      <w:r>
        <w:t xml:space="preserve">una comparación antes/después de una reescritura en lenguaje claro de material creado por usted mismo.</w:t>
      </w:r>
    </w:p>
    <w:p>
      <w:pPr>
        <w:pStyle w:val="FirstParagraph"/>
      </w:pPr>
      <w:r>
        <w:t xml:space="preserve">Etiquete claramente el trabajo ficticio. No presente material confidencial de un empleador, datos privados, activos protegidos por derechos de autor sin permiso, cobertura de medios inventada o resultados falsos de campañas como experiencia real.</w:t>
      </w:r>
    </w:p>
    <w:bookmarkEnd w:id="72"/>
    <w:bookmarkStart w:id="77" w:name="un-plan-práctico-de-inicio-de-30-días"/>
    <w:p>
      <w:pPr>
        <w:pStyle w:val="Heading2"/>
      </w:pPr>
      <w:r>
        <w:t xml:space="preserve">Un plan práctico de inicio de 30 días</w:t>
      </w:r>
    </w:p>
    <w:bookmarkStart w:id="73" w:name="semana-1--fundamentos"/>
    <w:p>
      <w:pPr>
        <w:pStyle w:val="Heading3"/>
      </w:pPr>
      <w:r>
        <w:t xml:space="preserve">Semana 1 — fundamentos</w:t>
      </w:r>
    </w:p>
    <w:p>
      <w:pPr>
        <w:numPr>
          <w:ilvl w:val="0"/>
          <w:numId w:val="1037"/>
        </w:numPr>
        <w:pStyle w:val="Compact"/>
      </w:pPr>
      <w:r>
        <w:t xml:space="preserve">revisar varias descripciones de cargos vigentes;</w:t>
      </w:r>
    </w:p>
    <w:p>
      <w:pPr>
        <w:numPr>
          <w:ilvl w:val="0"/>
          <w:numId w:val="1037"/>
        </w:numPr>
        <w:pStyle w:val="Compact"/>
      </w:pPr>
      <w:r>
        <w:t xml:space="preserve">identificar habilidades comunes de redacción, coordinación, digital y reportes;</w:t>
      </w:r>
    </w:p>
    <w:p>
      <w:pPr>
        <w:numPr>
          <w:ilvl w:val="0"/>
          <w:numId w:val="1037"/>
        </w:numPr>
        <w:pStyle w:val="Compact"/>
      </w:pPr>
      <w:r>
        <w:t xml:space="preserve">practicar corrección y verificación de fuentes;</w:t>
      </w:r>
    </w:p>
    <w:p>
      <w:pPr>
        <w:numPr>
          <w:ilvl w:val="0"/>
          <w:numId w:val="1037"/>
        </w:numPr>
        <w:pStyle w:val="Compact"/>
      </w:pPr>
      <w:r>
        <w:t xml:space="preserve">aprender funciones básicas de hojas de cálculo y presentaciones;</w:t>
      </w:r>
    </w:p>
    <w:p>
      <w:pPr>
        <w:numPr>
          <w:ilvl w:val="0"/>
          <w:numId w:val="1037"/>
        </w:numPr>
        <w:pStyle w:val="Compact"/>
      </w:pPr>
      <w:r>
        <w:t xml:space="preserve">crear una lista simple de aprobación.</w:t>
      </w:r>
    </w:p>
    <w:bookmarkEnd w:id="73"/>
    <w:bookmarkStart w:id="74" w:name="semana-2--práctica-de-portafolio"/>
    <w:p>
      <w:pPr>
        <w:pStyle w:val="Heading3"/>
      </w:pPr>
      <w:r>
        <w:t xml:space="preserve">Semana 2 — práctica de portafolio</w:t>
      </w:r>
    </w:p>
    <w:p>
      <w:pPr>
        <w:numPr>
          <w:ilvl w:val="0"/>
          <w:numId w:val="1038"/>
        </w:numPr>
        <w:pStyle w:val="Compact"/>
      </w:pPr>
      <w:r>
        <w:t xml:space="preserve">escribir un comunicado de prensa ficticio;</w:t>
      </w:r>
    </w:p>
    <w:p>
      <w:pPr>
        <w:numPr>
          <w:ilvl w:val="0"/>
          <w:numId w:val="1038"/>
        </w:numPr>
        <w:pStyle w:val="Compact"/>
      </w:pPr>
      <w:r>
        <w:t xml:space="preserve">crear un anuncio interno breve;</w:t>
      </w:r>
    </w:p>
    <w:p>
      <w:pPr>
        <w:numPr>
          <w:ilvl w:val="0"/>
          <w:numId w:val="1038"/>
        </w:numPr>
        <w:pStyle w:val="Compact"/>
      </w:pPr>
      <w:r>
        <w:t xml:space="preserve">crear un calendario de contenido de una semana;</w:t>
      </w:r>
    </w:p>
    <w:p>
      <w:pPr>
        <w:numPr>
          <w:ilvl w:val="0"/>
          <w:numId w:val="1038"/>
        </w:numPr>
        <w:pStyle w:val="Compact"/>
      </w:pPr>
      <w:r>
        <w:t xml:space="preserve">construir una hoja de monitoreo de medios usando información pública;</w:t>
      </w:r>
    </w:p>
    <w:p>
      <w:pPr>
        <w:numPr>
          <w:ilvl w:val="0"/>
          <w:numId w:val="1038"/>
        </w:numPr>
        <w:pStyle w:val="Compact"/>
      </w:pPr>
      <w:r>
        <w:t xml:space="preserve">revisar cada elemento por accesibilidad y lenguaje claro.</w:t>
      </w:r>
    </w:p>
    <w:bookmarkEnd w:id="74"/>
    <w:bookmarkStart w:id="75" w:name="semana-3--herramientas-y-seguridad"/>
    <w:p>
      <w:pPr>
        <w:pStyle w:val="Heading3"/>
      </w:pPr>
      <w:r>
        <w:t xml:space="preserve">Semana 3 — herramientas y seguridad</w:t>
      </w:r>
    </w:p>
    <w:p>
      <w:pPr>
        <w:numPr>
          <w:ilvl w:val="0"/>
          <w:numId w:val="1039"/>
        </w:numPr>
        <w:pStyle w:val="Compact"/>
      </w:pPr>
      <w:r>
        <w:t xml:space="preserve">practicar conceptos de gestión de contenido o programación social usando entornos de capacitación cuando sea posible;</w:t>
      </w:r>
    </w:p>
    <w:p>
      <w:pPr>
        <w:numPr>
          <w:ilvl w:val="0"/>
          <w:numId w:val="1039"/>
        </w:numPr>
        <w:pStyle w:val="Compact"/>
      </w:pPr>
      <w:r>
        <w:t xml:space="preserve">aprender fundamentos de MFA, phishing, contraseñas, recuperación de cuentas, privacidad y uso compartido de archivos;</w:t>
      </w:r>
    </w:p>
    <w:p>
      <w:pPr>
        <w:numPr>
          <w:ilvl w:val="0"/>
          <w:numId w:val="1039"/>
        </w:numPr>
        <w:pStyle w:val="Compact"/>
      </w:pPr>
      <w:r>
        <w:t xml:space="preserve">revisar cómo etiquetar borradores y preservar historial de versiones;</w:t>
      </w:r>
    </w:p>
    <w:p>
      <w:pPr>
        <w:numPr>
          <w:ilvl w:val="0"/>
          <w:numId w:val="1039"/>
        </w:numPr>
        <w:pStyle w:val="Compact"/>
      </w:pPr>
      <w:r>
        <w:t xml:space="preserve">practicar cómo verificar una solicitud sospechosa antes de actuar.</w:t>
      </w:r>
    </w:p>
    <w:bookmarkEnd w:id="75"/>
    <w:bookmarkStart w:id="76" w:name="semana-4--preparación-para-buscar-empleo"/>
    <w:p>
      <w:pPr>
        <w:pStyle w:val="Heading3"/>
      </w:pPr>
      <w:r>
        <w:t xml:space="preserve">Semana 4 — preparación para buscar empleo</w:t>
      </w:r>
    </w:p>
    <w:p>
      <w:pPr>
        <w:numPr>
          <w:ilvl w:val="0"/>
          <w:numId w:val="1040"/>
        </w:numPr>
        <w:pStyle w:val="Compact"/>
      </w:pPr>
      <w:r>
        <w:t xml:space="preserve">adaptar un currículum a responsabilidades de asistente/coordinador que pueda respaldar con evidencia;</w:t>
      </w:r>
    </w:p>
    <w:p>
      <w:pPr>
        <w:numPr>
          <w:ilvl w:val="0"/>
          <w:numId w:val="1040"/>
        </w:numPr>
        <w:pStyle w:val="Compact"/>
      </w:pPr>
      <w:r>
        <w:t xml:space="preserve">seleccionar de tres a cinco muestras éticas de portafolio;</w:t>
      </w:r>
    </w:p>
    <w:p>
      <w:pPr>
        <w:numPr>
          <w:ilvl w:val="0"/>
          <w:numId w:val="1040"/>
        </w:numPr>
        <w:pStyle w:val="Compact"/>
      </w:pPr>
      <w:r>
        <w:t xml:space="preserve">preparar ejemplos de entrevista sobre precisión, plazos, trabajo en equipo, corrección de errores, confidencialidad y escalamiento;</w:t>
      </w:r>
    </w:p>
    <w:p>
      <w:pPr>
        <w:numPr>
          <w:ilvl w:val="0"/>
          <w:numId w:val="1040"/>
        </w:numPr>
        <w:pStyle w:val="Compact"/>
      </w:pPr>
      <w:r>
        <w:t xml:space="preserve">buscar sitios de empleadores, recursos laborales, pasantías y programas de capacitación;</w:t>
      </w:r>
    </w:p>
    <w:p>
      <w:pPr>
        <w:numPr>
          <w:ilvl w:val="0"/>
          <w:numId w:val="1040"/>
        </w:numPr>
        <w:pStyle w:val="Compact"/>
      </w:pPr>
      <w:r>
        <w:t xml:space="preserve">verificar ubicación del cargo, horario, requisitos de idioma y autorización de trabajo antes de postularse.</w:t>
      </w:r>
    </w:p>
    <w:bookmarkEnd w:id="76"/>
    <w:bookmarkEnd w:id="77"/>
    <w:bookmarkStart w:id="78" w:name="preguntas-de-entrevista-para-practicar"/>
    <w:p>
      <w:pPr>
        <w:pStyle w:val="Heading2"/>
      </w:pPr>
      <w:r>
        <w:t xml:space="preserve">Preguntas de entrevista para practicar</w:t>
      </w:r>
    </w:p>
    <w:p>
      <w:pPr>
        <w:pStyle w:val="FirstParagraph"/>
      </w:pPr>
      <w:r>
        <w:t xml:space="preserve">Prepare ejemplos concisos para preguntas como:</w:t>
      </w:r>
    </w:p>
    <w:p>
      <w:pPr>
        <w:numPr>
          <w:ilvl w:val="0"/>
          <w:numId w:val="1041"/>
        </w:numPr>
        <w:pStyle w:val="Compact"/>
      </w:pPr>
      <w:r>
        <w:t xml:space="preserve">¿Cómo verifica información antes de publicarla?</w:t>
      </w:r>
    </w:p>
    <w:p>
      <w:pPr>
        <w:numPr>
          <w:ilvl w:val="0"/>
          <w:numId w:val="1041"/>
        </w:numPr>
        <w:pStyle w:val="Compact"/>
      </w:pPr>
      <w:r>
        <w:t xml:space="preserve">¿Qué haría si un ejecutivo pidiera una publicación urgente que contiene una estadística no verificada?</w:t>
      </w:r>
    </w:p>
    <w:p>
      <w:pPr>
        <w:numPr>
          <w:ilvl w:val="0"/>
          <w:numId w:val="1041"/>
        </w:numPr>
        <w:pStyle w:val="Compact"/>
      </w:pPr>
      <w:r>
        <w:t xml:space="preserve">¿Cómo administra varios plazos de comunicaciones a la vez?</w:t>
      </w:r>
    </w:p>
    <w:p>
      <w:pPr>
        <w:numPr>
          <w:ilvl w:val="0"/>
          <w:numId w:val="1041"/>
        </w:numPr>
        <w:pStyle w:val="Compact"/>
      </w:pPr>
      <w:r>
        <w:t xml:space="preserve">¿Cómo manejaría un mensaje sospechoso de phishing enviado a un administrador de redes sociales?</w:t>
      </w:r>
    </w:p>
    <w:p>
      <w:pPr>
        <w:numPr>
          <w:ilvl w:val="0"/>
          <w:numId w:val="1041"/>
        </w:numPr>
        <w:pStyle w:val="Compact"/>
      </w:pPr>
      <w:r>
        <w:t xml:space="preserve">¿Qué haría si publicara una fecha incorrecta?</w:t>
      </w:r>
    </w:p>
    <w:p>
      <w:pPr>
        <w:numPr>
          <w:ilvl w:val="0"/>
          <w:numId w:val="1041"/>
        </w:numPr>
        <w:pStyle w:val="Compact"/>
      </w:pPr>
      <w:r>
        <w:t xml:space="preserve">¿Cómo protege información confidencial al colaborar con proveedores?</w:t>
      </w:r>
    </w:p>
    <w:p>
      <w:pPr>
        <w:numPr>
          <w:ilvl w:val="0"/>
          <w:numId w:val="1041"/>
        </w:numPr>
        <w:pStyle w:val="Compact"/>
      </w:pPr>
      <w:r>
        <w:t xml:space="preserve">¿Cómo hace que un documento o publicación social sea más accesible?</w:t>
      </w:r>
    </w:p>
    <w:p>
      <w:pPr>
        <w:numPr>
          <w:ilvl w:val="0"/>
          <w:numId w:val="1041"/>
        </w:numPr>
        <w:pStyle w:val="Compact"/>
      </w:pPr>
      <w:r>
        <w:t xml:space="preserve">¿Cómo usaría IA de forma responsable en comunicaciones?</w:t>
      </w:r>
    </w:p>
    <w:p>
      <w:pPr>
        <w:numPr>
          <w:ilvl w:val="0"/>
          <w:numId w:val="1041"/>
        </w:numPr>
        <w:pStyle w:val="Compact"/>
      </w:pPr>
      <w:r>
        <w:t xml:space="preserve">¿Cómo responde cuando no tiene autoridad para contestar una pregunta de medios?</w:t>
      </w:r>
    </w:p>
    <w:p>
      <w:pPr>
        <w:pStyle w:val="FirstParagraph"/>
      </w:pPr>
      <w:r>
        <w:t xml:space="preserve">Las respuestas sólidas demuestran verificación tranquila, documentación, comunicación clara, escalamiento apropiado y respeto por los límites de aprobación.</w:t>
      </w:r>
    </w:p>
    <w:bookmarkEnd w:id="78"/>
    <w:bookmarkStart w:id="79" w:name="progresión-profesional"/>
    <w:p>
      <w:pPr>
        <w:pStyle w:val="Heading2"/>
      </w:pPr>
      <w:r>
        <w:t xml:space="preserve">Progresión profesional</w:t>
      </w:r>
    </w:p>
    <w:p>
      <w:pPr>
        <w:pStyle w:val="FirstParagraph"/>
      </w:pPr>
      <w:r>
        <w:t xml:space="preserve">La progresión posible puede incluir:</w:t>
      </w:r>
    </w:p>
    <w:p>
      <w:pPr>
        <w:numPr>
          <w:ilvl w:val="0"/>
          <w:numId w:val="1042"/>
        </w:numPr>
        <w:pStyle w:val="Compact"/>
      </w:pPr>
      <w:r>
        <w:t xml:space="preserve">asistente de comunicaciones;</w:t>
      </w:r>
    </w:p>
    <w:p>
      <w:pPr>
        <w:numPr>
          <w:ilvl w:val="0"/>
          <w:numId w:val="1042"/>
        </w:numPr>
        <w:pStyle w:val="Compact"/>
      </w:pPr>
      <w:r>
        <w:t xml:space="preserve">asistente de relaciones públicas;</w:t>
      </w:r>
    </w:p>
    <w:p>
      <w:pPr>
        <w:numPr>
          <w:ilvl w:val="0"/>
          <w:numId w:val="1042"/>
        </w:numPr>
        <w:pStyle w:val="Compact"/>
      </w:pPr>
      <w:r>
        <w:t xml:space="preserve">coordinador de comunicaciones;</w:t>
      </w:r>
    </w:p>
    <w:p>
      <w:pPr>
        <w:numPr>
          <w:ilvl w:val="0"/>
          <w:numId w:val="1042"/>
        </w:numPr>
        <w:pStyle w:val="Compact"/>
      </w:pPr>
      <w:r>
        <w:t xml:space="preserve">coordinador de relaciones con medios;</w:t>
      </w:r>
    </w:p>
    <w:p>
      <w:pPr>
        <w:numPr>
          <w:ilvl w:val="0"/>
          <w:numId w:val="1042"/>
        </w:numPr>
        <w:pStyle w:val="Compact"/>
      </w:pPr>
      <w:r>
        <w:t xml:space="preserve">coordinador de comunicaciones internas;</w:t>
      </w:r>
    </w:p>
    <w:p>
      <w:pPr>
        <w:numPr>
          <w:ilvl w:val="0"/>
          <w:numId w:val="1042"/>
        </w:numPr>
        <w:pStyle w:val="Compact"/>
      </w:pPr>
      <w:r>
        <w:t xml:space="preserve">coordinador de relaciones comunitarias;</w:t>
      </w:r>
    </w:p>
    <w:p>
      <w:pPr>
        <w:numPr>
          <w:ilvl w:val="0"/>
          <w:numId w:val="1042"/>
        </w:numPr>
        <w:pStyle w:val="Compact"/>
      </w:pPr>
      <w:r>
        <w:t xml:space="preserve">especialista en comunicaciones;</w:t>
      </w:r>
    </w:p>
    <w:p>
      <w:pPr>
        <w:numPr>
          <w:ilvl w:val="0"/>
          <w:numId w:val="1042"/>
        </w:numPr>
        <w:pStyle w:val="Compact"/>
      </w:pPr>
      <w:r>
        <w:t xml:space="preserve">especialista en relaciones públicas;</w:t>
      </w:r>
    </w:p>
    <w:p>
      <w:pPr>
        <w:numPr>
          <w:ilvl w:val="0"/>
          <w:numId w:val="1042"/>
        </w:numPr>
        <w:pStyle w:val="Compact"/>
      </w:pPr>
      <w:r>
        <w:t xml:space="preserve">especialista sénior en comunicaciones;</w:t>
      </w:r>
    </w:p>
    <w:p>
      <w:pPr>
        <w:numPr>
          <w:ilvl w:val="0"/>
          <w:numId w:val="1042"/>
        </w:numPr>
        <w:pStyle w:val="Compact"/>
      </w:pPr>
      <w:r>
        <w:t xml:space="preserve">gerente de comunicaciones;</w:t>
      </w:r>
    </w:p>
    <w:p>
      <w:pPr>
        <w:numPr>
          <w:ilvl w:val="0"/>
          <w:numId w:val="1042"/>
        </w:numPr>
        <w:pStyle w:val="Compact"/>
      </w:pPr>
      <w:r>
        <w:t xml:space="preserve">gerente de relaciones públicas;</w:t>
      </w:r>
    </w:p>
    <w:p>
      <w:pPr>
        <w:numPr>
          <w:ilvl w:val="0"/>
          <w:numId w:val="1042"/>
        </w:numPr>
        <w:pStyle w:val="Compact"/>
      </w:pPr>
      <w:r>
        <w:t xml:space="preserve">gerente de comunicaciones corporativas;</w:t>
      </w:r>
    </w:p>
    <w:p>
      <w:pPr>
        <w:numPr>
          <w:ilvl w:val="0"/>
          <w:numId w:val="1042"/>
        </w:numPr>
        <w:pStyle w:val="Compact"/>
      </w:pPr>
      <w:r>
        <w:t xml:space="preserve">rutas especializadas en relaciones con medios, comunicaciones internas, relaciones comunitarias, asuntos públicos, comunicaciones ejecutivas, comunicaciones de crisis, comunicaciones digitales o estrategia de contenido.</w:t>
      </w:r>
    </w:p>
    <w:p>
      <w:pPr>
        <w:pStyle w:val="FirstParagraph"/>
      </w:pPr>
      <w:r>
        <w:t xml:space="preserve">El avance depende de resultados demostrados, calidad de redacción, criterio, conocimiento del sector, educación, fortaleza del portafolio, relaciones, capacidad de liderazgo y necesidades del empleador. Ningún título o curso garantiza una promoción.</w:t>
      </w:r>
    </w:p>
    <w:bookmarkEnd w:id="79"/>
    <w:bookmarkStart w:id="80" w:name="X982bde2329f45aeefff0bfa39d2ca034b02fcac"/>
    <w:p>
      <w:pPr>
        <w:pStyle w:val="Heading2"/>
      </w:pPr>
      <w:r>
        <w:t xml:space="preserve">Lista final antes de publicar contenido importante</w:t>
      </w:r>
    </w:p>
    <w:p>
      <w:pPr>
        <w:pStyle w:val="FirstParagraph"/>
      </w:pPr>
      <w:r>
        <w:t xml:space="preserve">Confirme que:</w:t>
      </w:r>
    </w:p>
    <w:p>
      <w:pPr>
        <w:numPr>
          <w:ilvl w:val="0"/>
          <w:numId w:val="1043"/>
        </w:numPr>
        <w:pStyle w:val="Compact"/>
      </w:pPr>
      <w:r>
        <w:t xml:space="preserve">la fuente sea vigente y apropiada;</w:t>
      </w:r>
    </w:p>
    <w:p>
      <w:pPr>
        <w:numPr>
          <w:ilvl w:val="0"/>
          <w:numId w:val="1043"/>
        </w:numPr>
        <w:pStyle w:val="Compact"/>
      </w:pPr>
      <w:r>
        <w:t xml:space="preserve">nombres y cargos sean correctos;</w:t>
      </w:r>
    </w:p>
    <w:p>
      <w:pPr>
        <w:numPr>
          <w:ilvl w:val="0"/>
          <w:numId w:val="1043"/>
        </w:numPr>
        <w:pStyle w:val="Compact"/>
      </w:pPr>
      <w:r>
        <w:t xml:space="preserve">fechas y horas sean correctas;</w:t>
      </w:r>
    </w:p>
    <w:p>
      <w:pPr>
        <w:numPr>
          <w:ilvl w:val="0"/>
          <w:numId w:val="1043"/>
        </w:numPr>
        <w:pStyle w:val="Compact"/>
      </w:pPr>
      <w:r>
        <w:t xml:space="preserve">las citas sean exactas y autorizadas;</w:t>
      </w:r>
    </w:p>
    <w:p>
      <w:pPr>
        <w:numPr>
          <w:ilvl w:val="0"/>
          <w:numId w:val="1043"/>
        </w:numPr>
        <w:pStyle w:val="Compact"/>
      </w:pPr>
      <w:r>
        <w:t xml:space="preserve">las estadísticas coincidan con la fuente y fecha;</w:t>
      </w:r>
    </w:p>
    <w:p>
      <w:pPr>
        <w:numPr>
          <w:ilvl w:val="0"/>
          <w:numId w:val="1043"/>
        </w:numPr>
        <w:pStyle w:val="Compact"/>
      </w:pPr>
      <w:r>
        <w:t xml:space="preserve">las afirmaciones tengan respaldo;</w:t>
      </w:r>
    </w:p>
    <w:p>
      <w:pPr>
        <w:numPr>
          <w:ilvl w:val="0"/>
          <w:numId w:val="1043"/>
        </w:numPr>
        <w:pStyle w:val="Compact"/>
      </w:pPr>
      <w:r>
        <w:t xml:space="preserve">la revisión legal o de cumplimiento requerida esté completa;</w:t>
      </w:r>
    </w:p>
    <w:p>
      <w:pPr>
        <w:numPr>
          <w:ilvl w:val="0"/>
          <w:numId w:val="1043"/>
        </w:numPr>
        <w:pStyle w:val="Compact"/>
      </w:pPr>
      <w:r>
        <w:t xml:space="preserve">las divulgaciones de patrocinio o respaldo estén gestionadas cuando correspondan;</w:t>
      </w:r>
    </w:p>
    <w:p>
      <w:pPr>
        <w:numPr>
          <w:ilvl w:val="0"/>
          <w:numId w:val="1043"/>
        </w:numPr>
        <w:pStyle w:val="Compact"/>
      </w:pPr>
      <w:r>
        <w:t xml:space="preserve">los elementos de accesibilidad estén atendidos;</w:t>
      </w:r>
    </w:p>
    <w:p>
      <w:pPr>
        <w:numPr>
          <w:ilvl w:val="0"/>
          <w:numId w:val="1043"/>
        </w:numPr>
        <w:pStyle w:val="Compact"/>
      </w:pPr>
      <w:r>
        <w:t xml:space="preserve">no se exponga información confidencial o personal;</w:t>
      </w:r>
    </w:p>
    <w:p>
      <w:pPr>
        <w:numPr>
          <w:ilvl w:val="0"/>
          <w:numId w:val="1043"/>
        </w:numPr>
        <w:pStyle w:val="Compact"/>
      </w:pPr>
      <w:r>
        <w:t xml:space="preserve">se hayan seleccionado la cuenta y audiencia correctas;</w:t>
      </w:r>
    </w:p>
    <w:p>
      <w:pPr>
        <w:numPr>
          <w:ilvl w:val="0"/>
          <w:numId w:val="1043"/>
        </w:numPr>
        <w:pStyle w:val="Compact"/>
      </w:pPr>
      <w:r>
        <w:t xml:space="preserve">enlaces y adjuntos funcionen;</w:t>
      </w:r>
    </w:p>
    <w:p>
      <w:pPr>
        <w:numPr>
          <w:ilvl w:val="0"/>
          <w:numId w:val="1043"/>
        </w:numPr>
        <w:pStyle w:val="Compact"/>
      </w:pPr>
      <w:r>
        <w:t xml:space="preserve">el aprobador autorizado haya aprobado la versión final;</w:t>
      </w:r>
    </w:p>
    <w:p>
      <w:pPr>
        <w:numPr>
          <w:ilvl w:val="0"/>
          <w:numId w:val="1043"/>
        </w:numPr>
        <w:pStyle w:val="Compact"/>
      </w:pPr>
      <w:r>
        <w:t xml:space="preserve">la versión final sea claramente distinguible de los borradores;</w:t>
      </w:r>
    </w:p>
    <w:p>
      <w:pPr>
        <w:numPr>
          <w:ilvl w:val="0"/>
          <w:numId w:val="1043"/>
        </w:numPr>
        <w:pStyle w:val="Compact"/>
      </w:pPr>
      <w:r>
        <w:t xml:space="preserve">se conozca una ruta de corrección y escalamiento.</w:t>
      </w:r>
    </w:p>
    <w:bookmarkEnd w:id="80"/>
    <w:bookmarkStart w:id="100" w:name="fuentes-y-enlaces-de-verificación"/>
    <w:p>
      <w:pPr>
        <w:pStyle w:val="Heading2"/>
      </w:pPr>
      <w:r>
        <w:t xml:space="preserve">Fuentes y enlaces de verificación</w:t>
      </w:r>
    </w:p>
    <w:bookmarkStart w:id="87" w:name="estados-unidos"/>
    <w:p>
      <w:pPr>
        <w:pStyle w:val="Heading3"/>
      </w:pPr>
      <w:r>
        <w:t xml:space="preserve">Estados Unidos</w:t>
      </w:r>
    </w:p>
    <w:p>
      <w:pPr>
        <w:numPr>
          <w:ilvl w:val="0"/>
          <w:numId w:val="1044"/>
        </w:numPr>
        <w:pStyle w:val="Compact"/>
      </w:pPr>
      <w:r>
        <w:t xml:space="preserve">O*NET Public Relations Specialists:</w:t>
      </w:r>
      <w:r>
        <w:t xml:space="preserve"> </w:t>
      </w:r>
      <w:hyperlink r:id="rId81">
        <w:hyperlink r:id="rId81">
          <w:r>
            <w:rPr>
              <w:rStyle w:val="Hyperlink"/>
            </w:rPr>
            <w:t xml:space="preserve">Source link</w:t>
          </w:r>
        </w:hyperlink>
      </w:hyperlink>
    </w:p>
    <w:p>
      <w:pPr>
        <w:numPr>
          <w:ilvl w:val="0"/>
          <w:numId w:val="1044"/>
        </w:numPr>
        <w:pStyle w:val="Compact"/>
      </w:pPr>
      <w:r>
        <w:t xml:space="preserve">Datos salariales O*NET/BLS:</w:t>
      </w:r>
      <w:r>
        <w:t xml:space="preserve"> </w:t>
      </w:r>
      <w:hyperlink r:id="rId82">
        <w:hyperlink r:id="rId82">
          <w:r>
            <w:rPr>
              <w:rStyle w:val="Hyperlink"/>
            </w:rPr>
            <w:t xml:space="preserve">Source link</w:t>
          </w:r>
        </w:hyperlink>
      </w:hyperlink>
    </w:p>
    <w:p>
      <w:pPr>
        <w:numPr>
          <w:ilvl w:val="0"/>
          <w:numId w:val="1044"/>
        </w:numPr>
        <w:pStyle w:val="Compact"/>
      </w:pPr>
      <w:r>
        <w:t xml:space="preserve">Localizador WIOA de CareerOneStop:</w:t>
      </w:r>
      <w:r>
        <w:t xml:space="preserve"> </w:t>
      </w:r>
      <w:hyperlink r:id="rId54">
        <w:hyperlink r:id="rId54">
          <w:r>
            <w:rPr>
              <w:rStyle w:val="Hyperlink"/>
            </w:rPr>
            <w:t xml:space="preserve">Source link</w:t>
          </w:r>
        </w:hyperlink>
      </w:hyperlink>
    </w:p>
    <w:p>
      <w:pPr>
        <w:numPr>
          <w:ilvl w:val="0"/>
          <w:numId w:val="1044"/>
        </w:numPr>
        <w:pStyle w:val="Compact"/>
      </w:pPr>
      <w:r>
        <w:t xml:space="preserve">CISA Secure Our World:</w:t>
      </w:r>
      <w:r>
        <w:t xml:space="preserve"> </w:t>
      </w:r>
      <w:hyperlink r:id="rId83">
        <w:r>
          <w:rPr>
            <w:rStyle w:val="Hyperlink"/>
          </w:rPr>
          <w:t xml:space="preserve">https://www.cisa.gov/secure-our-world</w:t>
        </w:r>
      </w:hyperlink>
    </w:p>
    <w:p>
      <w:pPr>
        <w:numPr>
          <w:ilvl w:val="0"/>
          <w:numId w:val="1044"/>
        </w:numPr>
        <w:pStyle w:val="Compact"/>
      </w:pPr>
      <w:r>
        <w:t xml:space="preserve">Orientación FTC sobre respaldos, influenciadores y reseñas:</w:t>
      </w:r>
      <w:r>
        <w:t xml:space="preserve"> </w:t>
      </w:r>
      <w:hyperlink r:id="rId84">
        <w:hyperlink r:id="rId84">
          <w:r>
            <w:rPr>
              <w:rStyle w:val="Hyperlink"/>
            </w:rPr>
            <w:t xml:space="preserve">Source link</w:t>
          </w:r>
        </w:hyperlink>
      </w:hyperlink>
    </w:p>
    <w:p>
      <w:pPr>
        <w:numPr>
          <w:ilvl w:val="0"/>
          <w:numId w:val="1044"/>
        </w:numPr>
        <w:pStyle w:val="Compact"/>
      </w:pPr>
      <w:r>
        <w:t xml:space="preserve">Orientación DOJ sobre accesibilidad web:</w:t>
      </w:r>
      <w:r>
        <w:t xml:space="preserve"> </w:t>
      </w:r>
      <w:hyperlink r:id="rId85">
        <w:r>
          <w:rPr>
            <w:rStyle w:val="Hyperlink"/>
          </w:rPr>
          <w:t xml:space="preserve">https://www.ada.gov/resources/web-guidance/</w:t>
        </w:r>
      </w:hyperlink>
    </w:p>
    <w:p>
      <w:pPr>
        <w:numPr>
          <w:ilvl w:val="0"/>
          <w:numId w:val="1044"/>
        </w:numPr>
        <w:pStyle w:val="Compact"/>
      </w:pPr>
      <w:r>
        <w:t xml:space="preserve">NIST AI Risk Management Framework:</w:t>
      </w:r>
      <w:r>
        <w:t xml:space="preserve"> </w:t>
      </w:r>
      <w:hyperlink r:id="rId86">
        <w:hyperlink r:id="rId86">
          <w:r>
            <w:rPr>
              <w:rStyle w:val="Hyperlink"/>
            </w:rPr>
            <w:t xml:space="preserve">Source link</w:t>
          </w:r>
        </w:hyperlink>
      </w:hyperlink>
    </w:p>
    <w:bookmarkEnd w:id="87"/>
    <w:bookmarkStart w:id="92" w:name="canadá"/>
    <w:p>
      <w:pPr>
        <w:pStyle w:val="Heading3"/>
      </w:pPr>
      <w:r>
        <w:t xml:space="preserve">Canadá</w:t>
      </w:r>
    </w:p>
    <w:p>
      <w:pPr>
        <w:numPr>
          <w:ilvl w:val="0"/>
          <w:numId w:val="1045"/>
        </w:numPr>
        <w:pStyle w:val="Compact"/>
      </w:pPr>
      <w:r>
        <w:t xml:space="preserve">Informe salarial Job Bank, NOC 11202:</w:t>
      </w:r>
      <w:r>
        <w:t xml:space="preserve"> </w:t>
      </w:r>
      <w:hyperlink r:id="rId88">
        <w:hyperlink r:id="rId88">
          <w:r>
            <w:rPr>
              <w:rStyle w:val="Hyperlink"/>
            </w:rPr>
            <w:t xml:space="preserve">Source link</w:t>
          </w:r>
        </w:hyperlink>
      </w:hyperlink>
    </w:p>
    <w:p>
      <w:pPr>
        <w:numPr>
          <w:ilvl w:val="0"/>
          <w:numId w:val="1045"/>
        </w:numPr>
        <w:pStyle w:val="Compact"/>
      </w:pPr>
      <w:r>
        <w:t xml:space="preserve">Perspectivas Job Bank, NOC 11202:</w:t>
      </w:r>
      <w:r>
        <w:t xml:space="preserve"> </w:t>
      </w:r>
      <w:hyperlink r:id="rId89">
        <w:hyperlink r:id="rId89">
          <w:r>
            <w:rPr>
              <w:rStyle w:val="Hyperlink"/>
            </w:rPr>
            <w:t xml:space="preserve">Source link</w:t>
          </w:r>
        </w:hyperlink>
      </w:hyperlink>
    </w:p>
    <w:p>
      <w:pPr>
        <w:numPr>
          <w:ilvl w:val="0"/>
          <w:numId w:val="1045"/>
        </w:numPr>
        <w:pStyle w:val="Compact"/>
      </w:pPr>
      <w:r>
        <w:t xml:space="preserve">Portal de capacitación de Canadá:</w:t>
      </w:r>
      <w:r>
        <w:t xml:space="preserve"> </w:t>
      </w:r>
      <w:hyperlink r:id="rId90">
        <w:hyperlink r:id="rId90">
          <w:r>
            <w:rPr>
              <w:rStyle w:val="Hyperlink"/>
            </w:rPr>
            <w:t xml:space="preserve">Source link</w:t>
          </w:r>
        </w:hyperlink>
      </w:hyperlink>
    </w:p>
    <w:p>
      <w:pPr>
        <w:numPr>
          <w:ilvl w:val="0"/>
          <w:numId w:val="1045"/>
        </w:numPr>
        <w:pStyle w:val="Compact"/>
      </w:pPr>
      <w:r>
        <w:t xml:space="preserve">Labour Market Development Agreements:</w:t>
      </w:r>
      <w:r>
        <w:t xml:space="preserve"> </w:t>
      </w:r>
      <w:hyperlink r:id="rId91">
        <w:hyperlink r:id="rId91">
          <w:r>
            <w:rPr>
              <w:rStyle w:val="Hyperlink"/>
            </w:rPr>
            <w:t xml:space="preserve">Source link</w:t>
          </w:r>
        </w:hyperlink>
      </w:hyperlink>
    </w:p>
    <w:bookmarkEnd w:id="92"/>
    <w:bookmarkStart w:id="98" w:name="colombia"/>
    <w:p>
      <w:pPr>
        <w:pStyle w:val="Heading3"/>
      </w:pPr>
      <w:r>
        <w:t xml:space="preserve">Colombia</w:t>
      </w:r>
    </w:p>
    <w:p>
      <w:pPr>
        <w:numPr>
          <w:ilvl w:val="0"/>
          <w:numId w:val="1046"/>
        </w:numPr>
        <w:pStyle w:val="Compact"/>
      </w:pPr>
      <w:r>
        <w:t xml:space="preserve">OCUPACOL CUOC 24320:</w:t>
      </w:r>
      <w:r>
        <w:t xml:space="preserve"> </w:t>
      </w:r>
      <w:hyperlink r:id="rId93">
        <w:hyperlink r:id="rId93">
          <w:r>
            <w:rPr>
              <w:rStyle w:val="Hyperlink"/>
            </w:rPr>
            <w:t xml:space="preserve">Source link</w:t>
          </w:r>
        </w:hyperlink>
      </w:hyperlink>
    </w:p>
    <w:p>
      <w:pPr>
        <w:numPr>
          <w:ilvl w:val="0"/>
          <w:numId w:val="1046"/>
        </w:numPr>
        <w:pStyle w:val="Compact"/>
      </w:pPr>
      <w:r>
        <w:t xml:space="preserve">OCUPACOL CUOC 33392:</w:t>
      </w:r>
      <w:r>
        <w:t xml:space="preserve"> </w:t>
      </w:r>
      <w:hyperlink r:id="rId94">
        <w:hyperlink r:id="rId94">
          <w:r>
            <w:rPr>
              <w:rStyle w:val="Hyperlink"/>
            </w:rPr>
            <w:t xml:space="preserve">Source link</w:t>
          </w:r>
        </w:hyperlink>
      </w:hyperlink>
    </w:p>
    <w:p>
      <w:pPr>
        <w:numPr>
          <w:ilvl w:val="0"/>
          <w:numId w:val="1046"/>
        </w:numPr>
        <w:pStyle w:val="Compact"/>
      </w:pPr>
      <w:r>
        <w:t xml:space="preserve">SENA contenido para redes sociales:</w:t>
      </w:r>
      <w:r>
        <w:t xml:space="preserve"> </w:t>
      </w:r>
      <w:hyperlink r:id="rId95">
        <w:hyperlink r:id="rId95">
          <w:r>
            <w:rPr>
              <w:rStyle w:val="Hyperlink"/>
            </w:rPr>
            <w:t xml:space="preserve">Source link</w:t>
          </w:r>
        </w:hyperlink>
      </w:hyperlink>
    </w:p>
    <w:p>
      <w:pPr>
        <w:numPr>
          <w:ilvl w:val="0"/>
          <w:numId w:val="1046"/>
        </w:numPr>
        <w:pStyle w:val="Compact"/>
      </w:pPr>
      <w:r>
        <w:t xml:space="preserve">SENA community management y analítica web:</w:t>
      </w:r>
      <w:r>
        <w:t xml:space="preserve"> </w:t>
      </w:r>
      <w:hyperlink r:id="rId96">
        <w:hyperlink r:id="rId96">
          <w:r>
            <w:rPr>
              <w:rStyle w:val="Hyperlink"/>
            </w:rPr>
            <w:t xml:space="preserve">Source link</w:t>
          </w:r>
        </w:hyperlink>
      </w:hyperlink>
    </w:p>
    <w:p>
      <w:pPr>
        <w:numPr>
          <w:ilvl w:val="0"/>
          <w:numId w:val="1046"/>
        </w:numPr>
        <w:pStyle w:val="Compact"/>
      </w:pPr>
      <w:r>
        <w:t xml:space="preserve">SENA marketing digital:</w:t>
      </w:r>
      <w:r>
        <w:t xml:space="preserve"> </w:t>
      </w:r>
      <w:hyperlink r:id="rId97">
        <w:hyperlink r:id="rId97">
          <w:r>
            <w:rPr>
              <w:rStyle w:val="Hyperlink"/>
            </w:rPr>
            <w:t xml:space="preserve">Source link</w:t>
          </w:r>
        </w:hyperlink>
      </w:hyperlink>
    </w:p>
    <w:bookmarkEnd w:id="98"/>
    <w:bookmarkStart w:id="99" w:name="américa-latina-y-el-caribe-1"/>
    <w:p>
      <w:pPr>
        <w:pStyle w:val="Heading3"/>
      </w:pPr>
      <w:r>
        <w:t xml:space="preserve">América Latina y el Caribe</w:t>
      </w:r>
    </w:p>
    <w:p>
      <w:pPr>
        <w:numPr>
          <w:ilvl w:val="0"/>
          <w:numId w:val="1047"/>
        </w:numPr>
        <w:pStyle w:val="Compact"/>
      </w:pPr>
      <w:r>
        <w:t xml:space="preserve">OIT/Cinterfor:</w:t>
      </w:r>
      <w:r>
        <w:t xml:space="preserve"> </w:t>
      </w:r>
      <w:hyperlink r:id="rId64">
        <w:r>
          <w:rPr>
            <w:rStyle w:val="Hyperlink"/>
          </w:rPr>
          <w:t xml:space="preserve">https://www.oitcinterfor.org/</w:t>
        </w:r>
      </w:hyperlink>
    </w:p>
    <w:p>
      <w:pPr>
        <w:numPr>
          <w:ilvl w:val="0"/>
          <w:numId w:val="1047"/>
        </w:numPr>
        <w:pStyle w:val="Compact"/>
      </w:pPr>
      <w:r>
        <w:t xml:space="preserve">Recursos por país de OIT/Cinterfor:</w:t>
      </w:r>
      <w:r>
        <w:t xml:space="preserve"> </w:t>
      </w:r>
      <w:hyperlink r:id="rId65">
        <w:r>
          <w:rPr>
            <w:rStyle w:val="Hyperlink"/>
          </w:rPr>
          <w:t xml:space="preserve">https://www.oitcinterfor.org/statsfp/paises</w:t>
        </w:r>
      </w:hyperlink>
    </w:p>
    <w:bookmarkEnd w:id="99"/>
    <w:bookmarkEnd w:id="100"/>
    <w:bookmarkStart w:id="101" w:name="aviso-importante"/>
    <w:p>
      <w:pPr>
        <w:pStyle w:val="Heading2"/>
      </w:pPr>
      <w:r>
        <w:t xml:space="preserve">Aviso importante</w:t>
      </w:r>
    </w:p>
    <w:p>
      <w:pPr>
        <w:pStyle w:val="FirstParagraph"/>
      </w:pPr>
      <w:r>
        <w:t xml:space="preserve">Esta guía proporciona información general de educación y planificación profesional. No garantiza empleo, ingresos, admisión, financiamiento, licencias, certificaciones, ascensos, cobertura de medios, resultados de campañas ni ningún otro resultado. Los requisitos cambian según empleador, jurisdicción, sector y momento. Verifique las decisiones importantes mediante fuentes oficiales vigentes y el profesional calificado o función organizacional responsable.</w:t>
      </w:r>
    </w:p>
    <w:p>
      <w:pPr>
        <w:pStyle w:val="BodyText"/>
      </w:pPr>
      <w:r>
        <w:t xml:space="preserve">Este maestro de trabajo controlado se preparó con investigación, organización y edición asistidas por IA bajo la dirección del autor del proyecto.</w:t>
      </w:r>
      <w:r>
        <w:t xml:space="preserve"> </w:t>
      </w:r>
      <w:r>
        <w:rPr>
          <w:bCs/>
          <w:b/>
        </w:rPr>
        <w:t xml:space="preserve">No</w:t>
      </w:r>
      <w:r>
        <w:t xml:space="preserve"> </w:t>
      </w:r>
      <w:r>
        <w:t xml:space="preserve">está certificado de manera independiente por revisores humanos, certificado profesionalmente como traducción, revisado jurídicamente, certificado en accesibilidad ni acreditado, salvo que un registro de evidencia separado lo indique expresamente.</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6" Target="https://betowa.sena.edu.co/oferta/community-management-y-analitica-web?modality=V&amp;programId=227600" TargetMode="External" /><Relationship Type="http://schemas.openxmlformats.org/officeDocument/2006/relationships/hyperlink" Id="rId95" Target="https://betowa.sena.edu.co/oferta/creacion-de-contenido-digital-para-redes-sociales?modality=P&amp;offertype=company&amp;programId=151934" TargetMode="External" /><Relationship Type="http://schemas.openxmlformats.org/officeDocument/2006/relationships/hyperlink" Id="rId97" Target="https://betowa.sena.edu.co/oferta/marketing-digital?modality=V" TargetMode="External" /><Relationship Type="http://schemas.openxmlformats.org/officeDocument/2006/relationships/hyperlink" Id="rId93" Target="https://ocupacol.mintrabajo.gov.co/Profile/OccupationalProfile/24320" TargetMode="External" /><Relationship Type="http://schemas.openxmlformats.org/officeDocument/2006/relationships/hyperlink" Id="rId94" Target="https://ocupacol.mintrabajo.gov.co/Profile/OccupationalProfile/33392" TargetMode="External" /><Relationship Type="http://schemas.openxmlformats.org/officeDocument/2006/relationships/hyperlink" Id="rId85" Target="https://www.ada.gov/resources/web-guidance/" TargetMode="External" /><Relationship Type="http://schemas.openxmlformats.org/officeDocument/2006/relationships/hyperlink" Id="rId91" Target="https://www.canada.ca/en/employment-social-development/programs/training-agreements/lmda.html" TargetMode="External" /><Relationship Type="http://schemas.openxmlformats.org/officeDocument/2006/relationships/hyperlink" Id="rId90" Target="https://www.canada.ca/en/services/jobs/training.html"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4" Target="https://www.ftc.gov/business-guidance/advertising-marketing/endorsements-influencers-reviews" TargetMode="External" /><Relationship Type="http://schemas.openxmlformats.org/officeDocument/2006/relationships/hyperlink" Id="rId89" Target="https://www.jobbank.gc.ca/outlookreport/occupation/20958" TargetMode="External" /><Relationship Type="http://schemas.openxmlformats.org/officeDocument/2006/relationships/hyperlink" Id="rId88" Target="https://www.jobbank.gc.ca/wagereport/occupation/24727" TargetMode="External" /><Relationship Type="http://schemas.openxmlformats.org/officeDocument/2006/relationships/hyperlink" Id="rId86" Target="https://www.nist.gov/itl/ai-risk-management-framework" TargetMode="External" /><Relationship Type="http://schemas.openxmlformats.org/officeDocument/2006/relationships/hyperlink" Id="rId64" Target="https://www.oitcinterfor.org/" TargetMode="External" /><Relationship Type="http://schemas.openxmlformats.org/officeDocument/2006/relationships/hyperlink" Id="rId65" Target="https://www.oitcinterfor.org/statsfp/paises" TargetMode="External" /><Relationship Type="http://schemas.openxmlformats.org/officeDocument/2006/relationships/hyperlink" Id="rId81" Target="https://www.onetonline.org/link/details/27-3031.00" TargetMode="External" /><Relationship Type="http://schemas.openxmlformats.org/officeDocument/2006/relationships/hyperlink" Id="rId82" Target="https://www.onetonline.org/link/localwages/27-3031.00" TargetMode="External" /></Relationships>
</file>

<file path=word/_rels/footnotes.xml.rels><?xml version="1.0" encoding="UTF-8"?><Relationships xmlns="http://schemas.openxmlformats.org/package/2006/relationships"><Relationship Type="http://schemas.openxmlformats.org/officeDocument/2006/relationships/hyperlink" Id="rId96" Target="https://betowa.sena.edu.co/oferta/community-management-y-analitica-web?modality=V&amp;programId=227600" TargetMode="External" /><Relationship Type="http://schemas.openxmlformats.org/officeDocument/2006/relationships/hyperlink" Id="rId95" Target="https://betowa.sena.edu.co/oferta/creacion-de-contenido-digital-para-redes-sociales?modality=P&amp;offertype=company&amp;programId=151934" TargetMode="External" /><Relationship Type="http://schemas.openxmlformats.org/officeDocument/2006/relationships/hyperlink" Id="rId97" Target="https://betowa.sena.edu.co/oferta/marketing-digital?modality=V" TargetMode="External" /><Relationship Type="http://schemas.openxmlformats.org/officeDocument/2006/relationships/hyperlink" Id="rId93" Target="https://ocupacol.mintrabajo.gov.co/Profile/OccupationalProfile/24320" TargetMode="External" /><Relationship Type="http://schemas.openxmlformats.org/officeDocument/2006/relationships/hyperlink" Id="rId94" Target="https://ocupacol.mintrabajo.gov.co/Profile/OccupationalProfile/33392" TargetMode="External" /><Relationship Type="http://schemas.openxmlformats.org/officeDocument/2006/relationships/hyperlink" Id="rId85" Target="https://www.ada.gov/resources/web-guidance/" TargetMode="External" /><Relationship Type="http://schemas.openxmlformats.org/officeDocument/2006/relationships/hyperlink" Id="rId91" Target="https://www.canada.ca/en/employment-social-development/programs/training-agreements/lmda.html" TargetMode="External" /><Relationship Type="http://schemas.openxmlformats.org/officeDocument/2006/relationships/hyperlink" Id="rId90" Target="https://www.canada.ca/en/services/jobs/training.html"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4" Target="https://www.ftc.gov/business-guidance/advertising-marketing/endorsements-influencers-reviews" TargetMode="External" /><Relationship Type="http://schemas.openxmlformats.org/officeDocument/2006/relationships/hyperlink" Id="rId89" Target="https://www.jobbank.gc.ca/outlookreport/occupation/20958" TargetMode="External" /><Relationship Type="http://schemas.openxmlformats.org/officeDocument/2006/relationships/hyperlink" Id="rId88" Target="https://www.jobbank.gc.ca/wagereport/occupation/24727" TargetMode="External" /><Relationship Type="http://schemas.openxmlformats.org/officeDocument/2006/relationships/hyperlink" Id="rId86" Target="https://www.nist.gov/itl/ai-risk-management-framework" TargetMode="External" /><Relationship Type="http://schemas.openxmlformats.org/officeDocument/2006/relationships/hyperlink" Id="rId64" Target="https://www.oitcinterfor.org/" TargetMode="External" /><Relationship Type="http://schemas.openxmlformats.org/officeDocument/2006/relationships/hyperlink" Id="rId65" Target="https://www.oitcinterfor.org/statsfp/paises" TargetMode="External" /><Relationship Type="http://schemas.openxmlformats.org/officeDocument/2006/relationships/hyperlink" Id="rId81" Target="https://www.onetonline.org/link/details/27-3031.00" TargetMode="External" /><Relationship Type="http://schemas.openxmlformats.org/officeDocument/2006/relationships/hyperlink" Id="rId82" Target="https://www.onetonline.org/link/localwages/27-303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2026-08-21T21:09:26Z</dcterms:created>
  <dcterms:modified xsi:type="dcterms:W3CDTF">2026-08-21T21:09:26Z</dcterms:modified>
</cp:coreProperties>
</file>

<file path=docProps/custom.xml><?xml version="1.0" encoding="utf-8"?>
<Properties xmlns="http://schemas.openxmlformats.org/officeDocument/2006/custom-properties" xmlns:vt="http://schemas.openxmlformats.org/officeDocument/2006/docPropsVTypes"/>
</file>