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4" w:name="Xc28d6d3918212d13a9b24cdfebaadc824eb41e3"/>
    <w:p>
      <w:pPr>
        <w:pStyle w:val="Heading1"/>
      </w:pPr>
      <w:r>
        <w:t xml:space="preserve">Guia de Oportunidades para Toda a Vida 07 — Especialista em Atendimento ao Cliente</w:t>
      </w:r>
    </w:p>
    <w:p>
      <w:pPr>
        <w:pStyle w:val="FirstParagraph"/>
      </w:pPr>
      <w:r>
        <w:rPr>
          <w:bCs/>
          <w:b/>
        </w:rPr>
        <w:t xml:space="preserve">Mestre de trabalho controlado 2026 em português do Brasil (pt-BR)</w:t>
      </w:r>
      <w:r>
        <w:br/>
      </w:r>
      <w:r>
        <w:t xml:space="preserve">Versão 2.0, mestre de trabalho • agosto de 2026</w:t>
      </w:r>
      <w:r>
        <w:br/>
      </w:r>
      <w:r>
        <w:t xml:space="preserve">Criado e dirigido por Alberto (Al) Leiva</w:t>
      </w:r>
      <w:r>
        <w:br/>
      </w:r>
      <w:r>
        <w:t xml:space="preserve">Pesquisa, organização, edição e preparação de documentos com apoio do ChatGPT, OpenAI</w:t>
      </w:r>
    </w:p>
    <w:p>
      <w:pPr>
        <w:pStyle w:val="BlockText"/>
      </w:pPr>
      <w:r>
        <w:rPr>
          <w:bCs/>
          <w:b/>
        </w:rPr>
        <w:t xml:space="preserve">Status controlado:</w:t>
      </w:r>
      <w:r>
        <w:t xml:space="preserve"> </w:t>
      </w:r>
      <w:r>
        <w:t xml:space="preserve">Esta é a versão revisada em português do Brasil do mestre de trabalho em inglês de 2026. Ainda não é candidata à publicação. Deve passar por controles de paridade de tradução, terminologia, links, acessibilidade, codificação, DOCX, PDF, metadados e publicação antes do lançamento.</w:t>
      </w:r>
    </w:p>
    <w:bookmarkStart w:id="20" w:name="a-promessa-deste-guia"/>
    <w:p>
      <w:pPr>
        <w:pStyle w:val="Heading2"/>
      </w:pPr>
      <w:r>
        <w:t xml:space="preserve">A promessa deste guia</w:t>
      </w:r>
    </w:p>
    <w:p>
      <w:pPr>
        <w:pStyle w:val="FirstParagraph"/>
      </w:pPr>
      <w:r>
        <w:t xml:space="preserve">Este guia não promete que o trabalho de atendimento ao cliente será adequado para todas as pessoas, que o treinamento será gratuito, que um certificado privado levará a um emprego, que haverá trabalho remoto ou que determinado salário estará disponível em uma localização específica. Ele foi criado para ajudar leitores a entender o trabalho, comparar formas acessíveis de desenvolver habilidades, proteger informações de clientes e empregadores, usar tecnologia e IA com responsabilidade e verificar requisitos locais antes de gastar dinheiro ou assumir uma obrigação.</w:t>
      </w:r>
    </w:p>
    <w:bookmarkEnd w:id="20"/>
    <w:bookmarkStart w:id="21" w:name="por-que-este-guia-existe"/>
    <w:p>
      <w:pPr>
        <w:pStyle w:val="Heading2"/>
      </w:pPr>
      <w:r>
        <w:t xml:space="preserve">Por que este guia existe</w:t>
      </w:r>
    </w:p>
    <w:p>
      <w:pPr>
        <w:pStyle w:val="FirstParagraph"/>
      </w:pPr>
      <w:r>
        <w:t xml:space="preserve">Os Guias de Oportunidades para Toda a Vida procuram tornar a exploração profissional e educacional mais acessível para pessoas que podem enfrentar barreiras relacionadas à idade, deficiência, renda, geografia, idioma ou histórico profissional não tradicional. O atendimento ao cliente pode ser uma porta de entrada para muitos setores e pode levar a operações, suporte de vendas, gestão de contas, qualidade, treinamento, gestão de força de trabalho, suporte técnico ou supervisão. Também pode envolver trabalho emocional, metas de desempenho, obrigações de privacidade, interações difíceis, software que muda rapidamente e horários que podem incluir noites, fins de semana ou feriados. É importante compreender essas realidades antes de pagar por treinamento ou aceitar uma função.</w:t>
      </w:r>
    </w:p>
    <w:bookmarkEnd w:id="21"/>
    <w:bookmarkStart w:id="22" w:name="reconhecimento-do-apoio-de-ia"/>
    <w:p>
      <w:pPr>
        <w:pStyle w:val="Heading2"/>
      </w:pPr>
      <w:r>
        <w:t xml:space="preserve">Reconhecimento do apoio de IA</w:t>
      </w:r>
    </w:p>
    <w:p>
      <w:pPr>
        <w:pStyle w:val="FirstParagraph"/>
      </w:pPr>
      <w:r>
        <w:t xml:space="preserve">Alberto (Al) Leiva concebeu e dirige este projeto e permanece responsável pelo guia. O ChatGPT da OpenAI foi utilizado como ferramenta de apoio para pesquisa, organização, edição e preparação de documentos. O apoio de IA não constitui certificação humana independente, certificação profissional de tradução, acreditação, revisão jurídica, aconselhamento financeiro, certificação de acessibilidade nem substitui fontes oficiais atuais e julgamento humano qualificado.</w:t>
      </w:r>
    </w:p>
    <w:bookmarkEnd w:id="22"/>
    <w:bookmarkStart w:id="23" w:name="limites-éticos-e-práticos"/>
    <w:p>
      <w:pPr>
        <w:pStyle w:val="Heading2"/>
      </w:pPr>
      <w:r>
        <w:t xml:space="preserve">Limites éticos e práticos</w:t>
      </w:r>
    </w:p>
    <w:p>
      <w:pPr>
        <w:pStyle w:val="FirstParagraph"/>
      </w:pPr>
      <w:r>
        <w:t xml:space="preserve">Este guia fornece informações gerais sobre educação e navegação profissional. Não constitui aconselhamento individualizado jurídico, financeiro, tributário, migratório, médico, de saúde mental, proteção ao consumidor, licenciamento ou emprego. Os requisitos de atendimento ao cliente variam conforme país, jurisdição, empregador, setor, produto, contrato, canal, lei de privacidade, regras de gravação, ambiente de pagamentos, obrigação de acessibilidade e plataforma tecnológica. Verifique fatos de alto impacto com a autoridade atual ou um profissional qualificado antes de assumir um compromisso financeiro, educacional, profissional, jurídico ou regulatório.</w:t>
      </w:r>
    </w:p>
    <w:p>
      <w:r>
        <w:pict>
          <v:rect style="width:0;height:1.5pt" o:hralign="center" o:hrstd="t" o:hr="t"/>
        </w:pict>
      </w:r>
    </w:p>
    <w:bookmarkEnd w:id="23"/>
    <w:bookmarkStart w:id="24" w:name="Xe00e48c00e301116f95d3cfe4d8312541046f4d"/>
    <w:p>
      <w:pPr>
        <w:pStyle w:val="Heading2"/>
      </w:pPr>
      <w:r>
        <w:t xml:space="preserve">1. Como usar este guia</w:t>
      </w:r>
    </w:p>
    <w:p>
      <w:pPr>
        <w:pStyle w:val="FirstParagraph"/>
      </w:pPr>
      <w:r>
        <w:t xml:space="preserve">Comece pelo trabalho real, não por uma escola ou vendedor de credenciais.</w:t>
      </w:r>
    </w:p>
    <w:p>
      <w:pPr>
        <w:numPr>
          <w:ilvl w:val="0"/>
          <w:numId w:val="1001"/>
        </w:numPr>
        <w:pStyle w:val="Compact"/>
      </w:pPr>
      <w:r>
        <w:t xml:space="preserve">Identifique o título exato usado pelos empregadores em sua localização.</w:t>
      </w:r>
    </w:p>
    <w:p>
      <w:pPr>
        <w:numPr>
          <w:ilvl w:val="0"/>
          <w:numId w:val="1001"/>
        </w:numPr>
        <w:pStyle w:val="Compact"/>
      </w:pPr>
      <w:r>
        <w:t xml:space="preserve">Leia as funções, canais exigidos, horário, métricas de desempenho e autoridade de escalonamento em vez de confiar apenas no título.</w:t>
      </w:r>
    </w:p>
    <w:p>
      <w:pPr>
        <w:numPr>
          <w:ilvl w:val="0"/>
          <w:numId w:val="1001"/>
        </w:numPr>
        <w:pStyle w:val="Compact"/>
      </w:pPr>
      <w:r>
        <w:t xml:space="preserve">Separe requisitos legais ou regulados das preferências normais do empregador e de credenciais privadas opcionais.</w:t>
      </w:r>
    </w:p>
    <w:p>
      <w:pPr>
        <w:numPr>
          <w:ilvl w:val="0"/>
          <w:numId w:val="1001"/>
        </w:numPr>
        <w:pStyle w:val="Compact"/>
      </w:pPr>
      <w:r>
        <w:t xml:space="preserve">Revise vagas locais atuais e fontes ocupacionais oficiais antes de depender de resumos nacionais.</w:t>
      </w:r>
    </w:p>
    <w:p>
      <w:pPr>
        <w:numPr>
          <w:ilvl w:val="0"/>
          <w:numId w:val="1001"/>
        </w:numPr>
        <w:pStyle w:val="Compact"/>
      </w:pPr>
      <w:r>
        <w:t xml:space="preserve">Compare o custo total de uma rota de treinamento, incluindo mensalidades, exames, software, equipamentos, internet, transporte, cuidados familiares, renda perdida, renovações e prática não remunerada.</w:t>
      </w:r>
    </w:p>
    <w:p>
      <w:pPr>
        <w:numPr>
          <w:ilvl w:val="0"/>
          <w:numId w:val="1001"/>
        </w:numPr>
        <w:pStyle w:val="Compact"/>
      </w:pPr>
      <w:r>
        <w:t xml:space="preserve">Pergunte o que acontece se um treinamento financiado pelo empregador precisar ser reembolsado após demissão voluntária ou saída antecipada.</w:t>
      </w:r>
    </w:p>
    <w:p>
      <w:pPr>
        <w:numPr>
          <w:ilvl w:val="0"/>
          <w:numId w:val="1001"/>
        </w:numPr>
        <w:pStyle w:val="Compact"/>
      </w:pPr>
      <w:r>
        <w:t xml:space="preserve">Pare se um fornecedor pressionar você a pagar imediatamente, prometer emprego, ocultar regras de reembolso ou apresentar um certificado privado opcional como se fosse licença legal quando não é.</w:t>
      </w:r>
    </w:p>
    <w:p>
      <w:pPr>
        <w:pStyle w:val="FirstParagraph"/>
      </w:pPr>
      <w:r>
        <w:t xml:space="preserve">Uma sequência prática é: investigar o trabalho, testar habilidades básicas gratuitamente, identificar requisitos reais dos empregadores, usar primeiro opções públicas ou financiadas pelo empregador e pagar apenas quando uma próxima etapa específica justificar o custo.</w:t>
      </w:r>
    </w:p>
    <w:bookmarkEnd w:id="24"/>
    <w:bookmarkStart w:id="25" w:name="Xcd19b419bf94b2663dc429c3979b46eb1d01a8b"/>
    <w:p>
      <w:pPr>
        <w:pStyle w:val="Heading2"/>
      </w:pPr>
      <w:r>
        <w:t xml:space="preserve">2. O que é o trabalho</w:t>
      </w:r>
    </w:p>
    <w:p>
      <w:pPr>
        <w:pStyle w:val="FirstParagraph"/>
      </w:pPr>
      <w:r>
        <w:t xml:space="preserve">Especialistas e representantes de atendimento ao cliente ajudam clientes a obter informações, resolver problemas rotineiros, concluir transações autorizadas, compreender políticas, corrigir problemas de conta ou chegar ao especialista adequado. O trabalho pode ocorrer por telefone, e-mail, chat na web, mensagens, redes sociais, vídeo, sistemas de tickets, service desks, contact centers, lojas, escritórios, ambientes de saúde, serviços financeiros, órgãos públicos, concessionárias, empresas de viagens, tecnologia, logística ou equipes remotas de atendimento.</w:t>
      </w:r>
    </w:p>
    <w:p>
      <w:pPr>
        <w:pStyle w:val="BodyText"/>
      </w:pPr>
      <w:r>
        <w:t xml:space="preserve">Títulos comuns incluem:</w:t>
      </w:r>
    </w:p>
    <w:p>
      <w:pPr>
        <w:numPr>
          <w:ilvl w:val="0"/>
          <w:numId w:val="1002"/>
        </w:numPr>
        <w:pStyle w:val="Compact"/>
      </w:pPr>
      <w:r>
        <w:t xml:space="preserve">Representante de Atendimento ao Cliente;</w:t>
      </w:r>
    </w:p>
    <w:p>
      <w:pPr>
        <w:numPr>
          <w:ilvl w:val="0"/>
          <w:numId w:val="1002"/>
        </w:numPr>
        <w:pStyle w:val="Compact"/>
      </w:pPr>
      <w:r>
        <w:t xml:space="preserve">Especialista em Atendimento ao Cliente;</w:t>
      </w:r>
    </w:p>
    <w:p>
      <w:pPr>
        <w:numPr>
          <w:ilvl w:val="0"/>
          <w:numId w:val="1002"/>
        </w:numPr>
        <w:pStyle w:val="Compact"/>
      </w:pPr>
      <w:r>
        <w:t xml:space="preserve">Representante de Customer Care;</w:t>
      </w:r>
    </w:p>
    <w:p>
      <w:pPr>
        <w:numPr>
          <w:ilvl w:val="0"/>
          <w:numId w:val="1002"/>
        </w:numPr>
        <w:pStyle w:val="Compact"/>
      </w:pPr>
      <w:r>
        <w:t xml:space="preserve">Agente de Contact Center;</w:t>
      </w:r>
    </w:p>
    <w:p>
      <w:pPr>
        <w:numPr>
          <w:ilvl w:val="0"/>
          <w:numId w:val="1002"/>
        </w:numPr>
        <w:pStyle w:val="Compact"/>
      </w:pPr>
      <w:r>
        <w:t xml:space="preserve">Representante de Serviços ao Associado;</w:t>
      </w:r>
    </w:p>
    <w:p>
      <w:pPr>
        <w:numPr>
          <w:ilvl w:val="0"/>
          <w:numId w:val="1002"/>
        </w:numPr>
        <w:pStyle w:val="Compact"/>
      </w:pPr>
      <w:r>
        <w:t xml:space="preserve">Representante de Serviços ao Cliente;</w:t>
      </w:r>
    </w:p>
    <w:p>
      <w:pPr>
        <w:numPr>
          <w:ilvl w:val="0"/>
          <w:numId w:val="1002"/>
        </w:numPr>
        <w:pStyle w:val="Compact"/>
      </w:pPr>
      <w:r>
        <w:t xml:space="preserve">Representante de Suporte;</w:t>
      </w:r>
    </w:p>
    <w:p>
      <w:pPr>
        <w:numPr>
          <w:ilvl w:val="0"/>
          <w:numId w:val="1002"/>
        </w:numPr>
        <w:pStyle w:val="Compact"/>
      </w:pPr>
      <w:r>
        <w:t xml:space="preserve">Assistente de Experiência do Cliente; e</w:t>
      </w:r>
    </w:p>
    <w:p>
      <w:pPr>
        <w:numPr>
          <w:ilvl w:val="0"/>
          <w:numId w:val="1002"/>
        </w:numPr>
        <w:pStyle w:val="Compact"/>
      </w:pPr>
      <w:r>
        <w:t xml:space="preserve">Agente de Serviço.</w:t>
      </w:r>
    </w:p>
    <w:p>
      <w:pPr>
        <w:pStyle w:val="FirstParagraph"/>
      </w:pPr>
      <w:r>
        <w:t xml:space="preserve">Os títulos não são intercambiáveis. Uma função pode incluir vendas, cobrança, solução de problemas técnicos, seguros, saúde, bancos, viagens, serviço público ou atividades reguladas que exijam treinamento ou autorização adicional. Compare sempre as responsabilidades reais.</w:t>
      </w:r>
    </w:p>
    <w:bookmarkEnd w:id="25"/>
    <w:bookmarkStart w:id="27" w:name="Xf6e5225a62dbafb3aa1981c1cd70e9b8ff21cc2"/>
    <w:p>
      <w:pPr>
        <w:pStyle w:val="Heading2"/>
      </w:pPr>
      <w:r>
        <w:t xml:space="preserve">3. Funções, ferramentas e fluxo de trabalho realistas</w:t>
      </w:r>
    </w:p>
    <w:p>
      <w:pPr>
        <w:pStyle w:val="FirstParagraph"/>
      </w:pPr>
      <w:r>
        <w:t xml:space="preserve">As tarefas típicas podem incluir:</w:t>
      </w:r>
    </w:p>
    <w:p>
      <w:pPr>
        <w:numPr>
          <w:ilvl w:val="0"/>
          <w:numId w:val="1003"/>
        </w:numPr>
        <w:pStyle w:val="Compact"/>
      </w:pPr>
      <w:r>
        <w:t xml:space="preserve">verificar a identidade do cliente por procedimentos aprovados;</w:t>
      </w:r>
    </w:p>
    <w:p>
      <w:pPr>
        <w:numPr>
          <w:ilvl w:val="0"/>
          <w:numId w:val="1003"/>
        </w:numPr>
        <w:pStyle w:val="Compact"/>
      </w:pPr>
      <w:r>
        <w:t xml:space="preserve">receber e documentar perguntas, reclamações, solicitações, pedidos, devoluções ou problemas de serviço;</w:t>
      </w:r>
    </w:p>
    <w:p>
      <w:pPr>
        <w:numPr>
          <w:ilvl w:val="0"/>
          <w:numId w:val="1003"/>
        </w:numPr>
        <w:pStyle w:val="Compact"/>
      </w:pPr>
      <w:r>
        <w:t xml:space="preserve">explicar políticas, produtos, serviços, situação de conta ou próximos passos aprovados;</w:t>
      </w:r>
    </w:p>
    <w:p>
      <w:pPr>
        <w:numPr>
          <w:ilvl w:val="0"/>
          <w:numId w:val="1003"/>
        </w:numPr>
        <w:pStyle w:val="Compact"/>
      </w:pPr>
      <w:r>
        <w:t xml:space="preserve">consultar uma base de conhecimento e usar scripts ou árvores de decisão aprovados;</w:t>
      </w:r>
    </w:p>
    <w:p>
      <w:pPr>
        <w:numPr>
          <w:ilvl w:val="0"/>
          <w:numId w:val="1003"/>
        </w:numPr>
        <w:pStyle w:val="Compact"/>
      </w:pPr>
      <w:r>
        <w:t xml:space="preserve">atualizar registros de clientes apenas dentro da autoridade atribuída;</w:t>
      </w:r>
    </w:p>
    <w:p>
      <w:pPr>
        <w:numPr>
          <w:ilvl w:val="0"/>
          <w:numId w:val="1003"/>
        </w:numPr>
        <w:pStyle w:val="Compact"/>
      </w:pPr>
      <w:r>
        <w:t xml:space="preserve">criar, encaminhar, priorizar e encerrar tickets;</w:t>
      </w:r>
    </w:p>
    <w:p>
      <w:pPr>
        <w:numPr>
          <w:ilvl w:val="0"/>
          <w:numId w:val="1003"/>
        </w:numPr>
        <w:pStyle w:val="Compact"/>
      </w:pPr>
      <w:r>
        <w:t xml:space="preserve">processar transações autorizadas ou transferir atividade de pagamento para sistemas aprovados;</w:t>
      </w:r>
    </w:p>
    <w:p>
      <w:pPr>
        <w:numPr>
          <w:ilvl w:val="0"/>
          <w:numId w:val="1003"/>
        </w:numPr>
        <w:pStyle w:val="Compact"/>
      </w:pPr>
      <w:r>
        <w:t xml:space="preserve">reduzir a tensão em conversas difíceis sem fazer promessas não autorizadas;</w:t>
      </w:r>
    </w:p>
    <w:p>
      <w:pPr>
        <w:numPr>
          <w:ilvl w:val="0"/>
          <w:numId w:val="1003"/>
        </w:numPr>
        <w:pStyle w:val="Compact"/>
      </w:pPr>
      <w:r>
        <w:t xml:space="preserve">identificar possível fraude, engenharia social, tomada de conta, abuso, riscos de segurança ou questões reguladas e escalá-las;</w:t>
      </w:r>
    </w:p>
    <w:p>
      <w:pPr>
        <w:numPr>
          <w:ilvl w:val="0"/>
          <w:numId w:val="1003"/>
        </w:numPr>
        <w:pStyle w:val="Compact"/>
      </w:pPr>
      <w:r>
        <w:t xml:space="preserve">documentar com precisão fatos, ações, compromissos e itens pendentes; e</w:t>
      </w:r>
    </w:p>
    <w:p>
      <w:pPr>
        <w:numPr>
          <w:ilvl w:val="0"/>
          <w:numId w:val="1003"/>
        </w:numPr>
        <w:pStyle w:val="Compact"/>
      </w:pPr>
      <w:r>
        <w:t xml:space="preserve">cumprir requisitos de qualidade, privacidade, acessibilidade, segurança e retenção de registros.</w:t>
      </w:r>
    </w:p>
    <w:p>
      <w:pPr>
        <w:pStyle w:val="FirstParagraph"/>
      </w:pPr>
      <w:r>
        <w:t xml:space="preserve">Ferramentas comuns podem incluir plataformas de gestão de relacionamento com clientes (CRM), sistemas de tickets, software de contact center, e-mail, chat, bases de conhecimento, telefonia, ferramentas de gestão da força de trabalho, interfaces seguras de pagamento, sistemas de verificação de identidade, suítes de colaboração, planilhas e assistência habilitada por IA aprovada.</w:t>
      </w:r>
    </w:p>
    <w:bookmarkStart w:id="26" w:name="um-ciclo-de-interação-realista"/>
    <w:p>
      <w:pPr>
        <w:pStyle w:val="Heading3"/>
      </w:pPr>
      <w:r>
        <w:t xml:space="preserve">Um ciclo de interação realista</w:t>
      </w:r>
    </w:p>
    <w:p>
      <w:pPr>
        <w:numPr>
          <w:ilvl w:val="0"/>
          <w:numId w:val="1004"/>
        </w:numPr>
        <w:pStyle w:val="Compact"/>
      </w:pPr>
      <w:r>
        <w:t xml:space="preserve">Receba o contato por um canal aprovado.</w:t>
      </w:r>
    </w:p>
    <w:p>
      <w:pPr>
        <w:numPr>
          <w:ilvl w:val="0"/>
          <w:numId w:val="1004"/>
        </w:numPr>
        <w:pStyle w:val="Compact"/>
      </w:pPr>
      <w:r>
        <w:t xml:space="preserve">Determine se é necessária verificação de identidade ou consentimento.</w:t>
      </w:r>
    </w:p>
    <w:p>
      <w:pPr>
        <w:numPr>
          <w:ilvl w:val="0"/>
          <w:numId w:val="1004"/>
        </w:numPr>
        <w:pStyle w:val="Compact"/>
      </w:pPr>
      <w:r>
        <w:t xml:space="preserve">Ouça ou leia com atenção e reformule o problema sem presumir fatos.</w:t>
      </w:r>
    </w:p>
    <w:p>
      <w:pPr>
        <w:numPr>
          <w:ilvl w:val="0"/>
          <w:numId w:val="1004"/>
        </w:numPr>
        <w:pStyle w:val="Compact"/>
      </w:pPr>
      <w:r>
        <w:t xml:space="preserve">Consulte a base de conhecimento, registro da conta, política ou fluxo de trabalho aprovado.</w:t>
      </w:r>
    </w:p>
    <w:p>
      <w:pPr>
        <w:numPr>
          <w:ilvl w:val="0"/>
          <w:numId w:val="1004"/>
        </w:numPr>
        <w:pStyle w:val="Compact"/>
      </w:pPr>
      <w:r>
        <w:t xml:space="preserve">Execute somente ações dentro de sua autoridade.</w:t>
      </w:r>
    </w:p>
    <w:p>
      <w:pPr>
        <w:numPr>
          <w:ilvl w:val="0"/>
          <w:numId w:val="1004"/>
        </w:numPr>
        <w:pStyle w:val="Compact"/>
      </w:pPr>
      <w:r>
        <w:t xml:space="preserve">Explique o resultado, as limitações e o próximo passo em linguagem clara.</w:t>
      </w:r>
    </w:p>
    <w:p>
      <w:pPr>
        <w:numPr>
          <w:ilvl w:val="0"/>
          <w:numId w:val="1004"/>
        </w:numPr>
        <w:pStyle w:val="Compact"/>
      </w:pPr>
      <w:r>
        <w:t xml:space="preserve">Escale quando forem atingidos limites de risco, autoridade, segurança, privacidade, pagamentos, questões jurídicas, médicas ou técnicas.</w:t>
      </w:r>
    </w:p>
    <w:p>
      <w:pPr>
        <w:numPr>
          <w:ilvl w:val="0"/>
          <w:numId w:val="1004"/>
        </w:numPr>
        <w:pStyle w:val="Compact"/>
      </w:pPr>
      <w:r>
        <w:t xml:space="preserve">Documente a interação com precisão.</w:t>
      </w:r>
    </w:p>
    <w:p>
      <w:pPr>
        <w:numPr>
          <w:ilvl w:val="0"/>
          <w:numId w:val="1004"/>
        </w:numPr>
        <w:pStyle w:val="Compact"/>
      </w:pPr>
      <w:r>
        <w:t xml:space="preserve">Encerre o caso somente quando a disposição e o acompanhamento exigidos estiverem concluídos.</w:t>
      </w:r>
    </w:p>
    <w:p>
      <w:pPr>
        <w:pStyle w:val="FirstParagraph"/>
      </w:pPr>
      <w:r>
        <w:t xml:space="preserve">A velocidade é importante em muitos ambientes de atendimento, mas nunca prevalece sobre verificações de identidade, privacidade, acessibilidade, precisão, tratamento legal, controles de pagamento ou segurança.</w:t>
      </w:r>
    </w:p>
    <w:bookmarkEnd w:id="26"/>
    <w:bookmarkEnd w:id="27"/>
    <w:bookmarkStart w:id="28" w:name="Xa4491eddfe3c97278e0a20a77b9a3eebbb76ff2"/>
    <w:p>
      <w:pPr>
        <w:pStyle w:val="Heading2"/>
      </w:pPr>
      <w:r>
        <w:t xml:space="preserve">4. Adequação profissional, condições de trabalho e bem-estar</w:t>
      </w:r>
    </w:p>
    <w:p>
      <w:pPr>
        <w:pStyle w:val="FirstParagraph"/>
      </w:pPr>
      <w:r>
        <w:t xml:space="preserve">Pergunte a si mesmo:</w:t>
      </w:r>
    </w:p>
    <w:p>
      <w:pPr>
        <w:numPr>
          <w:ilvl w:val="0"/>
          <w:numId w:val="1005"/>
        </w:numPr>
        <w:pStyle w:val="Compact"/>
      </w:pPr>
      <w:r>
        <w:t xml:space="preserve">Consigo manter o respeito quando outra pessoa está frustrada, confusa ou irritada?</w:t>
      </w:r>
    </w:p>
    <w:p>
      <w:pPr>
        <w:numPr>
          <w:ilvl w:val="0"/>
          <w:numId w:val="1005"/>
        </w:numPr>
        <w:pStyle w:val="Compact"/>
      </w:pPr>
      <w:r>
        <w:t xml:space="preserve">Consigo seguir scripts e controles obrigatórios sem soar mecânico?</w:t>
      </w:r>
    </w:p>
    <w:p>
      <w:pPr>
        <w:numPr>
          <w:ilvl w:val="0"/>
          <w:numId w:val="1005"/>
        </w:numPr>
        <w:pStyle w:val="Compact"/>
      </w:pPr>
      <w:r>
        <w:t xml:space="preserve">Consigo documentar detalhes enquanto escuto com atenção?</w:t>
      </w:r>
    </w:p>
    <w:p>
      <w:pPr>
        <w:numPr>
          <w:ilvl w:val="0"/>
          <w:numId w:val="1005"/>
        </w:numPr>
        <w:pStyle w:val="Compact"/>
      </w:pPr>
      <w:r>
        <w:t xml:space="preserve">Consigo lidar com contatos repetitivos e medição de desempenho?</w:t>
      </w:r>
    </w:p>
    <w:p>
      <w:pPr>
        <w:numPr>
          <w:ilvl w:val="0"/>
          <w:numId w:val="1005"/>
        </w:numPr>
        <w:pStyle w:val="Compact"/>
      </w:pPr>
      <w:r>
        <w:t xml:space="preserve">Consigo pedir ajuda em vez de adivinhar quando minha autoridade não está clara?</w:t>
      </w:r>
    </w:p>
    <w:p>
      <w:pPr>
        <w:numPr>
          <w:ilvl w:val="0"/>
          <w:numId w:val="1005"/>
        </w:numPr>
        <w:pStyle w:val="Compact"/>
      </w:pPr>
      <w:r>
        <w:t xml:space="preserve">Consigo proteger informações confidenciais mesmo quando quem liga parece urgente ou persuasivo?</w:t>
      </w:r>
    </w:p>
    <w:p>
      <w:pPr>
        <w:numPr>
          <w:ilvl w:val="0"/>
          <w:numId w:val="1005"/>
        </w:numPr>
        <w:pStyle w:val="Compact"/>
      </w:pPr>
      <w:r>
        <w:t xml:space="preserve">O horário, uso de headset, tempo de tela, necessidade de ficar sentado ou em pé e volume de contatos são sustentáveis para mim?</w:t>
      </w:r>
    </w:p>
    <w:p>
      <w:pPr>
        <w:numPr>
          <w:ilvl w:val="0"/>
          <w:numId w:val="1005"/>
        </w:numPr>
        <w:pStyle w:val="Compact"/>
      </w:pPr>
      <w:r>
        <w:t xml:space="preserve">Que adaptações, tecnologia assistiva, previsibilidade de horário, redução de ruído, mudanças ergonômicas, legendas, compatibilidade com leitores de tela ou formatos alternativos de comunicação me ajudariam a atuar com consistência?</w:t>
      </w:r>
    </w:p>
    <w:p>
      <w:pPr>
        <w:pStyle w:val="FirstParagraph"/>
      </w:pPr>
      <w:r>
        <w:t xml:space="preserve">O trabalho voltado ao cliente pode envolver agressão verbal, linguagem discriminatória, ameaças, relatos angustiantes ou conflitos repetidos. Os empregadores devem ter procedimentos de escalonamento, segurança e tratamento de abuso. Não se deve esperar que uma pessoa tolere ameaças, assédio ou conduta insegura apenas porque sua função é voltada ao cliente.</w:t>
      </w:r>
    </w:p>
    <w:bookmarkEnd w:id="28"/>
    <w:bookmarkStart w:id="29" w:name="X80008e7f1fb9eca888db7e43771931fdd74a9a7"/>
    <w:p>
      <w:pPr>
        <w:pStyle w:val="Heading2"/>
      </w:pPr>
      <w:r>
        <w:t xml:space="preserve">5. Ética, autoridade, prevenção de fraude e escalonamento</w:t>
      </w:r>
    </w:p>
    <w:p>
      <w:pPr>
        <w:pStyle w:val="FirstParagraph"/>
      </w:pPr>
      <w:r>
        <w:t xml:space="preserve">Bom atendimento também inclui saber quando não agir.</w:t>
      </w:r>
    </w:p>
    <w:p>
      <w:pPr>
        <w:pStyle w:val="BodyText"/>
      </w:pPr>
      <w:r>
        <w:t xml:space="preserve">Não faça o seguinte:</w:t>
      </w:r>
    </w:p>
    <w:p>
      <w:pPr>
        <w:numPr>
          <w:ilvl w:val="0"/>
          <w:numId w:val="1006"/>
        </w:numPr>
        <w:pStyle w:val="Compact"/>
      </w:pPr>
      <w:r>
        <w:t xml:space="preserve">ignore a verificação de identidade porque o cliente está impaciente;</w:t>
      </w:r>
    </w:p>
    <w:p>
      <w:pPr>
        <w:numPr>
          <w:ilvl w:val="0"/>
          <w:numId w:val="1006"/>
        </w:numPr>
        <w:pStyle w:val="Compact"/>
      </w:pPr>
      <w:r>
        <w:t xml:space="preserve">divulgue informações de conta, saúde, finanças, viagens, educação, emprego ou identificação de outra pessoa sem autorização;</w:t>
      </w:r>
    </w:p>
    <w:p>
      <w:pPr>
        <w:numPr>
          <w:ilvl w:val="0"/>
          <w:numId w:val="1006"/>
        </w:numPr>
        <w:pStyle w:val="Compact"/>
      </w:pPr>
      <w:r>
        <w:t xml:space="preserve">crie créditos, reembolsos, descontos, promessas, alterações de conta ou exceções fora de sua autoridade;</w:t>
      </w:r>
    </w:p>
    <w:p>
      <w:pPr>
        <w:numPr>
          <w:ilvl w:val="0"/>
          <w:numId w:val="1006"/>
        </w:numPr>
        <w:pStyle w:val="Compact"/>
      </w:pPr>
      <w:r>
        <w:t xml:space="preserve">altere anotações para fazer uma métrica de atendimento parecer melhor;</w:t>
      </w:r>
    </w:p>
    <w:p>
      <w:pPr>
        <w:numPr>
          <w:ilvl w:val="0"/>
          <w:numId w:val="1006"/>
        </w:numPr>
        <w:pStyle w:val="Compact"/>
      </w:pPr>
      <w:r>
        <w:t xml:space="preserve">fabrique consentimento, assinaturas, aprovações, classificações, contatos ou evidência de resolução;</w:t>
      </w:r>
    </w:p>
    <w:p>
      <w:pPr>
        <w:numPr>
          <w:ilvl w:val="0"/>
          <w:numId w:val="1006"/>
        </w:numPr>
        <w:pStyle w:val="Compact"/>
      </w:pPr>
      <w:r>
        <w:t xml:space="preserve">mova informações de cartão ou banco para notas, chat, e-mail, capturas de tela, dispositivos pessoais ou sistemas não aprovados;</w:t>
      </w:r>
    </w:p>
    <w:p>
      <w:pPr>
        <w:numPr>
          <w:ilvl w:val="0"/>
          <w:numId w:val="1006"/>
        </w:numPr>
        <w:pStyle w:val="Compact"/>
      </w:pPr>
      <w:r>
        <w:t xml:space="preserve">use e-mail pessoal, armazenamento pessoal em nuvem ou mensagens não aprovadas para dados de clientes; nem</w:t>
      </w:r>
    </w:p>
    <w:p>
      <w:pPr>
        <w:numPr>
          <w:ilvl w:val="0"/>
          <w:numId w:val="1006"/>
        </w:numPr>
        <w:pStyle w:val="Compact"/>
      </w:pPr>
      <w:r>
        <w:t xml:space="preserve">cole informações confidenciais de clientes ou do empregador em uma ferramenta pública ou não aprovada de IA.</w:t>
      </w:r>
    </w:p>
    <w:p>
      <w:pPr>
        <w:pStyle w:val="FirstParagraph"/>
      </w:pPr>
      <w:r>
        <w:t xml:space="preserve">Pare e escale quando:</w:t>
      </w:r>
    </w:p>
    <w:p>
      <w:pPr>
        <w:numPr>
          <w:ilvl w:val="0"/>
          <w:numId w:val="1007"/>
        </w:numPr>
        <w:pStyle w:val="Compact"/>
      </w:pPr>
      <w:r>
        <w:t xml:space="preserve">a identidade não puder ser verificada;</w:t>
      </w:r>
    </w:p>
    <w:p>
      <w:pPr>
        <w:numPr>
          <w:ilvl w:val="0"/>
          <w:numId w:val="1007"/>
        </w:numPr>
        <w:pStyle w:val="Compact"/>
      </w:pPr>
      <w:r>
        <w:t xml:space="preserve">uma solicitação envolver instruções incomuns de pagamento, alteração de dados bancários, redefinição de credenciais ou possível tomada de conta;</w:t>
      </w:r>
    </w:p>
    <w:p>
      <w:pPr>
        <w:numPr>
          <w:ilvl w:val="0"/>
          <w:numId w:val="1007"/>
        </w:numPr>
        <w:pStyle w:val="Compact"/>
      </w:pPr>
      <w:r>
        <w:t xml:space="preserve">um cliente pedir que você ignore um controle;</w:t>
      </w:r>
    </w:p>
    <w:p>
      <w:pPr>
        <w:numPr>
          <w:ilvl w:val="0"/>
          <w:numId w:val="1007"/>
        </w:numPr>
        <w:pStyle w:val="Compact"/>
      </w:pPr>
      <w:r>
        <w:t xml:space="preserve">uma questão de segurança, abuso, autolesão, fraude, discriminação, caráter jurídico, médico, financeiro ou regulado exceder sua função;</w:t>
      </w:r>
    </w:p>
    <w:p>
      <w:pPr>
        <w:numPr>
          <w:ilvl w:val="0"/>
          <w:numId w:val="1007"/>
        </w:numPr>
        <w:pStyle w:val="Compact"/>
      </w:pPr>
      <w:r>
        <w:t xml:space="preserve">uma saída de sistema entrar em conflito com uma política ou fatos conhecidos;</w:t>
      </w:r>
    </w:p>
    <w:p>
      <w:pPr>
        <w:numPr>
          <w:ilvl w:val="0"/>
          <w:numId w:val="1007"/>
        </w:numPr>
        <w:pStyle w:val="Compact"/>
      </w:pPr>
      <w:r>
        <w:t xml:space="preserve">uma pergunta sobre gravação ou monitoramento exigir tratamento específico da jurisdição; ou</w:t>
      </w:r>
    </w:p>
    <w:p>
      <w:pPr>
        <w:numPr>
          <w:ilvl w:val="0"/>
          <w:numId w:val="1007"/>
        </w:numPr>
        <w:pStyle w:val="Compact"/>
      </w:pPr>
      <w:r>
        <w:t xml:space="preserve">uma resposta gerada por IA for incerta, sem apoio ou inconsistente com a fonte aprovada.</w:t>
      </w:r>
    </w:p>
    <w:p>
      <w:pPr>
        <w:pStyle w:val="FirstParagraph"/>
      </w:pPr>
      <w:r>
        <w:t xml:space="preserve">Documente fatos e ações de forma neutra. Não retalie, exagere, esconda incerteza nem faça promessas que não pode autorizar.</w:t>
      </w:r>
    </w:p>
    <w:bookmarkEnd w:id="29"/>
    <w:bookmarkStart w:id="39" w:name="X9710cd68af5682b341ecb10d54ea78f1242735e"/>
    <w:p>
      <w:pPr>
        <w:pStyle w:val="Heading2"/>
      </w:pPr>
      <w:r>
        <w:t xml:space="preserve">6. Pesquisa de renda, benefícios e perspectivas</w:t>
      </w:r>
    </w:p>
    <w:p>
      <w:pPr>
        <w:pStyle w:val="FirstParagraph"/>
      </w:pPr>
      <w:r>
        <w:t xml:space="preserve">Customer Service Specialist é um título comum de mercado, enquanto sistemas ocupacionais oficiais podem usar categorias mais amplas. Mantenha estatísticas ocupacionais oficiais separadas de estimativas atuais não governamentais por título.</w:t>
      </w:r>
    </w:p>
    <w:bookmarkStart w:id="31" w:name="X9f5835f46d412bdb755471ed178d26ed83e7667"/>
    <w:p>
      <w:pPr>
        <w:pStyle w:val="Heading3"/>
      </w:pPr>
      <w:r>
        <w:t xml:space="preserve">Estados Unidos — dados ocupacionais oficiais</w:t>
      </w:r>
    </w:p>
    <w:p>
      <w:pPr>
        <w:pStyle w:val="FirstParagraph"/>
      </w:pPr>
      <w:r>
        <w:t xml:space="preserve">O Bureau of Labor Statistics dos Estados Unidos (BLS) informa que</w:t>
      </w:r>
      <w:r>
        <w:t xml:space="preserve"> </w:t>
      </w:r>
      <w:r>
        <w:rPr>
          <w:bCs/>
          <w:b/>
        </w:rPr>
        <w:t xml:space="preserve">Customer Service Representatives</w:t>
      </w:r>
      <w:r>
        <w:t xml:space="preserve"> </w:t>
      </w:r>
      <w:r>
        <w:t xml:space="preserve">tiveram</w:t>
      </w:r>
      <w:r>
        <w:t xml:space="preserve"> </w:t>
      </w:r>
      <w:r>
        <w:rPr>
          <w:bCs/>
          <w:b/>
        </w:rPr>
        <w:t xml:space="preserve">salário mediano de US</w:t>
      </w:r>
      <m:oMath>
        <m:r>
          <m:t>20.59</m:t>
        </m:r>
        <m:r>
          <m:t>p</m:t>
        </m:r>
        <m:r>
          <m:t>o</m:t>
        </m:r>
        <m:r>
          <m:t>r</m:t>
        </m:r>
        <m:r>
          <m:t>h</m:t>
        </m:r>
        <m:r>
          <m:t>o</m:t>
        </m:r>
        <m:r>
          <m:t>r</m:t>
        </m:r>
        <m:r>
          <m:t>a</m:t>
        </m:r>
        <m:r>
          <m:t>e</m:t>
        </m:r>
        <m:r>
          <m:t>m</m:t>
        </m:r>
        <m:r>
          <m:t>m</m:t>
        </m:r>
        <m:r>
          <m:t>a</m:t>
        </m:r>
        <m:r>
          <m:t>i</m:t>
        </m:r>
        <m:r>
          <m:t>o</m:t>
        </m:r>
        <m:r>
          <m:t>d</m:t>
        </m:r>
        <m:r>
          <m:t>e</m:t>
        </m:r>
        <m:r>
          <m:t>2024</m:t>
        </m:r>
        <m:r>
          <m:rPr>
            <m:sty m:val="p"/>
          </m:rPr>
          <m:t>*</m:t>
        </m:r>
        <m:r>
          <m:rPr>
            <m:sty m:val="p"/>
          </m:rPr>
          <m:t>*</m:t>
        </m:r>
        <m:r>
          <m:rPr>
            <m:sty m:val="p"/>
          </m:rPr>
          <m:t>.</m:t>
        </m:r>
        <m:r>
          <m:t>O</m:t>
        </m:r>
        <m:r>
          <m:t>s</m:t>
        </m:r>
        <m:r>
          <m:t>10</m:t>
        </m:r>
        <m:r>
          <m:t>p</m:t>
        </m:r>
        <m:r>
          <m:t>o</m:t>
        </m:r>
        <m:r>
          <m:t>r</m:t>
        </m:r>
        <m:r>
          <m:t>c</m:t>
        </m:r>
        <m:r>
          <m:t>e</m:t>
        </m:r>
        <m:r>
          <m:t>n</m:t>
        </m:r>
        <m:r>
          <m:t>t</m:t>
        </m:r>
        <m:r>
          <m:t>o</m:t>
        </m:r>
        <m:r>
          <m:t>c</m:t>
        </m:r>
        <m:r>
          <m:t>o</m:t>
        </m:r>
        <m:r>
          <m:t>m</m:t>
        </m:r>
        <m:r>
          <m:t>m</m:t>
        </m:r>
        <m:r>
          <m:t>e</m:t>
        </m:r>
        <m:r>
          <m:t>n</m:t>
        </m:r>
        <m:r>
          <m:t>o</m:t>
        </m:r>
        <m:r>
          <m:t>r</m:t>
        </m:r>
        <m:r>
          <m:t>e</m:t>
        </m:r>
        <m:r>
          <m:t>s</m:t>
        </m:r>
        <m:r>
          <m:t>r</m:t>
        </m:r>
        <m:r>
          <m:t>e</m:t>
        </m:r>
        <m:r>
          <m:t>n</m:t>
        </m:r>
        <m:r>
          <m:t>d</m:t>
        </m:r>
        <m:r>
          <m:t>i</m:t>
        </m:r>
        <m:r>
          <m:t>m</m:t>
        </m:r>
        <m:r>
          <m:t>e</m:t>
        </m:r>
        <m:r>
          <m:t>n</m:t>
        </m:r>
        <m:r>
          <m:t>t</m:t>
        </m:r>
        <m:r>
          <m:t>o</m:t>
        </m:r>
        <m:r>
          <m:t>s</m:t>
        </m:r>
        <m:r>
          <m:t>g</m:t>
        </m:r>
        <m:r>
          <m:t>a</m:t>
        </m:r>
        <m:r>
          <m:t>n</m:t>
        </m:r>
        <m:r>
          <m:t>h</m:t>
        </m:r>
        <m:r>
          <m:t>a</m:t>
        </m:r>
        <m:r>
          <m:t>r</m:t>
        </m:r>
        <m:r>
          <m:t>a</m:t>
        </m:r>
        <m:r>
          <m:t>m</m:t>
        </m:r>
        <m:r>
          <m:t>m</m:t>
        </m:r>
        <m:r>
          <m:t>e</m:t>
        </m:r>
        <m:r>
          <m:t>n</m:t>
        </m:r>
        <m:r>
          <m:t>o</m:t>
        </m:r>
        <m:r>
          <m:t>s</m:t>
        </m:r>
        <m:r>
          <m:t>d</m:t>
        </m:r>
        <m:r>
          <m:t>e</m:t>
        </m:r>
        <m:r>
          <m:rPr>
            <m:sty m:val="p"/>
          </m:rPr>
          <m:t>*</m:t>
        </m:r>
        <m:r>
          <m:rPr>
            <m:sty m:val="p"/>
          </m:rPr>
          <m:t>*</m:t>
        </m:r>
        <m:r>
          <m:t>U</m:t>
        </m:r>
        <m:r>
          <m:t>S</m:t>
        </m:r>
      </m:oMath>
      <w:r>
        <w:rPr>
          <w:bCs/>
          <w:b/>
        </w:rPr>
        <w:t xml:space="preserve">14.75 por hora</w:t>
      </w:r>
      <w:r>
        <w:t xml:space="preserve">, e os 10 por cento com maiores rendimentos ganharam mais de</w:t>
      </w:r>
      <w:r>
        <w:t xml:space="preserve"> </w:t>
      </w:r>
      <w:r>
        <w:rPr>
          <w:bCs/>
          <w:b/>
        </w:rPr>
        <w:t xml:space="preserve">US$30.16 por hora</w:t>
      </w:r>
      <w:r>
        <w:t xml:space="preserve">.</w:t>
      </w:r>
    </w:p>
    <w:p>
      <w:pPr>
        <w:pStyle w:val="BodyText"/>
      </w:pPr>
      <w:r>
        <w:t xml:space="preserve">O BLS projeta que o emprego de representantes de atendimento ao cliente</w:t>
      </w:r>
      <w:r>
        <w:t xml:space="preserve"> </w:t>
      </w:r>
      <w:r>
        <w:rPr>
          <w:bCs/>
          <w:b/>
        </w:rPr>
        <w:t xml:space="preserve">diminuirá 5% de 2024 a 2034</w:t>
      </w:r>
      <w:r>
        <w:t xml:space="preserve">. Ao mesmo tempo, projeta cerca de</w:t>
      </w:r>
      <w:r>
        <w:t xml:space="preserve"> </w:t>
      </w:r>
      <w:r>
        <w:rPr>
          <w:bCs/>
          <w:b/>
        </w:rPr>
        <w:t xml:space="preserve">341,700 vagas por ano, em média</w:t>
      </w:r>
      <w:r>
        <w:t xml:space="preserve">, ao longo da década, principalmente porque trabalhadores migram para outras ocupações ou deixam a força de trabalho. A redução e as vagas de reposição devem ser compreendidas juntas. Automação e autoatendimento podem reduzir alguns contatos rotineiros, enquanto o atendimento humano continua importante para exceções, situações complexas, confiança, escalonamento, retenção, acessibilidade e coordenação entre canais.</w:t>
      </w:r>
    </w:p>
    <w:p>
      <w:pPr>
        <w:pStyle w:val="BodyText"/>
      </w:pPr>
      <w:r>
        <w:t xml:space="preserve">Fonte oficial:</w:t>
      </w:r>
      <w:r>
        <w:t xml:space="preserve"> </w:t>
      </w:r>
      <w:hyperlink r:id="rId30">
        <w:r>
          <w:rPr>
            <w:rStyle w:val="Hyperlink"/>
          </w:rPr>
          <w:t xml:space="preserve">https://www.bls.gov/ooh/office-and-administrative-support/customer-service-representatives.htm</w:t>
        </w:r>
      </w:hyperlink>
    </w:p>
    <w:bookmarkEnd w:id="31"/>
    <w:bookmarkStart w:id="34" w:name="X2028d381ad129cda1b0eb95906d221ee8e6edca"/>
    <w:p>
      <w:pPr>
        <w:pStyle w:val="Heading3"/>
      </w:pPr>
      <w:r>
        <w:t xml:space="preserve">Estados Unidos — estimativas atuais não governamentais por título</w:t>
      </w:r>
    </w:p>
    <w:p>
      <w:pPr>
        <w:pStyle w:val="FirstParagraph"/>
      </w:pPr>
      <w:r>
        <w:t xml:space="preserve">Como indicadores de mercado separados verificados em agosto de 2026:</w:t>
      </w:r>
    </w:p>
    <w:p>
      <w:pPr>
        <w:numPr>
          <w:ilvl w:val="0"/>
          <w:numId w:val="1008"/>
        </w:numPr>
        <w:pStyle w:val="Compact"/>
      </w:pPr>
      <w:r>
        <w:t xml:space="preserve">ZipRecruiter informou uma estimativa média nos Estados Unidos para</w:t>
      </w:r>
      <w:r>
        <w:t xml:space="preserve"> </w:t>
      </w:r>
      <w:r>
        <w:rPr>
          <w:bCs/>
          <w:b/>
        </w:rPr>
        <w:t xml:space="preserve">Customer Service Specialist</w:t>
      </w:r>
      <w:r>
        <w:t xml:space="preserve"> </w:t>
      </w:r>
      <w:r>
        <w:t xml:space="preserve">de</w:t>
      </w:r>
      <w:r>
        <w:t xml:space="preserve"> </w:t>
      </w:r>
      <w:r>
        <w:rPr>
          <w:bCs/>
          <w:b/>
        </w:rPr>
        <w:t xml:space="preserve">US</w:t>
      </w:r>
      <m:oMath>
        <m:r>
          <m:t>40</m:t>
        </m:r>
        <m:r>
          <m:rPr>
            <m:sty m:val="p"/>
          </m:rPr>
          <m:t>,</m:t>
        </m:r>
        <m:r>
          <m:t>910</m:t>
        </m:r>
        <m:r>
          <m:t>p</m:t>
        </m:r>
        <m:r>
          <m:t>o</m:t>
        </m:r>
        <m:r>
          <m:t>r</m:t>
        </m:r>
        <m:r>
          <m:t>a</m:t>
        </m:r>
        <m:r>
          <m:t>n</m:t>
        </m:r>
        <m:r>
          <m:t>o</m:t>
        </m:r>
        <m:r>
          <m:rPr>
            <m:sty m:val="p"/>
          </m:rPr>
          <m:t>(</m:t>
        </m:r>
        <m:r>
          <m:t>U</m:t>
        </m:r>
        <m:r>
          <m:t>S</m:t>
        </m:r>
      </m:oMath>
      <w:r>
        <w:rPr>
          <w:bCs/>
          <w:b/>
        </w:rPr>
        <w:t xml:space="preserve">19.67/hora)</w:t>
      </w:r>
      <w:r>
        <w:t xml:space="preserve"> </w:t>
      </w:r>
      <w:r>
        <w:t xml:space="preserve">em</w:t>
      </w:r>
      <w:r>
        <w:t xml:space="preserve"> </w:t>
      </w:r>
      <w:r>
        <w:rPr>
          <w:bCs/>
          <w:b/>
        </w:rPr>
        <w:t xml:space="preserve">8 de agosto de 2026</w:t>
      </w:r>
      <w:r>
        <w:t xml:space="preserve">.</w:t>
      </w:r>
    </w:p>
    <w:p>
      <w:pPr>
        <w:numPr>
          <w:ilvl w:val="0"/>
          <w:numId w:val="1008"/>
        </w:numPr>
        <w:pStyle w:val="Compact"/>
      </w:pPr>
      <w:r>
        <w:t xml:space="preserve">ZipRecruiter informou uma estimativa média nos Estados Unidos para</w:t>
      </w:r>
      <w:r>
        <w:t xml:space="preserve"> </w:t>
      </w:r>
      <w:r>
        <w:rPr>
          <w:bCs/>
          <w:b/>
        </w:rPr>
        <w:t xml:space="preserve">Customer Service Representative</w:t>
      </w:r>
      <w:r>
        <w:t xml:space="preserve"> </w:t>
      </w:r>
      <w:r>
        <w:t xml:space="preserve">de</w:t>
      </w:r>
      <w:r>
        <w:t xml:space="preserve"> </w:t>
      </w:r>
      <w:r>
        <w:rPr>
          <w:bCs/>
          <w:b/>
        </w:rPr>
        <w:t xml:space="preserve">US</w:t>
      </w:r>
      <m:oMath>
        <m:r>
          <m:t>39</m:t>
        </m:r>
        <m:r>
          <m:rPr>
            <m:sty m:val="p"/>
          </m:rPr>
          <m:t>,</m:t>
        </m:r>
        <m:r>
          <m:t>098</m:t>
        </m:r>
        <m:r>
          <m:t>p</m:t>
        </m:r>
        <m:r>
          <m:t>o</m:t>
        </m:r>
        <m:r>
          <m:t>r</m:t>
        </m:r>
        <m:r>
          <m:t>a</m:t>
        </m:r>
        <m:r>
          <m:t>n</m:t>
        </m:r>
        <m:r>
          <m:t>o</m:t>
        </m:r>
        <m:r>
          <m:rPr>
            <m:sty m:val="p"/>
          </m:rPr>
          <m:t>(</m:t>
        </m:r>
        <m:r>
          <m:t>U</m:t>
        </m:r>
        <m:r>
          <m:t>S</m:t>
        </m:r>
      </m:oMath>
      <w:r>
        <w:rPr>
          <w:bCs/>
          <w:b/>
        </w:rPr>
        <w:t xml:space="preserve">18.80/hora)</w:t>
      </w:r>
      <w:r>
        <w:t xml:space="preserve"> </w:t>
      </w:r>
      <w:r>
        <w:t xml:space="preserve">em</w:t>
      </w:r>
      <w:r>
        <w:t xml:space="preserve"> </w:t>
      </w:r>
      <w:r>
        <w:rPr>
          <w:bCs/>
          <w:b/>
        </w:rPr>
        <w:t xml:space="preserve">8 de agosto de 2026</w:t>
      </w:r>
      <w:r>
        <w:t xml:space="preserve">.</w:t>
      </w:r>
    </w:p>
    <w:p>
      <w:pPr>
        <w:pStyle w:val="FirstParagraph"/>
      </w:pPr>
      <w:r>
        <w:t xml:space="preserve">Fontes:</w:t>
      </w:r>
    </w:p>
    <w:p>
      <w:pPr>
        <w:numPr>
          <w:ilvl w:val="0"/>
          <w:numId w:val="1009"/>
        </w:numPr>
        <w:pStyle w:val="Compact"/>
      </w:pPr>
      <w:hyperlink r:id="rId32">
        <w:r>
          <w:rPr>
            <w:rStyle w:val="Hyperlink"/>
          </w:rPr>
          <w:t xml:space="preserve">https://www.ziprecruiter.com/Salaries/Customer-Service-Specialist-Salary</w:t>
        </w:r>
      </w:hyperlink>
    </w:p>
    <w:p>
      <w:pPr>
        <w:numPr>
          <w:ilvl w:val="0"/>
          <w:numId w:val="1009"/>
        </w:numPr>
        <w:pStyle w:val="Compact"/>
      </w:pPr>
      <w:hyperlink r:id="rId33">
        <w:r>
          <w:rPr>
            <w:rStyle w:val="Hyperlink"/>
          </w:rPr>
          <w:t xml:space="preserve">https://www.ziprecruiter.com/Salaries/Customer-Service-Representative-Salary</w:t>
        </w:r>
      </w:hyperlink>
    </w:p>
    <w:p>
      <w:pPr>
        <w:pStyle w:val="FirstParagraph"/>
      </w:pPr>
      <w:r>
        <w:t xml:space="preserve">Essas são estimativas não governamentais de mercado derivadas de anúncios de emprego e dados de terceiros. Não são estatísticas salariais oficiais, salários iniciais locais nem garantias. Verifique-as novamente durante o controle de publicação porque páginas de mercado mudam com frequência.</w:t>
      </w:r>
    </w:p>
    <w:bookmarkEnd w:id="34"/>
    <w:bookmarkStart w:id="37" w:name="canadá"/>
    <w:p>
      <w:pPr>
        <w:pStyle w:val="Heading3"/>
      </w:pPr>
      <w:r>
        <w:t xml:space="preserve">Canadá</w:t>
      </w:r>
    </w:p>
    <w:p>
      <w:pPr>
        <w:pStyle w:val="FirstParagraph"/>
      </w:pPr>
      <w:r>
        <w:t xml:space="preserve">O Job Bank do Governo do Canadá relaciona trabalhos de atendimento ao cliente e contact center a</w:t>
      </w:r>
      <w:r>
        <w:t xml:space="preserve"> </w:t>
      </w:r>
      <w:r>
        <w:rPr>
          <w:bCs/>
          <w:b/>
        </w:rPr>
        <w:t xml:space="preserve">Other customer and information services representatives, NOC 64409</w:t>
      </w:r>
      <w:r>
        <w:t xml:space="preserve">. A tabela salarial nacional revisada para esta edição informa</w:t>
      </w:r>
      <w:r>
        <w:t xml:space="preserve"> </w:t>
      </w:r>
      <w:r>
        <w:rPr>
          <w:bCs/>
          <w:b/>
        </w:rPr>
        <w:t xml:space="preserve">C</w:t>
      </w:r>
      <m:oMath>
        <m:r>
          <m:t>16.00</m:t>
        </m:r>
        <m:r>
          <m:t>b</m:t>
        </m:r>
        <m:r>
          <m:t>a</m:t>
        </m:r>
        <m:r>
          <m:t>i</m:t>
        </m:r>
        <m:r>
          <m:t>x</m:t>
        </m:r>
        <m:r>
          <m:t>o</m:t>
        </m:r>
        <m:r>
          <m:rPr>
            <m:sty m:val="p"/>
          </m:rPr>
          <m:t>/</m:t>
        </m:r>
        <m:r>
          <m:t>C</m:t>
        </m:r>
      </m:oMath>
      <w:r>
        <w:rPr>
          <w:bCs/>
          <w:b/>
        </w:rPr>
        <w:t xml:space="preserve">22.00 mediano / C$33.14 alto por hora</w:t>
      </w:r>
      <w:r>
        <w:t xml:space="preserve">. O Job Bank informa que a tabela foi atualizada em</w:t>
      </w:r>
      <w:r>
        <w:t xml:space="preserve"> </w:t>
      </w:r>
      <w:r>
        <w:rPr>
          <w:bCs/>
          <w:b/>
        </w:rPr>
        <w:t xml:space="preserve">19 de novembro de 2025</w:t>
      </w:r>
      <w:r>
        <w:t xml:space="preserve">, usa um</w:t>
      </w:r>
      <w:r>
        <w:t xml:space="preserve"> </w:t>
      </w:r>
      <w:r>
        <w:rPr>
          <w:bCs/>
          <w:b/>
        </w:rPr>
        <w:t xml:space="preserve">período de referência de 2023–2024</w:t>
      </w:r>
      <w:r>
        <w:t xml:space="preserve"> </w:t>
      </w:r>
      <w:r>
        <w:t xml:space="preserve">e se baseia na Labour Force Survey. O Job Bank também informa que</w:t>
      </w:r>
      <w:r>
        <w:t xml:space="preserve"> </w:t>
      </w:r>
      <w:r>
        <w:rPr>
          <w:bCs/>
          <w:b/>
        </w:rPr>
        <w:t xml:space="preserve">84.1%</w:t>
      </w:r>
      <w:r>
        <w:t xml:space="preserve"> </w:t>
      </w:r>
      <w:r>
        <w:t xml:space="preserve">dos trabalhadores dessa ocupação recebem pelo menos um benefício não salarial.</w:t>
      </w:r>
    </w:p>
    <w:p>
      <w:pPr>
        <w:pStyle w:val="BodyText"/>
      </w:pPr>
      <w:r>
        <w:t xml:space="preserve">Fontes:</w:t>
      </w:r>
    </w:p>
    <w:p>
      <w:pPr>
        <w:numPr>
          <w:ilvl w:val="0"/>
          <w:numId w:val="1010"/>
        </w:numPr>
        <w:pStyle w:val="Compact"/>
      </w:pPr>
      <w:hyperlink r:id="rId35">
        <w:r>
          <w:rPr>
            <w:rStyle w:val="Hyperlink"/>
          </w:rPr>
          <w:t xml:space="preserve">https://www.jobbank.gc.ca/wagereport/occupation/15201</w:t>
        </w:r>
      </w:hyperlink>
    </w:p>
    <w:p>
      <w:pPr>
        <w:numPr>
          <w:ilvl w:val="0"/>
          <w:numId w:val="1010"/>
        </w:numPr>
        <w:pStyle w:val="Compact"/>
      </w:pPr>
      <w:hyperlink r:id="rId36">
        <w:r>
          <w:rPr>
            <w:rStyle w:val="Hyperlink"/>
          </w:rPr>
          <w:t xml:space="preserve">https://www.jobbank.gc.ca/marketreport/requirements/15201/ca</w:t>
        </w:r>
      </w:hyperlink>
    </w:p>
    <w:p>
      <w:pPr>
        <w:pStyle w:val="FirstParagraph"/>
      </w:pPr>
      <w:r>
        <w:t xml:space="preserve">Uma vaga intitulada Customer Service Specialist não corresponde automaticamente e de forma perfeita ao NOC 64409. Compare as funções antes de usar esses dados ocupacionais.</w:t>
      </w:r>
    </w:p>
    <w:bookmarkEnd w:id="37"/>
    <w:bookmarkStart w:id="38" w:name="colômbia-e-américa-latina"/>
    <w:p>
      <w:pPr>
        <w:pStyle w:val="Heading3"/>
      </w:pPr>
      <w:r>
        <w:t xml:space="preserve">Colômbia e América Latina</w:t>
      </w:r>
    </w:p>
    <w:p>
      <w:pPr>
        <w:pStyle w:val="FirstParagraph"/>
      </w:pPr>
      <w:r>
        <w:t xml:space="preserve">Não invente um salário nacional de Especialista em Atendimento ao Cliente quando não tiver sido verificada uma série ocupacional oficial diretamente comparável. Na Colômbia, compare o Servicio Público de Empleo e vagas atuais de empregadores para títulos reais como</w:t>
      </w:r>
      <w:r>
        <w:t xml:space="preserve"> </w:t>
      </w:r>
      <w:r>
        <w:rPr>
          <w:rStyle w:val="VerbatimChar"/>
        </w:rPr>
        <w:t xml:space="preserve">asesor de servicio al cliente</w:t>
      </w:r>
      <w:r>
        <w:t xml:space="preserve">,</w:t>
      </w:r>
      <w:r>
        <w:t xml:space="preserve"> </w:t>
      </w:r>
      <w:r>
        <w:rPr>
          <w:rStyle w:val="VerbatimChar"/>
        </w:rPr>
        <w:t xml:space="preserve">agente de servicio</w:t>
      </w:r>
      <w:r>
        <w:t xml:space="preserve">,</w:t>
      </w:r>
      <w:r>
        <w:t xml:space="preserve"> </w:t>
      </w:r>
      <w:r>
        <w:rPr>
          <w:rStyle w:val="VerbatimChar"/>
        </w:rPr>
        <w:t xml:space="preserve">representante de servicio</w:t>
      </w:r>
      <w:r>
        <w:t xml:space="preserve">,</w:t>
      </w:r>
      <w:r>
        <w:t xml:space="preserve"> </w:t>
      </w:r>
      <w:r>
        <w:rPr>
          <w:rStyle w:val="VerbatimChar"/>
        </w:rPr>
        <w:t xml:space="preserve">agente de contact center</w:t>
      </w:r>
      <w:r>
        <w:t xml:space="preserve">,</w:t>
      </w:r>
      <w:r>
        <w:t xml:space="preserve"> </w:t>
      </w:r>
      <w:r>
        <w:rPr>
          <w:rStyle w:val="VerbatimChar"/>
        </w:rPr>
        <w:t xml:space="preserve">asesor de atención</w:t>
      </w:r>
      <w:r>
        <w:t xml:space="preserve"> </w:t>
      </w:r>
      <w:r>
        <w:t xml:space="preserve">ou relacionados. Registre cidade, salário, benefícios, tipo de contrato, horário, requisitos de idioma, canal, funções de vendas, tecnologia e experiência exigida.</w:t>
      </w:r>
    </w:p>
    <w:p>
      <w:pPr>
        <w:pStyle w:val="BodyText"/>
      </w:pPr>
      <w:r>
        <w:t xml:space="preserve">Na América Latina, salários, contratos de trabalho, benefícios, obrigações de privacidade, regras de gravação de chamadas, proteção ao consumidor, horários e terceirização variam conforme país e empregador. A verificação local é essencial.</w:t>
      </w:r>
    </w:p>
    <w:bookmarkEnd w:id="38"/>
    <w:bookmarkEnd w:id="39"/>
    <w:bookmarkStart w:id="40" w:name="X023a5e1fc9d9d18a2a58a5b126d6d6980f4b18d"/>
    <w:p>
      <w:pPr>
        <w:pStyle w:val="Heading2"/>
      </w:pPr>
      <w:r>
        <w:t xml:space="preserve">7. Educação, habilidades e credenciais</w:t>
      </w:r>
    </w:p>
    <w:p>
      <w:pPr>
        <w:pStyle w:val="FirstParagraph"/>
      </w:pPr>
      <w:r>
        <w:t xml:space="preserve">O BLS identifica diploma de ensino médio ou equivalente mais treinamento de curto prazo no trabalho como preparação típica para funções de representante de atendimento ao cliente nos Estados Unidos. Empregadores individuais podem exigir mais ou menos conforme setor e complexidade.</w:t>
      </w:r>
    </w:p>
    <w:p>
      <w:pPr>
        <w:pStyle w:val="BodyText"/>
      </w:pPr>
      <w:r>
        <w:t xml:space="preserve">Habilidades úteis incluem:</w:t>
      </w:r>
    </w:p>
    <w:p>
      <w:pPr>
        <w:numPr>
          <w:ilvl w:val="0"/>
          <w:numId w:val="1011"/>
        </w:numPr>
        <w:pStyle w:val="Compact"/>
      </w:pPr>
      <w:r>
        <w:t xml:space="preserve">escuta ativa e compreensão de leitura;</w:t>
      </w:r>
    </w:p>
    <w:p>
      <w:pPr>
        <w:numPr>
          <w:ilvl w:val="0"/>
          <w:numId w:val="1011"/>
        </w:numPr>
        <w:pStyle w:val="Compact"/>
      </w:pPr>
      <w:r>
        <w:t xml:space="preserve">redação concisa e tom profissional;</w:t>
      </w:r>
    </w:p>
    <w:p>
      <w:pPr>
        <w:numPr>
          <w:ilvl w:val="0"/>
          <w:numId w:val="1011"/>
        </w:numPr>
        <w:pStyle w:val="Compact"/>
      </w:pPr>
      <w:r>
        <w:t xml:space="preserve">digitação e entrada precisa de dados;</w:t>
      </w:r>
    </w:p>
    <w:p>
      <w:pPr>
        <w:numPr>
          <w:ilvl w:val="0"/>
          <w:numId w:val="1011"/>
        </w:numPr>
        <w:pStyle w:val="Compact"/>
      </w:pPr>
      <w:r>
        <w:t xml:space="preserve">documentação em CRM e tickets;</w:t>
      </w:r>
    </w:p>
    <w:p>
      <w:pPr>
        <w:numPr>
          <w:ilvl w:val="0"/>
          <w:numId w:val="1011"/>
        </w:numPr>
        <w:pStyle w:val="Compact"/>
      </w:pPr>
      <w:r>
        <w:t xml:space="preserve">uso básico de planilhas e software de escritório;</w:t>
      </w:r>
    </w:p>
    <w:p>
      <w:pPr>
        <w:numPr>
          <w:ilvl w:val="0"/>
          <w:numId w:val="1011"/>
        </w:numPr>
        <w:pStyle w:val="Compact"/>
      </w:pPr>
      <w:r>
        <w:t xml:space="preserve">definição de problemas e solução estruturada de incidentes;</w:t>
      </w:r>
    </w:p>
    <w:p>
      <w:pPr>
        <w:numPr>
          <w:ilvl w:val="0"/>
          <w:numId w:val="1011"/>
        </w:numPr>
        <w:pStyle w:val="Compact"/>
      </w:pPr>
      <w:r>
        <w:t xml:space="preserve">desescalonamento e gestão de conflitos;</w:t>
      </w:r>
    </w:p>
    <w:p>
      <w:pPr>
        <w:numPr>
          <w:ilvl w:val="0"/>
          <w:numId w:val="1011"/>
        </w:numPr>
        <w:pStyle w:val="Compact"/>
      </w:pPr>
      <w:r>
        <w:t xml:space="preserve">comunicação consciente de acessibilidade;</w:t>
      </w:r>
    </w:p>
    <w:p>
      <w:pPr>
        <w:numPr>
          <w:ilvl w:val="0"/>
          <w:numId w:val="1011"/>
        </w:numPr>
        <w:pStyle w:val="Compact"/>
      </w:pPr>
      <w:r>
        <w:t xml:space="preserve">conhecimento de privacidade, autenticação, fraude e cibersegurança;</w:t>
      </w:r>
    </w:p>
    <w:p>
      <w:pPr>
        <w:numPr>
          <w:ilvl w:val="0"/>
          <w:numId w:val="1011"/>
        </w:numPr>
        <w:pStyle w:val="Compact"/>
      </w:pPr>
      <w:r>
        <w:t xml:space="preserve">numeracia básica para pedidos, faturamento, reembolsos ou explicações de conta; e</w:t>
      </w:r>
    </w:p>
    <w:p>
      <w:pPr>
        <w:numPr>
          <w:ilvl w:val="0"/>
          <w:numId w:val="1011"/>
        </w:numPr>
        <w:pStyle w:val="Compact"/>
      </w:pPr>
      <w:r>
        <w:t xml:space="preserve">capacidade de aprender rapidamente novos produtos, políticas e software.</w:t>
      </w:r>
    </w:p>
    <w:p>
      <w:pPr>
        <w:pStyle w:val="FirstParagraph"/>
      </w:pPr>
      <w:r>
        <w:t xml:space="preserve">Certificados privados de atendimento ao cliente podem ajudar a demonstrar aprendizado estruturado, mas geralmente não são licenças governamentais e não devem ser tratados como requisitos universais de contratação. Verifique a demanda dos empregadores antes de pagar.</w:t>
      </w:r>
    </w:p>
    <w:p>
      <w:pPr>
        <w:pStyle w:val="BodyText"/>
      </w:pPr>
      <w:r>
        <w:t xml:space="preserve">Em setores regulados, podem existir requisitos adicionais específicos da função. Seguros, valores mobiliários, saúde, serviços financeiros, governo, jogos, aviação, viagens, telecomunicações ou outros setores podem impor regras especializadas. Um curso genérico de atendimento ao cliente não substitui autorização obrigatória.</w:t>
      </w:r>
    </w:p>
    <w:bookmarkEnd w:id="40"/>
    <w:bookmarkStart w:id="53" w:name="Xa86b9d8753ca2aababfd2cf8ea45ade89b96644"/>
    <w:p>
      <w:pPr>
        <w:pStyle w:val="Heading2"/>
      </w:pPr>
      <w:r>
        <w:t xml:space="preserve">8. Treinamento gratuito e de baixo custo, financiamento, bolsas e apoio do empregador</w:t>
      </w:r>
    </w:p>
    <w:p>
      <w:pPr>
        <w:pStyle w:val="FirstParagraph"/>
      </w:pPr>
      <w:r>
        <w:t xml:space="preserve">Use uma sequência de</w:t>
      </w:r>
      <w:r>
        <w:t xml:space="preserve"> </w:t>
      </w:r>
      <w:r>
        <w:rPr>
          <w:bCs/>
          <w:b/>
        </w:rPr>
        <w:t xml:space="preserve">gratuito primeiro</w:t>
      </w:r>
      <w:r>
        <w:t xml:space="preserve">:</w:t>
      </w:r>
    </w:p>
    <w:p>
      <w:pPr>
        <w:numPr>
          <w:ilvl w:val="0"/>
          <w:numId w:val="1012"/>
        </w:numPr>
        <w:pStyle w:val="Compact"/>
      </w:pPr>
      <w:r>
        <w:t xml:space="preserve">Aprenda conceitos fundamentais de comunicação, software de escritório, cibersegurança, privacidade e atendimento ao cliente usando bibliotecas, tutoriais oficiais, cursos abertos, materiais de empregadores ou recursos confiáveis de organizações sem fins lucrativos.</w:t>
      </w:r>
    </w:p>
    <w:p>
      <w:pPr>
        <w:numPr>
          <w:ilvl w:val="0"/>
          <w:numId w:val="1012"/>
        </w:numPr>
        <w:pStyle w:val="Compact"/>
      </w:pPr>
      <w:r>
        <w:t xml:space="preserve">Pratique com cenários fictícios, não com dados reais de clientes.</w:t>
      </w:r>
    </w:p>
    <w:p>
      <w:pPr>
        <w:numPr>
          <w:ilvl w:val="0"/>
          <w:numId w:val="1012"/>
        </w:numPr>
        <w:pStyle w:val="Compact"/>
      </w:pPr>
      <w:r>
        <w:t xml:space="preserve">Revise vagas reais para identificar software, idioma, horário e conhecimentos setoriais solicitados pelos empregadores.</w:t>
      </w:r>
    </w:p>
    <w:p>
      <w:pPr>
        <w:numPr>
          <w:ilvl w:val="0"/>
          <w:numId w:val="1012"/>
        </w:numPr>
        <w:pStyle w:val="Compact"/>
      </w:pPr>
      <w:r>
        <w:t xml:space="preserve">Explore programas públicos de emprego, reabilitação profissional quando aplicável, bolsas, auxílio institucional e treinamento pago pelo empregador.</w:t>
      </w:r>
    </w:p>
    <w:p>
      <w:pPr>
        <w:numPr>
          <w:ilvl w:val="0"/>
          <w:numId w:val="1012"/>
        </w:numPr>
        <w:pStyle w:val="Compact"/>
      </w:pPr>
      <w:r>
        <w:t xml:space="preserve">Pague por um certificado apenas quando ele atender a um requisito documentado ou produzir um benefício transferível específico.</w:t>
      </w:r>
    </w:p>
    <w:bookmarkStart w:id="46" w:name="estados-unidos"/>
    <w:p>
      <w:pPr>
        <w:pStyle w:val="Heading3"/>
      </w:pPr>
      <w:r>
        <w:t xml:space="preserve">Estados Unidos</w:t>
      </w:r>
    </w:p>
    <w:p>
      <w:pPr>
        <w:pStyle w:val="FirstParagraph"/>
      </w:pPr>
      <w:r>
        <w:t xml:space="preserve">Os American Job Centers oferecem assistência gratuita para emprego e podem ajudar candidatos elegíveis a explorar oportunidades de treinamento. O CareerOneStop mantém o localizador de AJC e um buscador de programas de treinamento elegíveis para WIOA. Elegibilidade e financiamento variam; a presença de um programa em uma lista não garante que uma pessoa específica receberá recursos.</w:t>
      </w:r>
    </w:p>
    <w:p>
      <w:pPr>
        <w:numPr>
          <w:ilvl w:val="0"/>
          <w:numId w:val="1013"/>
        </w:numPr>
        <w:pStyle w:val="Compact"/>
      </w:pPr>
      <w:r>
        <w:t xml:space="preserve">American Job Centers:</w:t>
      </w:r>
      <w:r>
        <w:t xml:space="preserve"> </w:t>
      </w:r>
      <w:hyperlink r:id="rId41">
        <w:r>
          <w:rPr>
            <w:rStyle w:val="Hyperlink"/>
          </w:rPr>
          <w:t xml:space="preserve">https://www.careeronestop.org/LocalHelp/AmericanJobCenters/american-job-centers.aspx</w:t>
        </w:r>
      </w:hyperlink>
    </w:p>
    <w:p>
      <w:pPr>
        <w:numPr>
          <w:ilvl w:val="0"/>
          <w:numId w:val="1013"/>
        </w:numPr>
        <w:pStyle w:val="Compact"/>
      </w:pPr>
      <w:r>
        <w:t xml:space="preserve">Buscador de treinamento WIOA:</w:t>
      </w:r>
      <w:r>
        <w:t xml:space="preserve"> </w:t>
      </w:r>
      <w:hyperlink r:id="rId42">
        <w:r>
          <w:rPr>
            <w:rStyle w:val="Hyperlink"/>
          </w:rPr>
          <w:t xml:space="preserve">https://www.careeronestop.org/LocalHelp/EmploymentAndTraining/find-WIOA-training-programs.aspx</w:t>
        </w:r>
      </w:hyperlink>
    </w:p>
    <w:p>
      <w:pPr>
        <w:numPr>
          <w:ilvl w:val="0"/>
          <w:numId w:val="1013"/>
        </w:numPr>
        <w:pStyle w:val="Compact"/>
      </w:pPr>
      <w:r>
        <w:t xml:space="preserve">Informações e busca de Registered Apprenticeship:</w:t>
      </w:r>
      <w:r>
        <w:t xml:space="preserve"> </w:t>
      </w:r>
      <w:hyperlink r:id="rId43">
        <w:r>
          <w:rPr>
            <w:rStyle w:val="Hyperlink"/>
          </w:rPr>
          <w:t xml:space="preserve">https://www.apprenticeship.gov/</w:t>
        </w:r>
      </w:hyperlink>
    </w:p>
    <w:p>
      <w:pPr>
        <w:numPr>
          <w:ilvl w:val="0"/>
          <w:numId w:val="1013"/>
        </w:numPr>
        <w:pStyle w:val="Compact"/>
      </w:pPr>
      <w:r>
        <w:t xml:space="preserve">Federal Student Aid:</w:t>
      </w:r>
      <w:r>
        <w:t xml:space="preserve"> </w:t>
      </w:r>
      <w:hyperlink r:id="rId44">
        <w:r>
          <w:rPr>
            <w:rStyle w:val="Hyperlink"/>
          </w:rPr>
          <w:t xml:space="preserve">https://studentaid.gov/</w:t>
        </w:r>
      </w:hyperlink>
    </w:p>
    <w:p>
      <w:pPr>
        <w:numPr>
          <w:ilvl w:val="0"/>
          <w:numId w:val="1013"/>
        </w:numPr>
        <w:pStyle w:val="Compact"/>
      </w:pPr>
      <w:r>
        <w:t xml:space="preserve">Informações sobre bolsas:</w:t>
      </w:r>
      <w:r>
        <w:t xml:space="preserve"> </w:t>
      </w:r>
      <w:hyperlink r:id="rId45">
        <w:r>
          <w:rPr>
            <w:rStyle w:val="Hyperlink"/>
          </w:rPr>
          <w:t xml:space="preserve">https://studentaid.gov/understand-aid/types/scholarships</w:t>
        </w:r>
      </w:hyperlink>
    </w:p>
    <w:p>
      <w:pPr>
        <w:pStyle w:val="FirstParagraph"/>
      </w:pPr>
      <w:r>
        <w:t xml:space="preserve">Registered Apprenticeship pode ser relevante quando um empregador ou patrocinador oferece um caminho de atendimento ao cliente, contact center, suporte de vendas, serviço ou atividade relacionada. Consulte o registro atual em vez de presumir que existe um programa em todas as localidades.</w:t>
      </w:r>
    </w:p>
    <w:bookmarkEnd w:id="46"/>
    <w:bookmarkStart w:id="48" w:name="Xa62eb16b3321111879c881563174493cab5af12"/>
    <w:p>
      <w:pPr>
        <w:pStyle w:val="Heading3"/>
      </w:pPr>
      <w:r>
        <w:t xml:space="preserve">Assistência educacional do empregador nos Estados Unidos</w:t>
      </w:r>
    </w:p>
    <w:p>
      <w:pPr>
        <w:pStyle w:val="FirstParagraph"/>
      </w:pPr>
      <w:r>
        <w:t xml:space="preserve">A orientação do IRS sobre programas de assistência educacional da Seção 127 informa que a assistência educacional fornecida por empregador que atenda aos requisitos pode ser excluída da renda bruta do empregado até</w:t>
      </w:r>
      <w:r>
        <w:t xml:space="preserve"> </w:t>
      </w:r>
      <w:r>
        <w:rPr>
          <w:bCs/>
          <w:b/>
        </w:rPr>
        <w:t xml:space="preserve">US$5,250 por ano-calendário em 2025 e 2026</w:t>
      </w:r>
      <w:r>
        <w:t xml:space="preserve">. O valor está sujeito a ajuste de custo de vida para anos tributários posteriores a 2026. Essa é uma regra tributária dos Estados Unidos para planos empresariais qualificados, não um benefício universal do empregador.</w:t>
      </w:r>
    </w:p>
    <w:p>
      <w:pPr>
        <w:pStyle w:val="BodyText"/>
      </w:pPr>
      <w:r>
        <w:t xml:space="preserve">Fonte do IRS:</w:t>
      </w:r>
      <w:r>
        <w:t xml:space="preserve"> </w:t>
      </w:r>
      <w:hyperlink r:id="rId47">
        <w:r>
          <w:rPr>
            <w:rStyle w:val="Hyperlink"/>
          </w:rPr>
          <w:t xml:space="preserve">https://www.irs.gov/newsroom/updates-to-frequently-asked-questions-about-educational-assistance-programs</w:t>
        </w:r>
      </w:hyperlink>
    </w:p>
    <w:p>
      <w:pPr>
        <w:pStyle w:val="BodyText"/>
      </w:pPr>
      <w:r>
        <w:t xml:space="preserve">Antes de se matricular, obtenha por escrito do empregador os requisitos de elegibilidade, despesas cobertas, notas, reembolso, tratamento tributário e permanência no emprego.</w:t>
      </w:r>
    </w:p>
    <w:bookmarkEnd w:id="48"/>
    <w:bookmarkStart w:id="49" w:name="canadá-1"/>
    <w:p>
      <w:pPr>
        <w:pStyle w:val="Heading3"/>
      </w:pPr>
      <w:r>
        <w:t xml:space="preserve">Canadá</w:t>
      </w:r>
    </w:p>
    <w:p>
      <w:pPr>
        <w:pStyle w:val="FirstParagraph"/>
      </w:pPr>
      <w:r>
        <w:t xml:space="preserve">Use Job Bank, serviços provinciais ou territoriais de emprego, instituições públicas, programas de educação de adultos, serviços para recém-chegados, programas de emprego para pessoas com deficiência e treinamento financiado por empregadores para comparar opções. As regras de financiamento variam por província, território, programa, status migratório, situação profissional e elegibilidade individual. Verifique o programa atual antes de depender de um subsídio.</w:t>
      </w:r>
    </w:p>
    <w:bookmarkEnd w:id="49"/>
    <w:bookmarkStart w:id="52" w:name="colômbia"/>
    <w:p>
      <w:pPr>
        <w:pStyle w:val="Heading3"/>
      </w:pPr>
      <w:r>
        <w:t xml:space="preserve">Colômbia</w:t>
      </w:r>
    </w:p>
    <w:p>
      <w:pPr>
        <w:pStyle w:val="FirstParagraph"/>
      </w:pPr>
      <w:r>
        <w:t xml:space="preserve">O catálogo Betowa do SENA atualmente mostra</w:t>
      </w:r>
      <w:r>
        <w:t xml:space="preserve"> </w:t>
      </w:r>
      <w:r>
        <w:rPr>
          <w:bCs/>
          <w:b/>
        </w:rPr>
        <w:t xml:space="preserve">Servicio al cliente</w:t>
      </w:r>
      <w:r>
        <w:t xml:space="preserve"> </w:t>
      </w:r>
      <w:r>
        <w:t xml:space="preserve">como um</w:t>
      </w:r>
      <w:r>
        <w:t xml:space="preserve"> </w:t>
      </w:r>
      <w:r>
        <w:rPr>
          <w:bCs/>
          <w:b/>
        </w:rPr>
        <w:t xml:space="preserve">curso especial complementar, presencial, de 48 horas</w:t>
      </w:r>
      <w:r>
        <w:t xml:space="preserve"> </w:t>
      </w:r>
      <w:r>
        <w:t xml:space="preserve">na página citada. Disponibilidade, turma, localização, modalidade e matrícula podem mudar, portanto verifique a oferta atual antes de planejar com base nela.</w:t>
      </w:r>
    </w:p>
    <w:p>
      <w:pPr>
        <w:pStyle w:val="BodyText"/>
      </w:pPr>
      <w:r>
        <w:t xml:space="preserve">Fonte SENA:</w:t>
      </w:r>
      <w:r>
        <w:t xml:space="preserve"> </w:t>
      </w:r>
      <w:hyperlink r:id="rId50">
        <w:r>
          <w:rPr>
            <w:rStyle w:val="Hyperlink"/>
          </w:rPr>
          <w:t xml:space="preserve">https://betowa.sena.edu.co/oferta/servicio-al-cliente?modality=P&amp;offertype=open&amp;programId=116454</w:t>
        </w:r>
      </w:hyperlink>
    </w:p>
    <w:p>
      <w:pPr>
        <w:pStyle w:val="BodyText"/>
      </w:pPr>
      <w:r>
        <w:t xml:space="preserve">Para pesquisa de emprego, use o Servicio Público de Empleo e vagas atuais de empregadores:</w:t>
      </w:r>
    </w:p>
    <w:p>
      <w:pPr>
        <w:pStyle w:val="BodyText"/>
      </w:pPr>
      <w:hyperlink r:id="rId51">
        <w:r>
          <w:rPr>
            <w:rStyle w:val="Hyperlink"/>
          </w:rPr>
          <w:t xml:space="preserve">https://www.serviciodeempleo.gov.co/</w:t>
        </w:r>
      </w:hyperlink>
    </w:p>
    <w:p>
      <w:pPr>
        <w:pStyle w:val="BodyText"/>
      </w:pPr>
      <w:r>
        <w:t xml:space="preserve">Não pague a um fornecedor privado apenas por informações já disponíveis em sistemas públicos, a menos que o programa privado acrescente um benefício verificado de que você realmente precisa.</w:t>
      </w:r>
    </w:p>
    <w:bookmarkEnd w:id="52"/>
    <w:bookmarkEnd w:id="53"/>
    <w:bookmarkStart w:id="54" w:name="X5de67fd125b0aca2f06efa4d29a1b0f34019863"/>
    <w:p>
      <w:pPr>
        <w:pStyle w:val="Heading2"/>
      </w:pPr>
      <w:r>
        <w:t xml:space="preserve">9. Acessibilidade e planejamento inclusivo para pessoas com deficiência</w:t>
      </w:r>
    </w:p>
    <w:p>
      <w:pPr>
        <w:pStyle w:val="FirstParagraph"/>
      </w:pPr>
      <w:r>
        <w:t xml:space="preserve">O atendimento ao cliente pode ser compatível com muitas deficiências quando ferramentas, canais de comunicação, ambiente de trabalho, horários e treinamento são acessíveis. As necessidades variam conforme a pessoa e a função.</w:t>
      </w:r>
    </w:p>
    <w:p>
      <w:pPr>
        <w:pStyle w:val="BodyText"/>
      </w:pPr>
      <w:r>
        <w:t xml:space="preserve">Possíveis apoios incluem:</w:t>
      </w:r>
    </w:p>
    <w:p>
      <w:pPr>
        <w:numPr>
          <w:ilvl w:val="0"/>
          <w:numId w:val="1014"/>
        </w:numPr>
        <w:pStyle w:val="Compact"/>
      </w:pPr>
      <w:r>
        <w:t xml:space="preserve">leitores de tela, ampliação, configurações de alto contraste e navegação por teclado;</w:t>
      </w:r>
    </w:p>
    <w:p>
      <w:pPr>
        <w:numPr>
          <w:ilvl w:val="0"/>
          <w:numId w:val="1014"/>
        </w:numPr>
        <w:pStyle w:val="Compact"/>
      </w:pPr>
      <w:r>
        <w:t xml:space="preserve">voz para texto ou dispositivos alternativos de entrada;</w:t>
      </w:r>
    </w:p>
    <w:p>
      <w:pPr>
        <w:numPr>
          <w:ilvl w:val="0"/>
          <w:numId w:val="1014"/>
        </w:numPr>
        <w:pStyle w:val="Compact"/>
      </w:pPr>
      <w:r>
        <w:t xml:space="preserve">legendas e transcrições para chamadas, reuniões e treinamentos;</w:t>
      </w:r>
    </w:p>
    <w:p>
      <w:pPr>
        <w:numPr>
          <w:ilvl w:val="0"/>
          <w:numId w:val="1014"/>
        </w:numPr>
        <w:pStyle w:val="Compact"/>
      </w:pPr>
      <w:r>
        <w:t xml:space="preserve">interfaces acessíveis de CRM e bases de conhecimento;</w:t>
      </w:r>
    </w:p>
    <w:p>
      <w:pPr>
        <w:numPr>
          <w:ilvl w:val="0"/>
          <w:numId w:val="1014"/>
        </w:numPr>
        <w:pStyle w:val="Compact"/>
      </w:pPr>
      <w:r>
        <w:t xml:space="preserve">redução de ruído, ambiente mais silencioso ou arranjos remotos/híbridos quando o trabalho permitir;</w:t>
      </w:r>
    </w:p>
    <w:p>
      <w:pPr>
        <w:numPr>
          <w:ilvl w:val="0"/>
          <w:numId w:val="1014"/>
        </w:numPr>
        <w:pStyle w:val="Compact"/>
      </w:pPr>
      <w:r>
        <w:t xml:space="preserve">equipamento ergonômico;</w:t>
      </w:r>
    </w:p>
    <w:p>
      <w:pPr>
        <w:numPr>
          <w:ilvl w:val="0"/>
          <w:numId w:val="1014"/>
        </w:numPr>
        <w:pStyle w:val="Compact"/>
      </w:pPr>
      <w:r>
        <w:t xml:space="preserve">pausas previsíveis ou ajustes de horário;</w:t>
      </w:r>
    </w:p>
    <w:p>
      <w:pPr>
        <w:numPr>
          <w:ilvl w:val="0"/>
          <w:numId w:val="1014"/>
        </w:numPr>
        <w:pStyle w:val="Compact"/>
      </w:pPr>
      <w:r>
        <w:t xml:space="preserve">procedimentos escritos, checklists, exemplos e tempo adicional de processamento quando razoável; e</w:t>
      </w:r>
    </w:p>
    <w:p>
      <w:pPr>
        <w:numPr>
          <w:ilvl w:val="0"/>
          <w:numId w:val="1014"/>
        </w:numPr>
        <w:pStyle w:val="Compact"/>
      </w:pPr>
      <w:r>
        <w:t xml:space="preserve">canais alternativos de comunicação quando uma função essencial puder ser executada dessa forma.</w:t>
      </w:r>
    </w:p>
    <w:p>
      <w:pPr>
        <w:pStyle w:val="FirstParagraph"/>
      </w:pPr>
      <w:r>
        <w:t xml:space="preserve">Antes de pagar por treinamento, pergunte se a plataforma de aprendizagem, simulações, avaliações cronometradas, vídeos, documentos, sistema de proctoring remoto e software exigido são acessíveis para você. Pergunte sobre o processo para solicitar adaptações e que documentação é necessária.</w:t>
      </w:r>
    </w:p>
    <w:p>
      <w:pPr>
        <w:pStyle w:val="BodyText"/>
      </w:pPr>
      <w:r>
        <w:t xml:space="preserve">Acessibilidade não significa reduzir padrões essenciais do trabalho. Significa identificar se funções essenciais podem ser realizadas com apoios razoáveis e legais e se o treinamento e o ambiente de trabalho proporcionam acesso significativo.</w:t>
      </w:r>
    </w:p>
    <w:bookmarkEnd w:id="54"/>
    <w:bookmarkStart w:id="59" w:name="X9aaefda56e19b72cdbaf36fb8f3ece4543b655e"/>
    <w:p>
      <w:pPr>
        <w:pStyle w:val="Heading2"/>
      </w:pPr>
      <w:r>
        <w:t xml:space="preserve">10. Privacidade, cibersegurança, pagamentos, gravação e IA responsável</w:t>
      </w:r>
    </w:p>
    <w:p>
      <w:pPr>
        <w:pStyle w:val="FirstParagraph"/>
      </w:pPr>
      <w:r>
        <w:t xml:space="preserve">Profissionais de atendimento ao cliente são alvos comuns de engenharia social porque podem ver informações de conta e podem ter autoridade para redefinir credenciais, alterar dados de contato, emitir reembolsos ou encaminhar transações.</w:t>
      </w:r>
    </w:p>
    <w:bookmarkStart w:id="55" w:name="privacidade-e-identidade"/>
    <w:p>
      <w:pPr>
        <w:pStyle w:val="Heading3"/>
      </w:pPr>
      <w:r>
        <w:t xml:space="preserve">Privacidade e identidade</w:t>
      </w:r>
    </w:p>
    <w:p>
      <w:pPr>
        <w:pStyle w:val="FirstParagraph"/>
      </w:pPr>
      <w:r>
        <w:t xml:space="preserve">Siga o método aprovado pelo empregador para verificação de identidade. Não improvise perguntas de segurança, revele respostas de autenticação nem use informações encontradas em redes sociais como substituto da verificação obrigatória.</w:t>
      </w:r>
    </w:p>
    <w:p>
      <w:pPr>
        <w:pStyle w:val="BodyText"/>
      </w:pPr>
      <w:r>
        <w:t xml:space="preserve">Colete e visualize apenas as informações necessárias para a tarefa atribuída. Evite copiar dados sensíveis para anotações quando o sistema aprovado já os armazena com segurança.</w:t>
      </w:r>
    </w:p>
    <w:bookmarkEnd w:id="55"/>
    <w:bookmarkStart w:id="56" w:name="limites-de-pagamento"/>
    <w:p>
      <w:pPr>
        <w:pStyle w:val="Heading3"/>
      </w:pPr>
      <w:r>
        <w:t xml:space="preserve">Limites de pagamento</w:t>
      </w:r>
    </w:p>
    <w:p>
      <w:pPr>
        <w:pStyle w:val="FirstParagraph"/>
      </w:pPr>
      <w:r>
        <w:t xml:space="preserve">Use somente fluxos de pagamento aprovados. Não peça a um cliente que envie dados completos de cartão por e-mail ou chat comum, a menos que a organização tenha projetado e aprovado explicitamente esse canal seguro. Não registre números de cartão em notas de texto livre nem em arquivos pessoais.</w:t>
      </w:r>
    </w:p>
    <w:bookmarkEnd w:id="56"/>
    <w:bookmarkStart w:id="57" w:name="gravação-de-chamadas-e-interações"/>
    <w:p>
      <w:pPr>
        <w:pStyle w:val="Heading3"/>
      </w:pPr>
      <w:r>
        <w:t xml:space="preserve">Gravação de chamadas e interações</w:t>
      </w:r>
    </w:p>
    <w:p>
      <w:pPr>
        <w:pStyle w:val="FirstParagraph"/>
      </w:pPr>
      <w:r>
        <w:t xml:space="preserve">As regras de gravação e monitoramento variam por jurisdição. Siga o procedimento jurídico e de compliance atual do empregador. Não presuma que um script aceitável em um país ou estado seja legal em todos os lugares.</w:t>
      </w:r>
    </w:p>
    <w:bookmarkEnd w:id="57"/>
    <w:bookmarkStart w:id="58" w:name="ia-responsável"/>
    <w:p>
      <w:pPr>
        <w:pStyle w:val="Heading3"/>
      </w:pPr>
      <w:r>
        <w:t xml:space="preserve">IA responsável</w:t>
      </w:r>
    </w:p>
    <w:p>
      <w:pPr>
        <w:pStyle w:val="FirstParagraph"/>
      </w:pPr>
      <w:r>
        <w:t xml:space="preserve">Ferramentas de IA aprovadas podem ajudar a resumir um caso, recuperar conhecimento, redigir uma resposta, classificar um ticket ou sugerir próximos passos. Também podem alucinar, expor informações confidenciais, reproduzir vieses ou fazer uma recomendação que exceda a autoridade do trabalhador.</w:t>
      </w:r>
    </w:p>
    <w:p>
      <w:pPr>
        <w:pStyle w:val="BodyText"/>
      </w:pPr>
      <w:r>
        <w:t xml:space="preserve">Use IA como apoio, não como autoridade sem revisão:</w:t>
      </w:r>
    </w:p>
    <w:p>
      <w:pPr>
        <w:numPr>
          <w:ilvl w:val="0"/>
          <w:numId w:val="1015"/>
        </w:numPr>
        <w:pStyle w:val="Compact"/>
      </w:pPr>
      <w:r>
        <w:t xml:space="preserve">Use apenas ferramentas aprovadas e dados aprovados.</w:t>
      </w:r>
    </w:p>
    <w:p>
      <w:pPr>
        <w:numPr>
          <w:ilvl w:val="0"/>
          <w:numId w:val="1015"/>
        </w:numPr>
        <w:pStyle w:val="Compact"/>
      </w:pPr>
      <w:r>
        <w:t xml:space="preserve">Verifique as saídas contra a base de conhecimento atual, política, registro da conta e procedimento aplicável.</w:t>
      </w:r>
    </w:p>
    <w:p>
      <w:pPr>
        <w:numPr>
          <w:ilvl w:val="0"/>
          <w:numId w:val="1015"/>
        </w:numPr>
        <w:pStyle w:val="Compact"/>
      </w:pPr>
      <w:r>
        <w:t xml:space="preserve">Nunca invente políticas, preços, reembolsos, direitos legais, orientações de saúde ou compromissos porque uma saída de IA parece confiante.</w:t>
      </w:r>
    </w:p>
    <w:p>
      <w:pPr>
        <w:numPr>
          <w:ilvl w:val="0"/>
          <w:numId w:val="1015"/>
        </w:numPr>
        <w:pStyle w:val="Compact"/>
      </w:pPr>
      <w:r>
        <w:t xml:space="preserve">Não cole segredos, senhas, respostas de autenticação, dados de pagamento, informações de saúde, identificadores governamentais ou registros confidenciais de clientes em um modelo não aprovado.</w:t>
      </w:r>
    </w:p>
    <w:p>
      <w:pPr>
        <w:numPr>
          <w:ilvl w:val="0"/>
          <w:numId w:val="1015"/>
        </w:numPr>
        <w:pStyle w:val="Compact"/>
      </w:pPr>
      <w:r>
        <w:t xml:space="preserve">Escale quando a resposta for incerta, regulada, sensível à segurança ou inconsistente com o material-fonte.</w:t>
      </w:r>
    </w:p>
    <w:p>
      <w:pPr>
        <w:numPr>
          <w:ilvl w:val="0"/>
          <w:numId w:val="1015"/>
        </w:numPr>
        <w:pStyle w:val="Compact"/>
      </w:pPr>
      <w:r>
        <w:t xml:space="preserve">Documente decisões humanas relevantes quando exigido pela política.</w:t>
      </w:r>
    </w:p>
    <w:bookmarkEnd w:id="58"/>
    <w:bookmarkEnd w:id="59"/>
    <w:bookmarkStart w:id="60" w:name="X7f4227d2e06528d866d35e602354dc293bf2e02"/>
    <w:p>
      <w:pPr>
        <w:pStyle w:val="Heading2"/>
      </w:pPr>
      <w:r>
        <w:t xml:space="preserve">11. Como criar evidências profissionais confiáveis sem expor dados de clientes</w:t>
      </w:r>
    </w:p>
    <w:p>
      <w:pPr>
        <w:pStyle w:val="FirstParagraph"/>
      </w:pPr>
      <w:r>
        <w:t xml:space="preserve">Um portfólio de atendimento ao cliente não deve conter registros reais de clientes, capturas de tela, gravações, números de conta, informações de pagamento, scripts confidenciais, métricas internas ou conteúdo proprietário de base de conhecimento, a menos que o empregador tenha autorizado explicitamente o uso público.</w:t>
      </w:r>
    </w:p>
    <w:p>
      <w:pPr>
        <w:pStyle w:val="BodyText"/>
      </w:pPr>
      <w:r>
        <w:t xml:space="preserve">Evidências mais seguras incluem exemplos fictícios ou sanitizados, como:</w:t>
      </w:r>
    </w:p>
    <w:p>
      <w:pPr>
        <w:numPr>
          <w:ilvl w:val="0"/>
          <w:numId w:val="1016"/>
        </w:numPr>
        <w:pStyle w:val="Compact"/>
      </w:pPr>
      <w:r>
        <w:t xml:space="preserve">um ticket de exemplo mostrando definição clara do problema, solução, escalonamento e encerramento;</w:t>
      </w:r>
    </w:p>
    <w:p>
      <w:pPr>
        <w:numPr>
          <w:ilvl w:val="0"/>
          <w:numId w:val="1016"/>
        </w:numPr>
        <w:pStyle w:val="Compact"/>
      </w:pPr>
      <w:r>
        <w:t xml:space="preserve">um cenário fictício com cliente difícil e resposta profissional;</w:t>
      </w:r>
    </w:p>
    <w:p>
      <w:pPr>
        <w:numPr>
          <w:ilvl w:val="0"/>
          <w:numId w:val="1016"/>
        </w:numPr>
        <w:pStyle w:val="Compact"/>
      </w:pPr>
      <w:r>
        <w:t xml:space="preserve">um pequeno artigo de base de conhecimento escrito em linguagem simples;</w:t>
      </w:r>
    </w:p>
    <w:p>
      <w:pPr>
        <w:numPr>
          <w:ilvl w:val="0"/>
          <w:numId w:val="1016"/>
        </w:numPr>
        <w:pStyle w:val="Compact"/>
      </w:pPr>
      <w:r>
        <w:t xml:space="preserve">uma resposta de e-mail ou chat consciente de acessibilidade;</w:t>
      </w:r>
    </w:p>
    <w:p>
      <w:pPr>
        <w:numPr>
          <w:ilvl w:val="0"/>
          <w:numId w:val="1016"/>
        </w:numPr>
        <w:pStyle w:val="Compact"/>
      </w:pPr>
      <w:r>
        <w:t xml:space="preserve">uma árvore de decisão de amostra para triagem de casos;</w:t>
      </w:r>
    </w:p>
    <w:p>
      <w:pPr>
        <w:numPr>
          <w:ilvl w:val="0"/>
          <w:numId w:val="1016"/>
        </w:numPr>
        <w:pStyle w:val="Compact"/>
      </w:pPr>
      <w:r>
        <w:t xml:space="preserve">uma planilha que acompanhe volumes e categorias fictícias de atendimento;</w:t>
      </w:r>
    </w:p>
    <w:p>
      <w:pPr>
        <w:numPr>
          <w:ilvl w:val="0"/>
          <w:numId w:val="1016"/>
        </w:numPr>
        <w:pStyle w:val="Compact"/>
      </w:pPr>
      <w:r>
        <w:t xml:space="preserve">um checklist de qualidade para documentação; ou</w:t>
      </w:r>
    </w:p>
    <w:p>
      <w:pPr>
        <w:numPr>
          <w:ilvl w:val="0"/>
          <w:numId w:val="1016"/>
        </w:numPr>
        <w:pStyle w:val="Compact"/>
      </w:pPr>
      <w:r>
        <w:t xml:space="preserve">uma breve reflexão explicando como controles de privacidade, fraude e IA foram aplicados.</w:t>
      </w:r>
    </w:p>
    <w:p>
      <w:pPr>
        <w:pStyle w:val="FirstParagraph"/>
      </w:pPr>
      <w:r>
        <w:t xml:space="preserve">Identifique claramente as simulações. Nunca sugira que trabalho fictício foi realizado para um empregador ou cliente real.</w:t>
      </w:r>
    </w:p>
    <w:bookmarkEnd w:id="60"/>
    <w:bookmarkStart w:id="61" w:name="X1020503a8e57774f2ca0418c887f1ccf13508bb"/>
    <w:p>
      <w:pPr>
        <w:pStyle w:val="Heading2"/>
      </w:pPr>
      <w:r>
        <w:t xml:space="preserve">12. Preparação de currículo, candidatura e entrevista</w:t>
      </w:r>
    </w:p>
    <w:p>
      <w:pPr>
        <w:pStyle w:val="FirstParagraph"/>
      </w:pPr>
      <w:r>
        <w:t xml:space="preserve">Use evidências verdadeiras. Bons tópicos de currículo descrevem o que você fez, o escopo, o resultado quando conhecido e o método sem inventar métricas.</w:t>
      </w:r>
    </w:p>
    <w:p>
      <w:pPr>
        <w:pStyle w:val="BodyText"/>
      </w:pPr>
      <w:r>
        <w:t xml:space="preserve">Exemplos de categorias de evidência honesta incluem:</w:t>
      </w:r>
    </w:p>
    <w:p>
      <w:pPr>
        <w:numPr>
          <w:ilvl w:val="0"/>
          <w:numId w:val="1017"/>
        </w:numPr>
        <w:pStyle w:val="Compact"/>
      </w:pPr>
      <w:r>
        <w:t xml:space="preserve">canais atendidos: telefone, e-mail, chat, tickets, presencial;</w:t>
      </w:r>
    </w:p>
    <w:p>
      <w:pPr>
        <w:numPr>
          <w:ilvl w:val="0"/>
          <w:numId w:val="1017"/>
        </w:numPr>
        <w:pStyle w:val="Compact"/>
      </w:pPr>
      <w:r>
        <w:t xml:space="preserve">setores ou grupos de clientes apoiados;</w:t>
      </w:r>
    </w:p>
    <w:p>
      <w:pPr>
        <w:numPr>
          <w:ilvl w:val="0"/>
          <w:numId w:val="1017"/>
        </w:numPr>
        <w:pStyle w:val="Compact"/>
      </w:pPr>
      <w:r>
        <w:t xml:space="preserve">sistemas utilizados;</w:t>
      </w:r>
    </w:p>
    <w:p>
      <w:pPr>
        <w:numPr>
          <w:ilvl w:val="0"/>
          <w:numId w:val="1017"/>
        </w:numPr>
        <w:pStyle w:val="Compact"/>
      </w:pPr>
      <w:r>
        <w:t xml:space="preserve">idiomas usados profissionalmente;</w:t>
      </w:r>
    </w:p>
    <w:p>
      <w:pPr>
        <w:numPr>
          <w:ilvl w:val="0"/>
          <w:numId w:val="1017"/>
        </w:numPr>
        <w:pStyle w:val="Compact"/>
      </w:pPr>
      <w:r>
        <w:t xml:space="preserve">tipos de problemas resolvidos ou escalados;</w:t>
      </w:r>
    </w:p>
    <w:p>
      <w:pPr>
        <w:numPr>
          <w:ilvl w:val="0"/>
          <w:numId w:val="1017"/>
        </w:numPr>
        <w:pStyle w:val="Compact"/>
      </w:pPr>
      <w:r>
        <w:t xml:space="preserve">responsabilidades de documentação e qualidade;</w:t>
      </w:r>
    </w:p>
    <w:p>
      <w:pPr>
        <w:numPr>
          <w:ilvl w:val="0"/>
          <w:numId w:val="1017"/>
        </w:numPr>
        <w:pStyle w:val="Compact"/>
      </w:pPr>
      <w:r>
        <w:t xml:space="preserve">procedimentos de privacidade ou autenticação seguidos;</w:t>
      </w:r>
    </w:p>
    <w:p>
      <w:pPr>
        <w:numPr>
          <w:ilvl w:val="0"/>
          <w:numId w:val="1017"/>
        </w:numPr>
        <w:pStyle w:val="Compact"/>
      </w:pPr>
      <w:r>
        <w:t xml:space="preserve">treinamento ou mentoria fornecidos; e</w:t>
      </w:r>
    </w:p>
    <w:p>
      <w:pPr>
        <w:numPr>
          <w:ilvl w:val="0"/>
          <w:numId w:val="1017"/>
        </w:numPr>
        <w:pStyle w:val="Compact"/>
      </w:pPr>
      <w:r>
        <w:t xml:space="preserve">melhorias de processo apoiadas.</w:t>
      </w:r>
    </w:p>
    <w:p>
      <w:pPr>
        <w:pStyle w:val="FirstParagraph"/>
      </w:pPr>
      <w:r>
        <w:t xml:space="preserve">Se você não possui um título direto de atendimento ao cliente, experiência transferível pode vir de hotelaria, varejo, cuidados, educação, administração, serviço comunitário, suporte técnico, recepção, suporte de vendas, voluntariado, serviço militar ou empresa familiar. Descreva as tarefas reais com clientes em vez de alterar seu título.</w:t>
      </w:r>
    </w:p>
    <w:p>
      <w:pPr>
        <w:pStyle w:val="BodyText"/>
      </w:pPr>
      <w:r>
        <w:t xml:space="preserve">Prepare exemplos para entrevistas sobre:</w:t>
      </w:r>
    </w:p>
    <w:p>
      <w:pPr>
        <w:numPr>
          <w:ilvl w:val="0"/>
          <w:numId w:val="1018"/>
        </w:numPr>
        <w:pStyle w:val="Compact"/>
      </w:pPr>
      <w:r>
        <w:t xml:space="preserve">um cliente irritado;</w:t>
      </w:r>
    </w:p>
    <w:p>
      <w:pPr>
        <w:numPr>
          <w:ilvl w:val="0"/>
          <w:numId w:val="1018"/>
        </w:numPr>
        <w:pStyle w:val="Compact"/>
      </w:pPr>
      <w:r>
        <w:t xml:space="preserve">um problema que você não conseguiu resolver imediatamente;</w:t>
      </w:r>
    </w:p>
    <w:p>
      <w:pPr>
        <w:numPr>
          <w:ilvl w:val="0"/>
          <w:numId w:val="1018"/>
        </w:numPr>
        <w:pStyle w:val="Compact"/>
      </w:pPr>
      <w:r>
        <w:t xml:space="preserve">uma ocasião em que seguiu uma política apesar de pressão;</w:t>
      </w:r>
    </w:p>
    <w:p>
      <w:pPr>
        <w:numPr>
          <w:ilvl w:val="0"/>
          <w:numId w:val="1018"/>
        </w:numPr>
        <w:pStyle w:val="Compact"/>
      </w:pPr>
      <w:r>
        <w:t xml:space="preserve">uma preocupação de privacidade ou segurança;</w:t>
      </w:r>
    </w:p>
    <w:p>
      <w:pPr>
        <w:numPr>
          <w:ilvl w:val="0"/>
          <w:numId w:val="1018"/>
        </w:numPr>
        <w:pStyle w:val="Compact"/>
      </w:pPr>
      <w:r>
        <w:t xml:space="preserve">um erro que corrigiu;</w:t>
      </w:r>
    </w:p>
    <w:p>
      <w:pPr>
        <w:numPr>
          <w:ilvl w:val="0"/>
          <w:numId w:val="1018"/>
        </w:numPr>
        <w:pStyle w:val="Compact"/>
      </w:pPr>
      <w:r>
        <w:t xml:space="preserve">aprendizado de um novo sistema;</w:t>
      </w:r>
    </w:p>
    <w:p>
      <w:pPr>
        <w:numPr>
          <w:ilvl w:val="0"/>
          <w:numId w:val="1018"/>
        </w:numPr>
        <w:pStyle w:val="Compact"/>
      </w:pPr>
      <w:r>
        <w:t xml:space="preserve">equilíbrio entre velocidade e precisão; e</w:t>
      </w:r>
    </w:p>
    <w:p>
      <w:pPr>
        <w:numPr>
          <w:ilvl w:val="0"/>
          <w:numId w:val="1018"/>
        </w:numPr>
        <w:pStyle w:val="Compact"/>
      </w:pPr>
      <w:r>
        <w:t xml:space="preserve">trabalho com alguém cujo estilo de comunicação era diferente do seu.</w:t>
      </w:r>
    </w:p>
    <w:bookmarkEnd w:id="61"/>
    <w:bookmarkStart w:id="65" w:name="X3131a57e4dbb6826cd8b10a02ececd2f7b41ee8"/>
    <w:p>
      <w:pPr>
        <w:pStyle w:val="Heading2"/>
      </w:pPr>
      <w:r>
        <w:t xml:space="preserve">13. Primeiros 30, 60 e 90 dias</w:t>
      </w:r>
    </w:p>
    <w:bookmarkStart w:id="62" w:name="primeiros-30-dias"/>
    <w:p>
      <w:pPr>
        <w:pStyle w:val="Heading3"/>
      </w:pPr>
      <w:r>
        <w:t xml:space="preserve">Primeiros 30 dias</w:t>
      </w:r>
    </w:p>
    <w:p>
      <w:pPr>
        <w:pStyle w:val="FirstParagraph"/>
      </w:pPr>
      <w:r>
        <w:t xml:space="preserve">Concentre-se em conhecimento do produto, políticas, verificações de identidade, privacidade, escalonamento, scripts obrigatórios, sistemas, padrões de documentação, procedimentos de acessibilidade e expectativas de qualidade. Faça perguntas antes de criar atalhos.</w:t>
      </w:r>
    </w:p>
    <w:bookmarkEnd w:id="62"/>
    <w:bookmarkStart w:id="63" w:name="dias-3160"/>
    <w:p>
      <w:pPr>
        <w:pStyle w:val="Heading3"/>
      </w:pPr>
      <w:r>
        <w:t xml:space="preserve">Dias 31–60</w:t>
      </w:r>
    </w:p>
    <w:p>
      <w:pPr>
        <w:pStyle w:val="FirstParagraph"/>
      </w:pPr>
      <w:r>
        <w:t xml:space="preserve">Desenvolva consistência. Revise feedback de qualidade, motivos comuns de contato, padrões de exceção, lacunas da base de conhecimento, contatos repetidos e seus próprios erros de documentação. Aprenda quais questões exigem escalonamento para especialistas.</w:t>
      </w:r>
    </w:p>
    <w:bookmarkEnd w:id="63"/>
    <w:bookmarkStart w:id="64" w:name="dias-6190"/>
    <w:p>
      <w:pPr>
        <w:pStyle w:val="Heading3"/>
      </w:pPr>
      <w:r>
        <w:t xml:space="preserve">Dias 61–90</w:t>
      </w:r>
    </w:p>
    <w:p>
      <w:pPr>
        <w:pStyle w:val="FirstParagraph"/>
      </w:pPr>
      <w:r>
        <w:t xml:space="preserve">Busque melhorias seguras: documentação mais clara, melhores artigos de conhecimento, identificação de problemas recorrentes, melhorias de acessibilidade, menos retrabalho ou melhores transferências. Não otimize uma métrica de velocidade ignorando controles ou encerrando casos não resolvidos.</w:t>
      </w:r>
    </w:p>
    <w:bookmarkEnd w:id="64"/>
    <w:bookmarkEnd w:id="65"/>
    <w:bookmarkStart w:id="66" w:name="X3d0c3cc6618c99cb652454d934b5df79f5cbb7f"/>
    <w:p>
      <w:pPr>
        <w:pStyle w:val="Heading2"/>
      </w:pPr>
      <w:r>
        <w:t xml:space="preserve">14. Progressão e caminhos adjacentes</w:t>
      </w:r>
    </w:p>
    <w:p>
      <w:pPr>
        <w:pStyle w:val="FirstParagraph"/>
      </w:pPr>
      <w:r>
        <w:t xml:space="preserve">O atendimento ao cliente pode desenvolver conhecimento transferível sobre clientes, sistemas, produtos, falhas operacionais e comunicação. Possíveis próximos passos incluem:</w:t>
      </w:r>
    </w:p>
    <w:p>
      <w:pPr>
        <w:numPr>
          <w:ilvl w:val="0"/>
          <w:numId w:val="1019"/>
        </w:numPr>
        <w:pStyle w:val="Compact"/>
      </w:pPr>
      <w:r>
        <w:t xml:space="preserve">Representante Sênior de Atendimento ao Cliente;</w:t>
      </w:r>
    </w:p>
    <w:p>
      <w:pPr>
        <w:numPr>
          <w:ilvl w:val="0"/>
          <w:numId w:val="1019"/>
        </w:numPr>
        <w:pStyle w:val="Compact"/>
      </w:pPr>
      <w:r>
        <w:t xml:space="preserve">Analista de Garantia da Qualidade;</w:t>
      </w:r>
    </w:p>
    <w:p>
      <w:pPr>
        <w:numPr>
          <w:ilvl w:val="0"/>
          <w:numId w:val="1019"/>
        </w:numPr>
        <w:pStyle w:val="Compact"/>
      </w:pPr>
      <w:r>
        <w:t xml:space="preserve">Instrutor ou Facilitador de Aprendizagem;</w:t>
      </w:r>
    </w:p>
    <w:p>
      <w:pPr>
        <w:numPr>
          <w:ilvl w:val="0"/>
          <w:numId w:val="1019"/>
        </w:numPr>
        <w:pStyle w:val="Compact"/>
      </w:pPr>
      <w:r>
        <w:t xml:space="preserve">Líder de Equipe ou Supervisor;</w:t>
      </w:r>
    </w:p>
    <w:p>
      <w:pPr>
        <w:numPr>
          <w:ilvl w:val="0"/>
          <w:numId w:val="1019"/>
        </w:numPr>
        <w:pStyle w:val="Compact"/>
      </w:pPr>
      <w:r>
        <w:t xml:space="preserve">Coordenador de Workforce Management;</w:t>
      </w:r>
    </w:p>
    <w:p>
      <w:pPr>
        <w:numPr>
          <w:ilvl w:val="0"/>
          <w:numId w:val="1019"/>
        </w:numPr>
        <w:pStyle w:val="Compact"/>
      </w:pPr>
      <w:r>
        <w:t xml:space="preserve">Analista de Experiência do Cliente;</w:t>
      </w:r>
    </w:p>
    <w:p>
      <w:pPr>
        <w:numPr>
          <w:ilvl w:val="0"/>
          <w:numId w:val="1019"/>
        </w:numPr>
        <w:pStyle w:val="Compact"/>
      </w:pPr>
      <w:r>
        <w:t xml:space="preserve">Especialista em Gestão do Conhecimento;</w:t>
      </w:r>
    </w:p>
    <w:p>
      <w:pPr>
        <w:numPr>
          <w:ilvl w:val="0"/>
          <w:numId w:val="1019"/>
        </w:numPr>
        <w:pStyle w:val="Compact"/>
      </w:pPr>
      <w:r>
        <w:t xml:space="preserve">Serviços de Conta ou ao Cliente;</w:t>
      </w:r>
    </w:p>
    <w:p>
      <w:pPr>
        <w:numPr>
          <w:ilvl w:val="0"/>
          <w:numId w:val="1019"/>
        </w:numPr>
        <w:pStyle w:val="Compact"/>
      </w:pPr>
      <w:r>
        <w:t xml:space="preserve">Customer Success;</w:t>
      </w:r>
    </w:p>
    <w:p>
      <w:pPr>
        <w:numPr>
          <w:ilvl w:val="0"/>
          <w:numId w:val="1019"/>
        </w:numPr>
        <w:pStyle w:val="Compact"/>
      </w:pPr>
      <w:r>
        <w:t xml:space="preserve">Coordenador de Operações;</w:t>
      </w:r>
    </w:p>
    <w:p>
      <w:pPr>
        <w:numPr>
          <w:ilvl w:val="0"/>
          <w:numId w:val="1019"/>
        </w:numPr>
        <w:pStyle w:val="Compact"/>
      </w:pPr>
      <w:r>
        <w:t xml:space="preserve">Suporte Técnico;</w:t>
      </w:r>
    </w:p>
    <w:p>
      <w:pPr>
        <w:numPr>
          <w:ilvl w:val="0"/>
          <w:numId w:val="1019"/>
        </w:numPr>
        <w:pStyle w:val="Compact"/>
      </w:pPr>
      <w:r>
        <w:t xml:space="preserve">Operações de Fraude ou suporte de Trust and Safety; e</w:t>
      </w:r>
    </w:p>
    <w:p>
      <w:pPr>
        <w:numPr>
          <w:ilvl w:val="0"/>
          <w:numId w:val="1019"/>
        </w:numPr>
        <w:pStyle w:val="Compact"/>
      </w:pPr>
      <w:r>
        <w:t xml:space="preserve">funções de processo de atendimento ou análise de negócios.</w:t>
      </w:r>
    </w:p>
    <w:p>
      <w:pPr>
        <w:pStyle w:val="FirstParagraph"/>
      </w:pPr>
      <w:r>
        <w:t xml:space="preserve">A progressão não é automática. Construa evidências de julgamento, qualidade de documentação, compreensão de processos, coaching, alfabetização em dados, comunicação multifuncional, consciência de acessibilidade e uso responsável de tecnologia.</w:t>
      </w:r>
    </w:p>
    <w:bookmarkEnd w:id="66"/>
    <w:bookmarkStart w:id="67" w:name="X7ef1ceb19612f108530927e4f93bb82c6146460"/>
    <w:p>
      <w:pPr>
        <w:pStyle w:val="Heading2"/>
      </w:pPr>
      <w:r>
        <w:t xml:space="preserve">15. Antes de se matricular em qualquer programa pago</w:t>
      </w:r>
    </w:p>
    <w:p>
      <w:pPr>
        <w:pStyle w:val="FirstParagraph"/>
      </w:pPr>
      <w:r>
        <w:t xml:space="preserve">Solicite por escrito:</w:t>
      </w:r>
    </w:p>
    <w:p>
      <w:pPr>
        <w:numPr>
          <w:ilvl w:val="0"/>
          <w:numId w:val="1020"/>
        </w:numPr>
        <w:pStyle w:val="Compact"/>
      </w:pPr>
      <w:r>
        <w:t xml:space="preserve">preço total e todas as taxas obrigatórias;</w:t>
      </w:r>
    </w:p>
    <w:p>
      <w:pPr>
        <w:numPr>
          <w:ilvl w:val="0"/>
          <w:numId w:val="1020"/>
        </w:numPr>
        <w:pStyle w:val="Compact"/>
      </w:pPr>
      <w:r>
        <w:t xml:space="preserve">política de reembolso e desistência;</w:t>
      </w:r>
    </w:p>
    <w:p>
      <w:pPr>
        <w:numPr>
          <w:ilvl w:val="0"/>
          <w:numId w:val="1020"/>
        </w:numPr>
        <w:pStyle w:val="Compact"/>
      </w:pPr>
      <w:r>
        <w:t xml:space="preserve">custos de hardware, software, internet, viagens ou proctoring;</w:t>
      </w:r>
    </w:p>
    <w:p>
      <w:pPr>
        <w:numPr>
          <w:ilvl w:val="0"/>
          <w:numId w:val="1020"/>
        </w:numPr>
        <w:pStyle w:val="Compact"/>
      </w:pPr>
      <w:r>
        <w:t xml:space="preserve">se a credencial é exigida por lei, solicitada por empregadores ou simplesmente oferecida pelo fornecedor;</w:t>
      </w:r>
    </w:p>
    <w:p>
      <w:pPr>
        <w:numPr>
          <w:ilvl w:val="0"/>
          <w:numId w:val="1020"/>
        </w:numPr>
        <w:pStyle w:val="Compact"/>
      </w:pPr>
      <w:r>
        <w:t xml:space="preserve">quem reconhece a credencial;</w:t>
      </w:r>
    </w:p>
    <w:p>
      <w:pPr>
        <w:numPr>
          <w:ilvl w:val="0"/>
          <w:numId w:val="1020"/>
        </w:numPr>
        <w:pStyle w:val="Compact"/>
      </w:pPr>
      <w:r>
        <w:t xml:space="preserve">se os créditos são transferíveis e para quais instituições;</w:t>
      </w:r>
    </w:p>
    <w:p>
      <w:pPr>
        <w:numPr>
          <w:ilvl w:val="0"/>
          <w:numId w:val="1020"/>
        </w:numPr>
        <w:pStyle w:val="Compact"/>
      </w:pPr>
      <w:r>
        <w:t xml:space="preserve">processo de acessibilidade e adaptações;</w:t>
      </w:r>
    </w:p>
    <w:p>
      <w:pPr>
        <w:numPr>
          <w:ilvl w:val="0"/>
          <w:numId w:val="1020"/>
        </w:numPr>
        <w:pStyle w:val="Compact"/>
      </w:pPr>
      <w:r>
        <w:t xml:space="preserve">metodologia de conclusão e colocação, incluindo o denominador usado;</w:t>
      </w:r>
    </w:p>
    <w:p>
      <w:pPr>
        <w:numPr>
          <w:ilvl w:val="0"/>
          <w:numId w:val="1020"/>
        </w:numPr>
        <w:pStyle w:val="Compact"/>
      </w:pPr>
      <w:r>
        <w:t xml:space="preserve">condições de estágio ou prática;</w:t>
      </w:r>
    </w:p>
    <w:p>
      <w:pPr>
        <w:numPr>
          <w:ilvl w:val="0"/>
          <w:numId w:val="1020"/>
        </w:numPr>
        <w:pStyle w:val="Compact"/>
      </w:pPr>
      <w:r>
        <w:t xml:space="preserve">obrigações de reembolso ao empregador quando aplicável; e</w:t>
      </w:r>
    </w:p>
    <w:p>
      <w:pPr>
        <w:numPr>
          <w:ilvl w:val="0"/>
          <w:numId w:val="1020"/>
        </w:numPr>
        <w:pStyle w:val="Compact"/>
      </w:pPr>
      <w:r>
        <w:t xml:space="preserve">procedimentos de reclamação e cancelamento.</w:t>
      </w:r>
    </w:p>
    <w:p>
      <w:pPr>
        <w:pStyle w:val="FirstParagraph"/>
      </w:pPr>
      <w:r>
        <w:t xml:space="preserve">Revise vagas reais antes de presumir que uma credencial tem valor no mercado de trabalho.</w:t>
      </w:r>
    </w:p>
    <w:bookmarkEnd w:id="67"/>
    <w:bookmarkStart w:id="68" w:name="Xf9a3f24260b6bc593f0aaea5d49f30f924a0cf7"/>
    <w:p>
      <w:pPr>
        <w:pStyle w:val="Heading2"/>
      </w:pPr>
      <w:r>
        <w:t xml:space="preserve">16. Matriz de decisão profissional</w:t>
      </w:r>
    </w:p>
    <w:p>
      <w:pPr>
        <w:pStyle w:val="FirstParagraph"/>
      </w:pPr>
      <w:r>
        <w:t xml:space="preserve">Avalie cada item de 1 (baixa adequação) a 5 (forte adequação):</w:t>
      </w:r>
    </w:p>
    <w:p>
      <w:pPr>
        <w:numPr>
          <w:ilvl w:val="0"/>
          <w:numId w:val="1021"/>
        </w:numPr>
        <w:pStyle w:val="Compact"/>
      </w:pPr>
      <w:r>
        <w:t xml:space="preserve">interesse em ajudar pessoas a resolver problemas;</w:t>
      </w:r>
    </w:p>
    <w:p>
      <w:pPr>
        <w:numPr>
          <w:ilvl w:val="0"/>
          <w:numId w:val="1021"/>
        </w:numPr>
        <w:pStyle w:val="Compact"/>
      </w:pPr>
      <w:r>
        <w:t xml:space="preserve">tolerância a contatos repetitivos;</w:t>
      </w:r>
    </w:p>
    <w:p>
      <w:pPr>
        <w:numPr>
          <w:ilvl w:val="0"/>
          <w:numId w:val="1021"/>
        </w:numPr>
        <w:pStyle w:val="Compact"/>
      </w:pPr>
      <w:r>
        <w:t xml:space="preserve">conforto com desempenho medido;</w:t>
      </w:r>
    </w:p>
    <w:p>
      <w:pPr>
        <w:numPr>
          <w:ilvl w:val="0"/>
          <w:numId w:val="1021"/>
        </w:numPr>
        <w:pStyle w:val="Compact"/>
      </w:pPr>
      <w:r>
        <w:t xml:space="preserve">adequação de comunicação;</w:t>
      </w:r>
    </w:p>
    <w:p>
      <w:pPr>
        <w:numPr>
          <w:ilvl w:val="0"/>
          <w:numId w:val="1021"/>
        </w:numPr>
        <w:pStyle w:val="Compact"/>
      </w:pPr>
      <w:r>
        <w:t xml:space="preserve">adequação de horário;</w:t>
      </w:r>
    </w:p>
    <w:p>
      <w:pPr>
        <w:numPr>
          <w:ilvl w:val="0"/>
          <w:numId w:val="1021"/>
        </w:numPr>
        <w:pStyle w:val="Compact"/>
      </w:pPr>
      <w:r>
        <w:t xml:space="preserve">adequação de acessibilidade;</w:t>
      </w:r>
    </w:p>
    <w:p>
      <w:pPr>
        <w:numPr>
          <w:ilvl w:val="0"/>
          <w:numId w:val="1021"/>
        </w:numPr>
        <w:pStyle w:val="Compact"/>
      </w:pPr>
      <w:r>
        <w:t xml:space="preserve">sustentabilidade emocional;</w:t>
      </w:r>
    </w:p>
    <w:p>
      <w:pPr>
        <w:numPr>
          <w:ilvl w:val="0"/>
          <w:numId w:val="1021"/>
        </w:numPr>
        <w:pStyle w:val="Compact"/>
      </w:pPr>
      <w:r>
        <w:t xml:space="preserve">responsabilidade de privacidade e segurança;</w:t>
      </w:r>
    </w:p>
    <w:p>
      <w:pPr>
        <w:numPr>
          <w:ilvl w:val="0"/>
          <w:numId w:val="1021"/>
        </w:numPr>
        <w:pStyle w:val="Compact"/>
      </w:pPr>
      <w:r>
        <w:t xml:space="preserve">conforto em aprender tecnologia;</w:t>
      </w:r>
    </w:p>
    <w:p>
      <w:pPr>
        <w:numPr>
          <w:ilvl w:val="0"/>
          <w:numId w:val="1021"/>
        </w:numPr>
        <w:pStyle w:val="Compact"/>
      </w:pPr>
      <w:r>
        <w:t xml:space="preserve">salários e benefícios locais realistas;</w:t>
      </w:r>
    </w:p>
    <w:p>
      <w:pPr>
        <w:numPr>
          <w:ilvl w:val="0"/>
          <w:numId w:val="1021"/>
        </w:numPr>
        <w:pStyle w:val="Compact"/>
      </w:pPr>
      <w:r>
        <w:t xml:space="preserve">custo do treinamento;</w:t>
      </w:r>
    </w:p>
    <w:p>
      <w:pPr>
        <w:numPr>
          <w:ilvl w:val="0"/>
          <w:numId w:val="1021"/>
        </w:numPr>
        <w:pStyle w:val="Compact"/>
      </w:pPr>
      <w:r>
        <w:t xml:space="preserve">disponibilidade de alternativas gratuitas ou financiadas pelo empregador;</w:t>
      </w:r>
    </w:p>
    <w:p>
      <w:pPr>
        <w:numPr>
          <w:ilvl w:val="0"/>
          <w:numId w:val="1021"/>
        </w:numPr>
        <w:pStyle w:val="Compact"/>
      </w:pPr>
      <w:r>
        <w:t xml:space="preserve">potencial de progressão; e</w:t>
      </w:r>
    </w:p>
    <w:p>
      <w:pPr>
        <w:numPr>
          <w:ilvl w:val="0"/>
          <w:numId w:val="1021"/>
        </w:numPr>
        <w:pStyle w:val="Compact"/>
      </w:pPr>
      <w:r>
        <w:t xml:space="preserve">compatibilidade com família, transporte, saúde e responsabilidades de cuidado.</w:t>
      </w:r>
    </w:p>
    <w:p>
      <w:pPr>
        <w:pStyle w:val="FirstParagraph"/>
      </w:pPr>
      <w:r>
        <w:t xml:space="preserve">Uma pontuação baixa é informação, não fracasso. Pode indicar outro canal de atendimento, setor, horário ou ocupação adjacente.</w:t>
      </w:r>
    </w:p>
    <w:bookmarkEnd w:id="68"/>
    <w:bookmarkStart w:id="75" w:name="X30aacea4f35ab808c9f71da47d7b43f9d79dc70"/>
    <w:p>
      <w:pPr>
        <w:pStyle w:val="Heading2"/>
      </w:pPr>
      <w:r>
        <w:t xml:space="preserve">17. Plano de exploração de doze semanas e baixo custo</w:t>
      </w:r>
    </w:p>
    <w:bookmarkStart w:id="69" w:name="semanas-12-investigar"/>
    <w:p>
      <w:pPr>
        <w:pStyle w:val="Heading3"/>
      </w:pPr>
      <w:r>
        <w:t xml:space="preserve">Semanas 1–2: investigar</w:t>
      </w:r>
    </w:p>
    <w:p>
      <w:pPr>
        <w:pStyle w:val="FirstParagraph"/>
      </w:pPr>
      <w:r>
        <w:t xml:space="preserve">Leia 20–30 vagas locais atuais. Registre títulos, salário, horário, idioma, canais, educação, software, setor e experiência exigida. Compare com as fontes ocupacionais oficiais deste guia.</w:t>
      </w:r>
    </w:p>
    <w:bookmarkEnd w:id="69"/>
    <w:bookmarkStart w:id="70" w:name="semanas-34-desenvolver-fundamentos"/>
    <w:p>
      <w:pPr>
        <w:pStyle w:val="Heading3"/>
      </w:pPr>
      <w:r>
        <w:t xml:space="preserve">Semanas 3–4: desenvolver fundamentos</w:t>
      </w:r>
    </w:p>
    <w:p>
      <w:pPr>
        <w:pStyle w:val="FirstParagraph"/>
      </w:pPr>
      <w:r>
        <w:t xml:space="preserve">Pratique escrita profissional em e-mail/chat, digitação, planilhas básicas, consciência de privacidade, conceitos de autenticação, desescalonamento e documentação clara usando recursos gratuitos.</w:t>
      </w:r>
    </w:p>
    <w:bookmarkEnd w:id="70"/>
    <w:bookmarkStart w:id="71" w:name="semanas-56-simular"/>
    <w:p>
      <w:pPr>
        <w:pStyle w:val="Heading3"/>
      </w:pPr>
      <w:r>
        <w:t xml:space="preserve">Semanas 5–6: simular</w:t>
      </w:r>
    </w:p>
    <w:p>
      <w:pPr>
        <w:pStyle w:val="FirstParagraph"/>
      </w:pPr>
      <w:r>
        <w:t xml:space="preserve">Crie tickets fictícios, cenários de clientes, notas de casos e decisões de escalonamento. Pratique explicar uma política em linguagem simples sem inventar exceções.</w:t>
      </w:r>
    </w:p>
    <w:bookmarkEnd w:id="71"/>
    <w:bookmarkStart w:id="72" w:name="semanas-78-testar-tecnologia"/>
    <w:p>
      <w:pPr>
        <w:pStyle w:val="Heading3"/>
      </w:pPr>
      <w:r>
        <w:t xml:space="preserve">Semanas 7–8: testar tecnologia</w:t>
      </w:r>
    </w:p>
    <w:p>
      <w:pPr>
        <w:pStyle w:val="FirstParagraph"/>
      </w:pPr>
      <w:r>
        <w:t xml:space="preserve">Aprenda os conceitos por trás de CRM, tickets, bases de conhecimento, canais de contato e assistência de IA aprovada. Use testes gratuitos ou simulações apenas quando os termos forem seguros e nenhum dado real de cliente estiver envolvido.</w:t>
      </w:r>
    </w:p>
    <w:bookmarkEnd w:id="72"/>
    <w:bookmarkStart w:id="73" w:name="semanas-910-verificar-caminhos"/>
    <w:p>
      <w:pPr>
        <w:pStyle w:val="Heading3"/>
      </w:pPr>
      <w:r>
        <w:t xml:space="preserve">Semanas 9–10: verificar caminhos</w:t>
      </w:r>
    </w:p>
    <w:p>
      <w:pPr>
        <w:pStyle w:val="FirstParagraph"/>
      </w:pPr>
      <w:r>
        <w:t xml:space="preserve">Verifique American Job Centers/WIOA ou equivalentes locais, opções de aprendizagem, apoio de mensalidade pelo empregador, instituições públicas, SENA na Colômbia, bolsas e serviços de emprego para pessoas com deficiência ou recém-chegadas quando aplicável.</w:t>
      </w:r>
    </w:p>
    <w:bookmarkEnd w:id="73"/>
    <w:bookmarkStart w:id="74" w:name="semanas-1112-candidatar-se-e-revisar"/>
    <w:p>
      <w:pPr>
        <w:pStyle w:val="Heading3"/>
      </w:pPr>
      <w:r>
        <w:t xml:space="preserve">Semanas 11–12: candidatar-se e revisar</w:t>
      </w:r>
    </w:p>
    <w:p>
      <w:pPr>
        <w:pStyle w:val="FirstParagraph"/>
      </w:pPr>
      <w:r>
        <w:t xml:space="preserve">Prepare um currículo verdadeiro, pratique entrevistas, envie candidaturas direcionadas, registre respostas e reavalie se uma credencial paga é realmente necessária.</w:t>
      </w:r>
    </w:p>
    <w:bookmarkEnd w:id="74"/>
    <w:bookmarkEnd w:id="75"/>
    <w:bookmarkStart w:id="79" w:name="Xd7b2ce9babd0f5817b3655d462a431fc249b680"/>
    <w:p>
      <w:pPr>
        <w:pStyle w:val="Heading2"/>
      </w:pPr>
      <w:r>
        <w:t xml:space="preserve">18. Planilhas de trabalho</w:t>
      </w:r>
    </w:p>
    <w:bookmarkStart w:id="76" w:name="amostra-de-vaga-local"/>
    <w:p>
      <w:pPr>
        <w:pStyle w:val="Heading3"/>
      </w:pPr>
      <w:r>
        <w:t xml:space="preserve">Amostra de vaga local</w:t>
      </w:r>
    </w:p>
    <w:p>
      <w:pPr>
        <w:pStyle w:val="FirstParagraph"/>
      </w:pPr>
      <w:r>
        <w:t xml:space="preserve">Para cada vaga registre:</w:t>
      </w:r>
    </w:p>
    <w:p>
      <w:pPr>
        <w:numPr>
          <w:ilvl w:val="0"/>
          <w:numId w:val="1022"/>
        </w:numPr>
        <w:pStyle w:val="Compact"/>
      </w:pPr>
      <w:r>
        <w:t xml:space="preserve">título exato;</w:t>
      </w:r>
    </w:p>
    <w:p>
      <w:pPr>
        <w:numPr>
          <w:ilvl w:val="0"/>
          <w:numId w:val="1022"/>
        </w:numPr>
        <w:pStyle w:val="Compact"/>
      </w:pPr>
      <w:r>
        <w:t xml:space="preserve">empregador e setor;</w:t>
      </w:r>
    </w:p>
    <w:p>
      <w:pPr>
        <w:numPr>
          <w:ilvl w:val="0"/>
          <w:numId w:val="1022"/>
        </w:numPr>
        <w:pStyle w:val="Compact"/>
      </w:pPr>
      <w:r>
        <w:t xml:space="preserve">cidade/país;</w:t>
      </w:r>
    </w:p>
    <w:p>
      <w:pPr>
        <w:numPr>
          <w:ilvl w:val="0"/>
          <w:numId w:val="1022"/>
        </w:numPr>
        <w:pStyle w:val="Compact"/>
      </w:pPr>
      <w:r>
        <w:t xml:space="preserve">modalidade remota, híbrida ou presencial;</w:t>
      </w:r>
    </w:p>
    <w:p>
      <w:pPr>
        <w:numPr>
          <w:ilvl w:val="0"/>
          <w:numId w:val="1022"/>
        </w:numPr>
        <w:pStyle w:val="Compact"/>
      </w:pPr>
      <w:r>
        <w:t xml:space="preserve">data de publicação;</w:t>
      </w:r>
    </w:p>
    <w:p>
      <w:pPr>
        <w:numPr>
          <w:ilvl w:val="0"/>
          <w:numId w:val="1022"/>
        </w:numPr>
        <w:pStyle w:val="Compact"/>
      </w:pPr>
      <w:r>
        <w:t xml:space="preserve">salário-base e benefícios, se informados;</w:t>
      </w:r>
    </w:p>
    <w:p>
      <w:pPr>
        <w:numPr>
          <w:ilvl w:val="0"/>
          <w:numId w:val="1022"/>
        </w:numPr>
        <w:pStyle w:val="Compact"/>
      </w:pPr>
      <w:r>
        <w:t xml:space="preserve">horário;</w:t>
      </w:r>
    </w:p>
    <w:p>
      <w:pPr>
        <w:numPr>
          <w:ilvl w:val="0"/>
          <w:numId w:val="1022"/>
        </w:numPr>
        <w:pStyle w:val="Compact"/>
      </w:pPr>
      <w:r>
        <w:t xml:space="preserve">canais atendidos;</w:t>
      </w:r>
    </w:p>
    <w:p>
      <w:pPr>
        <w:numPr>
          <w:ilvl w:val="0"/>
          <w:numId w:val="1022"/>
        </w:numPr>
        <w:pStyle w:val="Compact"/>
      </w:pPr>
      <w:r>
        <w:t xml:space="preserve">idioma(s) exigido(s);</w:t>
      </w:r>
    </w:p>
    <w:p>
      <w:pPr>
        <w:numPr>
          <w:ilvl w:val="0"/>
          <w:numId w:val="1022"/>
        </w:numPr>
        <w:pStyle w:val="Compact"/>
      </w:pPr>
      <w:r>
        <w:t xml:space="preserve">educação e experiência;</w:t>
      </w:r>
    </w:p>
    <w:p>
      <w:pPr>
        <w:numPr>
          <w:ilvl w:val="0"/>
          <w:numId w:val="1022"/>
        </w:numPr>
        <w:pStyle w:val="Compact"/>
      </w:pPr>
      <w:r>
        <w:t xml:space="preserve">sistemas obrigatórios;</w:t>
      </w:r>
    </w:p>
    <w:p>
      <w:pPr>
        <w:numPr>
          <w:ilvl w:val="0"/>
          <w:numId w:val="1022"/>
        </w:numPr>
        <w:pStyle w:val="Compact"/>
      </w:pPr>
      <w:r>
        <w:t xml:space="preserve">funções de vendas ou cobrança;</w:t>
      </w:r>
    </w:p>
    <w:p>
      <w:pPr>
        <w:numPr>
          <w:ilvl w:val="0"/>
          <w:numId w:val="1022"/>
        </w:numPr>
        <w:pStyle w:val="Compact"/>
      </w:pPr>
      <w:r>
        <w:t xml:space="preserve">responsabilidades reguladas;</w:t>
      </w:r>
    </w:p>
    <w:p>
      <w:pPr>
        <w:numPr>
          <w:ilvl w:val="0"/>
          <w:numId w:val="1022"/>
        </w:numPr>
        <w:pStyle w:val="Compact"/>
      </w:pPr>
      <w:r>
        <w:t xml:space="preserve">considerações de acessibilidade; e</w:t>
      </w:r>
    </w:p>
    <w:p>
      <w:pPr>
        <w:numPr>
          <w:ilvl w:val="0"/>
          <w:numId w:val="1022"/>
        </w:numPr>
        <w:pStyle w:val="Compact"/>
      </w:pPr>
      <w:r>
        <w:t xml:space="preserve">resultado da candidatura.</w:t>
      </w:r>
    </w:p>
    <w:bookmarkEnd w:id="76"/>
    <w:bookmarkStart w:id="77" w:name="comparação-de-treinamento"/>
    <w:p>
      <w:pPr>
        <w:pStyle w:val="Heading3"/>
      </w:pPr>
      <w:r>
        <w:t xml:space="preserve">Comparação de treinamento</w:t>
      </w:r>
    </w:p>
    <w:p>
      <w:pPr>
        <w:pStyle w:val="FirstParagraph"/>
      </w:pPr>
      <w:r>
        <w:t xml:space="preserve">Para cada programa registre:</w:t>
      </w:r>
    </w:p>
    <w:p>
      <w:pPr>
        <w:numPr>
          <w:ilvl w:val="0"/>
          <w:numId w:val="1023"/>
        </w:numPr>
        <w:pStyle w:val="Compact"/>
      </w:pPr>
      <w:r>
        <w:t xml:space="preserve">fornecedor;</w:t>
      </w:r>
    </w:p>
    <w:p>
      <w:pPr>
        <w:numPr>
          <w:ilvl w:val="0"/>
          <w:numId w:val="1023"/>
        </w:numPr>
        <w:pStyle w:val="Compact"/>
      </w:pPr>
      <w:r>
        <w:t xml:space="preserve">público/sem fins lucrativos/com fins lucrativos/empregador;</w:t>
      </w:r>
    </w:p>
    <w:p>
      <w:pPr>
        <w:numPr>
          <w:ilvl w:val="0"/>
          <w:numId w:val="1023"/>
        </w:numPr>
        <w:pStyle w:val="Compact"/>
      </w:pPr>
      <w:r>
        <w:t xml:space="preserve">custo total;</w:t>
      </w:r>
    </w:p>
    <w:p>
      <w:pPr>
        <w:numPr>
          <w:ilvl w:val="0"/>
          <w:numId w:val="1023"/>
        </w:numPr>
        <w:pStyle w:val="Compact"/>
      </w:pPr>
      <w:r>
        <w:t xml:space="preserve">financiamento disponível;</w:t>
      </w:r>
    </w:p>
    <w:p>
      <w:pPr>
        <w:numPr>
          <w:ilvl w:val="0"/>
          <w:numId w:val="1023"/>
        </w:numPr>
        <w:pStyle w:val="Compact"/>
      </w:pPr>
      <w:r>
        <w:t xml:space="preserve">duração;</w:t>
      </w:r>
    </w:p>
    <w:p>
      <w:pPr>
        <w:numPr>
          <w:ilvl w:val="0"/>
          <w:numId w:val="1023"/>
        </w:numPr>
        <w:pStyle w:val="Compact"/>
      </w:pPr>
      <w:r>
        <w:t xml:space="preserve">modalidade;</w:t>
      </w:r>
    </w:p>
    <w:p>
      <w:pPr>
        <w:numPr>
          <w:ilvl w:val="0"/>
          <w:numId w:val="1023"/>
        </w:numPr>
        <w:pStyle w:val="Compact"/>
      </w:pPr>
      <w:r>
        <w:t xml:space="preserve">acessibilidade;</w:t>
      </w:r>
    </w:p>
    <w:p>
      <w:pPr>
        <w:numPr>
          <w:ilvl w:val="0"/>
          <w:numId w:val="1023"/>
        </w:numPr>
        <w:pStyle w:val="Compact"/>
      </w:pPr>
      <w:r>
        <w:t xml:space="preserve">habilidades exatas ensinadas;</w:t>
      </w:r>
    </w:p>
    <w:p>
      <w:pPr>
        <w:numPr>
          <w:ilvl w:val="0"/>
          <w:numId w:val="1023"/>
        </w:numPr>
        <w:pStyle w:val="Compact"/>
      </w:pPr>
      <w:r>
        <w:t xml:space="preserve">credencial obtida;</w:t>
      </w:r>
    </w:p>
    <w:p>
      <w:pPr>
        <w:numPr>
          <w:ilvl w:val="0"/>
          <w:numId w:val="1023"/>
        </w:numPr>
        <w:pStyle w:val="Compact"/>
      </w:pPr>
      <w:r>
        <w:t xml:space="preserve">evidência de reconhecimento do empregador;</w:t>
      </w:r>
    </w:p>
    <w:p>
      <w:pPr>
        <w:numPr>
          <w:ilvl w:val="0"/>
          <w:numId w:val="1023"/>
        </w:numPr>
        <w:pStyle w:val="Compact"/>
      </w:pPr>
      <w:r>
        <w:t xml:space="preserve">transferibilidade;</w:t>
      </w:r>
    </w:p>
    <w:p>
      <w:pPr>
        <w:numPr>
          <w:ilvl w:val="0"/>
          <w:numId w:val="1023"/>
        </w:numPr>
        <w:pStyle w:val="Compact"/>
      </w:pPr>
      <w:r>
        <w:t xml:space="preserve">condições de reembolso; e</w:t>
      </w:r>
    </w:p>
    <w:p>
      <w:pPr>
        <w:numPr>
          <w:ilvl w:val="0"/>
          <w:numId w:val="1023"/>
        </w:numPr>
        <w:pStyle w:val="Compact"/>
      </w:pPr>
      <w:r>
        <w:t xml:space="preserve">obrigação de devolução.</w:t>
      </w:r>
    </w:p>
    <w:bookmarkEnd w:id="77"/>
    <w:bookmarkStart w:id="78" w:name="revisão-de-oferta"/>
    <w:p>
      <w:pPr>
        <w:pStyle w:val="Heading3"/>
      </w:pPr>
      <w:r>
        <w:t xml:space="preserve">Revisão de oferta</w:t>
      </w:r>
    </w:p>
    <w:p>
      <w:pPr>
        <w:pStyle w:val="FirstParagraph"/>
      </w:pPr>
      <w:r>
        <w:t xml:space="preserve">Antes de aceitar, registre:</w:t>
      </w:r>
    </w:p>
    <w:p>
      <w:pPr>
        <w:numPr>
          <w:ilvl w:val="0"/>
          <w:numId w:val="1024"/>
        </w:numPr>
        <w:pStyle w:val="Compact"/>
      </w:pPr>
      <w:r>
        <w:t xml:space="preserve">remuneração;</w:t>
      </w:r>
    </w:p>
    <w:p>
      <w:pPr>
        <w:numPr>
          <w:ilvl w:val="0"/>
          <w:numId w:val="1024"/>
        </w:numPr>
        <w:pStyle w:val="Compact"/>
      </w:pPr>
      <w:r>
        <w:t xml:space="preserve">benefícios;</w:t>
      </w:r>
    </w:p>
    <w:p>
      <w:pPr>
        <w:numPr>
          <w:ilvl w:val="0"/>
          <w:numId w:val="1024"/>
        </w:numPr>
        <w:pStyle w:val="Compact"/>
      </w:pPr>
      <w:r>
        <w:t xml:space="preserve">classificação de emprego;</w:t>
      </w:r>
    </w:p>
    <w:p>
      <w:pPr>
        <w:numPr>
          <w:ilvl w:val="0"/>
          <w:numId w:val="1024"/>
        </w:numPr>
        <w:pStyle w:val="Compact"/>
      </w:pPr>
      <w:r>
        <w:t xml:space="preserve">horário e fuso horário;</w:t>
      </w:r>
    </w:p>
    <w:p>
      <w:pPr>
        <w:numPr>
          <w:ilvl w:val="0"/>
          <w:numId w:val="1024"/>
        </w:numPr>
        <w:pStyle w:val="Compact"/>
      </w:pPr>
      <w:r>
        <w:t xml:space="preserve">responsabilidade por equipamentos;</w:t>
      </w:r>
    </w:p>
    <w:p>
      <w:pPr>
        <w:numPr>
          <w:ilvl w:val="0"/>
          <w:numId w:val="1024"/>
        </w:numPr>
        <w:pStyle w:val="Compact"/>
      </w:pPr>
      <w:r>
        <w:t xml:space="preserve">métricas de desempenho;</w:t>
      </w:r>
    </w:p>
    <w:p>
      <w:pPr>
        <w:numPr>
          <w:ilvl w:val="0"/>
          <w:numId w:val="1024"/>
        </w:numPr>
        <w:pStyle w:val="Compact"/>
      </w:pPr>
      <w:r>
        <w:t xml:space="preserve">período de treinamento e pagamento;</w:t>
      </w:r>
    </w:p>
    <w:p>
      <w:pPr>
        <w:numPr>
          <w:ilvl w:val="0"/>
          <w:numId w:val="1024"/>
        </w:numPr>
        <w:pStyle w:val="Compact"/>
      </w:pPr>
      <w:r>
        <w:t xml:space="preserve">política de abuso de clientes/segurança;</w:t>
      </w:r>
    </w:p>
    <w:p>
      <w:pPr>
        <w:numPr>
          <w:ilvl w:val="0"/>
          <w:numId w:val="1024"/>
        </w:numPr>
        <w:pStyle w:val="Compact"/>
      </w:pPr>
      <w:r>
        <w:t xml:space="preserve">requisitos de privacidade e monitoramento;</w:t>
      </w:r>
    </w:p>
    <w:p>
      <w:pPr>
        <w:numPr>
          <w:ilvl w:val="0"/>
          <w:numId w:val="1024"/>
        </w:numPr>
        <w:pStyle w:val="Compact"/>
      </w:pPr>
      <w:r>
        <w:t xml:space="preserve">restrições de localização para trabalho remoto;</w:t>
      </w:r>
    </w:p>
    <w:p>
      <w:pPr>
        <w:numPr>
          <w:ilvl w:val="0"/>
          <w:numId w:val="1024"/>
        </w:numPr>
        <w:pStyle w:val="Compact"/>
      </w:pPr>
      <w:r>
        <w:t xml:space="preserve">condições do período de experiência; e</w:t>
      </w:r>
    </w:p>
    <w:p>
      <w:pPr>
        <w:numPr>
          <w:ilvl w:val="0"/>
          <w:numId w:val="1024"/>
        </w:numPr>
        <w:pStyle w:val="Compact"/>
      </w:pPr>
      <w:r>
        <w:t xml:space="preserve">qualquer acordo de reembolso de treinamento.</w:t>
      </w:r>
    </w:p>
    <w:bookmarkEnd w:id="78"/>
    <w:bookmarkEnd w:id="79"/>
    <w:bookmarkStart w:id="83" w:name="Xbd2f6ad6058874140af4bc00802ffe572506cfe"/>
    <w:p>
      <w:pPr>
        <w:pStyle w:val="Heading2"/>
      </w:pPr>
      <w:r>
        <w:t xml:space="preserve">19. Fontes, versionamento e checklist final de verificação</w:t>
      </w:r>
    </w:p>
    <w:bookmarkStart w:id="80" w:name="Xa0e82f2e18e1eb79146d5036bcfec4e619d3b7c"/>
    <w:p>
      <w:pPr>
        <w:pStyle w:val="Heading3"/>
      </w:pPr>
      <w:r>
        <w:t xml:space="preserve">Fontes controladas revisadas para o mestre em inglês de 2026</w:t>
      </w:r>
    </w:p>
    <w:p>
      <w:pPr>
        <w:pStyle w:val="FirstParagraph"/>
      </w:pPr>
      <w:r>
        <w:t xml:space="preserve">Evidência ocupacional oficial dos Estados Unidos:</w:t>
      </w:r>
    </w:p>
    <w:p>
      <w:pPr>
        <w:pStyle w:val="BodyText"/>
      </w:pPr>
      <w:hyperlink r:id="rId30">
        <w:r>
          <w:rPr>
            <w:rStyle w:val="Hyperlink"/>
          </w:rPr>
          <w:t xml:space="preserve">https://www.bls.gov/ooh/office-and-administrative-support/customer-service-representatives.htm</w:t>
        </w:r>
      </w:hyperlink>
    </w:p>
    <w:p>
      <w:pPr>
        <w:pStyle w:val="BodyText"/>
      </w:pPr>
      <w:r>
        <w:t xml:space="preserve">Estimativas atuais não governamentais do mercado dos Estados Unidos:</w:t>
      </w:r>
    </w:p>
    <w:p>
      <w:pPr>
        <w:pStyle w:val="BodyText"/>
      </w:pPr>
      <w:hyperlink r:id="rId32">
        <w:r>
          <w:rPr>
            <w:rStyle w:val="Hyperlink"/>
          </w:rPr>
          <w:t xml:space="preserve">https://www.ziprecruiter.com/Salaries/Customer-Service-Specialist-Salary</w:t>
        </w:r>
      </w:hyperlink>
    </w:p>
    <w:p>
      <w:pPr>
        <w:pStyle w:val="BodyText"/>
      </w:pPr>
      <w:hyperlink r:id="rId33">
        <w:r>
          <w:rPr>
            <w:rStyle w:val="Hyperlink"/>
          </w:rPr>
          <w:t xml:space="preserve">https://www.ziprecruiter.com/Salaries/Customer-Service-Representative-Salary</w:t>
        </w:r>
      </w:hyperlink>
    </w:p>
    <w:p>
      <w:pPr>
        <w:pStyle w:val="BodyText"/>
      </w:pPr>
      <w:r>
        <w:t xml:space="preserve">Recursos de emprego, aprendizagem, auxílio e educação do empregador nos Estados Unidos:</w:t>
      </w:r>
    </w:p>
    <w:p>
      <w:pPr>
        <w:pStyle w:val="BodyText"/>
      </w:pPr>
      <w:hyperlink r:id="rId41">
        <w:r>
          <w:rPr>
            <w:rStyle w:val="Hyperlink"/>
          </w:rPr>
          <w:t xml:space="preserve">https://www.careeronestop.org/LocalHelp/AmericanJobCenters/american-job-centers.aspx</w:t>
        </w:r>
      </w:hyperlink>
    </w:p>
    <w:p>
      <w:pPr>
        <w:pStyle w:val="BodyText"/>
      </w:pPr>
      <w:hyperlink r:id="rId42">
        <w:r>
          <w:rPr>
            <w:rStyle w:val="Hyperlink"/>
          </w:rPr>
          <w:t xml:space="preserve">https://www.careeronestop.org/LocalHelp/EmploymentAndTraining/find-WIOA-training-programs.aspx</w:t>
        </w:r>
      </w:hyperlink>
    </w:p>
    <w:p>
      <w:pPr>
        <w:pStyle w:val="BodyText"/>
      </w:pPr>
      <w:hyperlink r:id="rId43">
        <w:r>
          <w:rPr>
            <w:rStyle w:val="Hyperlink"/>
          </w:rPr>
          <w:t xml:space="preserve">https://www.apprenticeship.gov/</w:t>
        </w:r>
      </w:hyperlink>
    </w:p>
    <w:p>
      <w:pPr>
        <w:pStyle w:val="BodyText"/>
      </w:pPr>
      <w:hyperlink r:id="rId44">
        <w:r>
          <w:rPr>
            <w:rStyle w:val="Hyperlink"/>
          </w:rPr>
          <w:t xml:space="preserve">https://studentaid.gov/</w:t>
        </w:r>
      </w:hyperlink>
    </w:p>
    <w:p>
      <w:pPr>
        <w:pStyle w:val="BodyText"/>
      </w:pPr>
      <w:hyperlink r:id="rId45">
        <w:r>
          <w:rPr>
            <w:rStyle w:val="Hyperlink"/>
          </w:rPr>
          <w:t xml:space="preserve">https://studentaid.gov/understand-aid/types/scholarships</w:t>
        </w:r>
      </w:hyperlink>
    </w:p>
    <w:p>
      <w:pPr>
        <w:pStyle w:val="BodyText"/>
      </w:pPr>
      <w:hyperlink r:id="rId47">
        <w:r>
          <w:rPr>
            <w:rStyle w:val="Hyperlink"/>
          </w:rPr>
          <w:t xml:space="preserve">https://www.irs.gov/newsroom/updates-to-frequently-asked-questions-about-educational-assistance-programs</w:t>
        </w:r>
      </w:hyperlink>
    </w:p>
    <w:p>
      <w:pPr>
        <w:pStyle w:val="BodyText"/>
      </w:pPr>
      <w:r>
        <w:t xml:space="preserve">Evidência ocupacional do Canadá:</w:t>
      </w:r>
    </w:p>
    <w:p>
      <w:pPr>
        <w:pStyle w:val="BodyText"/>
      </w:pPr>
      <w:hyperlink r:id="rId35">
        <w:r>
          <w:rPr>
            <w:rStyle w:val="Hyperlink"/>
          </w:rPr>
          <w:t xml:space="preserve">https://www.jobbank.gc.ca/wagereport/occupation/15201</w:t>
        </w:r>
      </w:hyperlink>
    </w:p>
    <w:p>
      <w:pPr>
        <w:pStyle w:val="BodyText"/>
      </w:pPr>
      <w:hyperlink r:id="rId36">
        <w:r>
          <w:rPr>
            <w:rStyle w:val="Hyperlink"/>
          </w:rPr>
          <w:t xml:space="preserve">https://www.jobbank.gc.ca/marketreport/requirements/15201/ca</w:t>
        </w:r>
      </w:hyperlink>
    </w:p>
    <w:p>
      <w:pPr>
        <w:pStyle w:val="BodyText"/>
      </w:pPr>
      <w:r>
        <w:t xml:space="preserve">Caminhos de treinamento e emprego na Colômbia:</w:t>
      </w:r>
    </w:p>
    <w:p>
      <w:pPr>
        <w:pStyle w:val="BodyText"/>
      </w:pPr>
      <w:hyperlink r:id="rId50">
        <w:r>
          <w:rPr>
            <w:rStyle w:val="Hyperlink"/>
          </w:rPr>
          <w:t xml:space="preserve">https://betowa.sena.edu.co/oferta/servicio-al-cliente?modality=P&amp;offertype=open&amp;programId=116454</w:t>
        </w:r>
      </w:hyperlink>
    </w:p>
    <w:p>
      <w:pPr>
        <w:pStyle w:val="BodyText"/>
      </w:pPr>
      <w:hyperlink r:id="rId51">
        <w:r>
          <w:rPr>
            <w:rStyle w:val="Hyperlink"/>
          </w:rPr>
          <w:t xml:space="preserve">https://www.serviciodeempleo.gov.co/</w:t>
        </w:r>
      </w:hyperlink>
    </w:p>
    <w:bookmarkEnd w:id="80"/>
    <w:bookmarkStart w:id="81" w:name="controle-de-versão"/>
    <w:p>
      <w:pPr>
        <w:pStyle w:val="Heading3"/>
      </w:pPr>
      <w:r>
        <w:t xml:space="preserve">Controle de versão</w:t>
      </w:r>
    </w:p>
    <w:p>
      <w:pPr>
        <w:numPr>
          <w:ilvl w:val="0"/>
          <w:numId w:val="1025"/>
        </w:numPr>
        <w:pStyle w:val="Compact"/>
      </w:pPr>
      <w:r>
        <w:t xml:space="preserve">Guia: 07</w:t>
      </w:r>
    </w:p>
    <w:p>
      <w:pPr>
        <w:numPr>
          <w:ilvl w:val="0"/>
          <w:numId w:val="1025"/>
        </w:numPr>
        <w:pStyle w:val="Compact"/>
      </w:pPr>
      <w:r>
        <w:t xml:space="preserve">Ocupação: Especialista em Atendimento ao Cliente</w:t>
      </w:r>
    </w:p>
    <w:p>
      <w:pPr>
        <w:numPr>
          <w:ilvl w:val="0"/>
          <w:numId w:val="1025"/>
        </w:numPr>
        <w:pStyle w:val="Compact"/>
      </w:pPr>
      <w:r>
        <w:t xml:space="preserve">Versão do mestre de trabalho: 2.0</w:t>
      </w:r>
    </w:p>
    <w:p>
      <w:pPr>
        <w:numPr>
          <w:ilvl w:val="0"/>
          <w:numId w:val="1025"/>
        </w:numPr>
        <w:pStyle w:val="Compact"/>
      </w:pPr>
      <w:r>
        <w:t xml:space="preserve">Ciclo de revisão: 2026</w:t>
      </w:r>
    </w:p>
    <w:p>
      <w:pPr>
        <w:numPr>
          <w:ilvl w:val="0"/>
          <w:numId w:val="1025"/>
        </w:numPr>
        <w:pStyle w:val="Compact"/>
      </w:pPr>
      <w:r>
        <w:t xml:space="preserve">Status da fonte em inglês: congelada para localização controlada</w:t>
      </w:r>
    </w:p>
    <w:p>
      <w:pPr>
        <w:numPr>
          <w:ilvl w:val="0"/>
          <w:numId w:val="1025"/>
        </w:numPr>
        <w:pStyle w:val="Compact"/>
      </w:pPr>
      <w:r>
        <w:t xml:space="preserve">Status desta tradução: mestre de trabalho pt-BR, tradução assistida por máquina e revisada editorialmente; não certificada profissionalmente</w:t>
      </w:r>
    </w:p>
    <w:p>
      <w:pPr>
        <w:numPr>
          <w:ilvl w:val="0"/>
          <w:numId w:val="1025"/>
        </w:numPr>
        <w:pStyle w:val="Compact"/>
      </w:pPr>
      <w:r>
        <w:t xml:space="preserve">Status de publicação: ainda não é candidata à publicação</w:t>
      </w:r>
    </w:p>
    <w:bookmarkEnd w:id="81"/>
    <w:bookmarkStart w:id="82" w:name="X7682968149bdaaacaa071d944265304a4e95592"/>
    <w:p>
      <w:pPr>
        <w:pStyle w:val="Heading3"/>
      </w:pPr>
      <w:r>
        <w:t xml:space="preserve">Verificação final antes de aprovar a localização</w:t>
      </w:r>
    </w:p>
    <w:p>
      <w:pPr>
        <w:pStyle w:val="FirstParagraph"/>
      </w:pPr>
      <w:r>
        <w:t xml:space="preserve">Confirme:</w:t>
      </w:r>
    </w:p>
    <w:p>
      <w:pPr>
        <w:numPr>
          <w:ilvl w:val="0"/>
          <w:numId w:val="1026"/>
        </w:numPr>
        <w:pStyle w:val="Compact"/>
      </w:pPr>
      <w:r>
        <w:t xml:space="preserve">as afirmações de alto impacto sobre salários, perspectivas, impostos, financiamento, treinamento e regulação preservam o significado do inglês congelado;</w:t>
      </w:r>
    </w:p>
    <w:p>
      <w:pPr>
        <w:numPr>
          <w:ilvl w:val="0"/>
          <w:numId w:val="1026"/>
        </w:numPr>
        <w:pStyle w:val="Compact"/>
      </w:pPr>
      <w:r>
        <w:t xml:space="preserve">a evidência salarial oficial e não governamental continua claramente separada;</w:t>
      </w:r>
    </w:p>
    <w:p>
      <w:pPr>
        <w:numPr>
          <w:ilvl w:val="0"/>
          <w:numId w:val="1026"/>
        </w:numPr>
        <w:pStyle w:val="Compact"/>
      </w:pPr>
      <w:r>
        <w:t xml:space="preserve">os links são idênticos aos do inglês ou documentados quando um site oficial resiste à recuperação automatizada;</w:t>
      </w:r>
    </w:p>
    <w:p>
      <w:pPr>
        <w:numPr>
          <w:ilvl w:val="0"/>
          <w:numId w:val="1026"/>
        </w:numPr>
        <w:pStyle w:val="Compact"/>
      </w:pPr>
      <w:r>
        <w:t xml:space="preserve">nenhuma credencial opcional é apresentada como requisito legal;</w:t>
      </w:r>
    </w:p>
    <w:p>
      <w:pPr>
        <w:numPr>
          <w:ilvl w:val="0"/>
          <w:numId w:val="1026"/>
        </w:numPr>
        <w:pStyle w:val="Compact"/>
      </w:pPr>
      <w:r>
        <w:t xml:space="preserve">regras dos Estados Unidos não são apresentadas como regras globais;</w:t>
      </w:r>
    </w:p>
    <w:p>
      <w:pPr>
        <w:numPr>
          <w:ilvl w:val="0"/>
          <w:numId w:val="1026"/>
        </w:numPr>
        <w:pStyle w:val="Compact"/>
      </w:pPr>
      <w:r>
        <w:t xml:space="preserve">o mapeamento canadense NOC está adequadamente qualificado;</w:t>
      </w:r>
    </w:p>
    <w:p>
      <w:pPr>
        <w:numPr>
          <w:ilvl w:val="0"/>
          <w:numId w:val="1026"/>
        </w:numPr>
        <w:pStyle w:val="Compact"/>
      </w:pPr>
      <w:r>
        <w:t xml:space="preserve">a disponibilidade do SENA na Colômbia não é garantida;</w:t>
      </w:r>
    </w:p>
    <w:p>
      <w:pPr>
        <w:numPr>
          <w:ilvl w:val="0"/>
          <w:numId w:val="1026"/>
        </w:numPr>
        <w:pStyle w:val="Compact"/>
      </w:pPr>
      <w:r>
        <w:t xml:space="preserve">limites de privacidade, pagamentos, autenticação, acessibilidade, segurança e IA estão explícitos;</w:t>
      </w:r>
    </w:p>
    <w:p>
      <w:pPr>
        <w:numPr>
          <w:ilvl w:val="0"/>
          <w:numId w:val="1026"/>
        </w:numPr>
        <w:pStyle w:val="Compact"/>
      </w:pPr>
      <w:r>
        <w:t xml:space="preserve">o Markdown é UTF-8 válido sem BOM nem caracteres de substituição;</w:t>
      </w:r>
    </w:p>
    <w:p>
      <w:pPr>
        <w:numPr>
          <w:ilvl w:val="0"/>
          <w:numId w:val="1026"/>
        </w:numPr>
        <w:pStyle w:val="Compact"/>
      </w:pPr>
      <w:r>
        <w:t xml:space="preserve">títulos e listas são estruturalmente consistentes;</w:t>
      </w:r>
    </w:p>
    <w:p>
      <w:pPr>
        <w:numPr>
          <w:ilvl w:val="0"/>
          <w:numId w:val="1026"/>
        </w:numPr>
        <w:pStyle w:val="Compact"/>
      </w:pPr>
      <w:r>
        <w:t xml:space="preserve">a linguagem é profissional, clara e natural para o Brasil; e</w:t>
      </w:r>
    </w:p>
    <w:p>
      <w:pPr>
        <w:numPr>
          <w:ilvl w:val="0"/>
          <w:numId w:val="1026"/>
        </w:numPr>
        <w:pStyle w:val="Compact"/>
      </w:pPr>
      <w:r>
        <w:t xml:space="preserve">não se afirma certificação humana independente, certificação profissional de tradução, certificação de acessibilidade, acreditação, revisão jurídica nem resultado garantido.</w:t>
      </w:r>
    </w:p>
    <w:bookmarkEnd w:id="82"/>
    <w:bookmarkEnd w:id="83"/>
    <w:bookmarkEnd w:id="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t-B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0" Target="https://betowa.sena.edu.co/oferta/servicio-al-cliente?modality=P&amp;offertype=open&amp;programId=116454" TargetMode="External" /><Relationship Type="http://schemas.openxmlformats.org/officeDocument/2006/relationships/hyperlink" Id="rId44" Target="https://studentaid.gov/" TargetMode="External" /><Relationship Type="http://schemas.openxmlformats.org/officeDocument/2006/relationships/hyperlink" Id="rId45" Target="https://studentaid.gov/understand-aid/types/scholarships" TargetMode="External" /><Relationship Type="http://schemas.openxmlformats.org/officeDocument/2006/relationships/hyperlink" Id="rId43" Target="https://www.apprenticeship.gov/" TargetMode="External" /><Relationship Type="http://schemas.openxmlformats.org/officeDocument/2006/relationships/hyperlink" Id="rId30" Target="https://www.bls.gov/ooh/office-and-administrative-support/customer-service-representatives.htm" TargetMode="External" /><Relationship Type="http://schemas.openxmlformats.org/officeDocument/2006/relationships/hyperlink" Id="rId41" Target="https://www.careeronestop.org/LocalHelp/AmericanJobCenters/american-job-centers.aspx" TargetMode="External" /><Relationship Type="http://schemas.openxmlformats.org/officeDocument/2006/relationships/hyperlink" Id="rId42" Target="https://www.careeronestop.org/LocalHelp/EmploymentAndTraining/find-WIOA-training-programs.aspx" TargetMode="External" /><Relationship Type="http://schemas.openxmlformats.org/officeDocument/2006/relationships/hyperlink" Id="rId47" Target="https://www.irs.gov/newsroom/updates-to-frequently-asked-questions-about-educational-assistance-programs" TargetMode="External" /><Relationship Type="http://schemas.openxmlformats.org/officeDocument/2006/relationships/hyperlink" Id="rId36" Target="https://www.jobbank.gc.ca/marketreport/requirements/15201/ca" TargetMode="External" /><Relationship Type="http://schemas.openxmlformats.org/officeDocument/2006/relationships/hyperlink" Id="rId35" Target="https://www.jobbank.gc.ca/wagereport/occupation/15201" TargetMode="External" /><Relationship Type="http://schemas.openxmlformats.org/officeDocument/2006/relationships/hyperlink" Id="rId51" Target="https://www.serviciodeempleo.gov.co/" TargetMode="External" /><Relationship Type="http://schemas.openxmlformats.org/officeDocument/2006/relationships/hyperlink" Id="rId33" Target="https://www.ziprecruiter.com/Salaries/Customer-Service-Representative-Salary" TargetMode="External" /><Relationship Type="http://schemas.openxmlformats.org/officeDocument/2006/relationships/hyperlink" Id="rId32" Target="https://www.ziprecruiter.com/Salaries/Customer-Service-Specialist-Salary" TargetMode="External" /></Relationships>
</file>

<file path=word/_rels/footnotes.xml.rels><?xml version="1.0" encoding="UTF-8"?><Relationships xmlns="http://schemas.openxmlformats.org/package/2006/relationships"><Relationship Type="http://schemas.openxmlformats.org/officeDocument/2006/relationships/hyperlink" Id="rId50" Target="https://betowa.sena.edu.co/oferta/servicio-al-cliente?modality=P&amp;offertype=open&amp;programId=116454" TargetMode="External" /><Relationship Type="http://schemas.openxmlformats.org/officeDocument/2006/relationships/hyperlink" Id="rId44" Target="https://studentaid.gov/" TargetMode="External" /><Relationship Type="http://schemas.openxmlformats.org/officeDocument/2006/relationships/hyperlink" Id="rId45" Target="https://studentaid.gov/understand-aid/types/scholarships" TargetMode="External" /><Relationship Type="http://schemas.openxmlformats.org/officeDocument/2006/relationships/hyperlink" Id="rId43" Target="https://www.apprenticeship.gov/" TargetMode="External" /><Relationship Type="http://schemas.openxmlformats.org/officeDocument/2006/relationships/hyperlink" Id="rId30" Target="https://www.bls.gov/ooh/office-and-administrative-support/customer-service-representatives.htm" TargetMode="External" /><Relationship Type="http://schemas.openxmlformats.org/officeDocument/2006/relationships/hyperlink" Id="rId41" Target="https://www.careeronestop.org/LocalHelp/AmericanJobCenters/american-job-centers.aspx" TargetMode="External" /><Relationship Type="http://schemas.openxmlformats.org/officeDocument/2006/relationships/hyperlink" Id="rId42" Target="https://www.careeronestop.org/LocalHelp/EmploymentAndTraining/find-WIOA-training-programs.aspx" TargetMode="External" /><Relationship Type="http://schemas.openxmlformats.org/officeDocument/2006/relationships/hyperlink" Id="rId47" Target="https://www.irs.gov/newsroom/updates-to-frequently-asked-questions-about-educational-assistance-programs" TargetMode="External" /><Relationship Type="http://schemas.openxmlformats.org/officeDocument/2006/relationships/hyperlink" Id="rId36" Target="https://www.jobbank.gc.ca/marketreport/requirements/15201/ca" TargetMode="External" /><Relationship Type="http://schemas.openxmlformats.org/officeDocument/2006/relationships/hyperlink" Id="rId35" Target="https://www.jobbank.gc.ca/wagereport/occupation/15201" TargetMode="External" /><Relationship Type="http://schemas.openxmlformats.org/officeDocument/2006/relationships/hyperlink" Id="rId51" Target="https://www.serviciodeempleo.gov.co/" TargetMode="External" /><Relationship Type="http://schemas.openxmlformats.org/officeDocument/2006/relationships/hyperlink" Id="rId33" Target="https://www.ziprecruiter.com/Salaries/Customer-Service-Representative-Salary" TargetMode="External" /><Relationship Type="http://schemas.openxmlformats.org/officeDocument/2006/relationships/hyperlink" Id="rId32" Target="https://www.ziprecruiter.com/Salaries/Customer-Service-Specialist-Sal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pt-BR</dc:language>
  <cp:keywords/>
  <dcterms:created xsi:type="dcterms:W3CDTF">2026-08-08T14:32:07Z</dcterms:created>
  <dcterms:modified xsi:type="dcterms:W3CDTF">2026-08-08T14:32:07Z</dcterms:modified>
</cp:coreProperties>
</file>

<file path=docProps/custom.xml><?xml version="1.0" encoding="utf-8"?>
<Properties xmlns="http://schemas.openxmlformats.org/officeDocument/2006/custom-properties" xmlns:vt="http://schemas.openxmlformats.org/officeDocument/2006/docPropsVTypes"/>
</file>