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73f2ff7d22d44eda77df385e65bc5cc981cfa9"/>
    <w:p>
      <w:pPr>
        <w:pStyle w:val="Heading1"/>
      </w:pPr>
      <w:r>
        <w:t xml:space="preserve">Guia de Oportunidades ao Longo da Vida 02 — Especialista em Apoio entre Pares</w:t>
      </w:r>
    </w:p>
    <w:p>
      <w:pPr>
        <w:pStyle w:val="FirstParagraph"/>
      </w:pPr>
      <w:r>
        <w:rPr>
          <w:bCs/>
          <w:b/>
        </w:rPr>
        <w:t xml:space="preserve">Mestre de trabalho controlado em português brasileiro — 2026</w:t>
      </w:r>
      <w:r>
        <w:br/>
      </w:r>
      <w:r>
        <w:t xml:space="preserve">Versão 2.0 do mestre de trabalho • Agosto de 2026</w:t>
      </w:r>
      <w:r>
        <w:br/>
      </w:r>
      <w:r>
        <w:t xml:space="preserve">Criado e dirigido por Alberto (Al) Leiva</w:t>
      </w:r>
      <w:r>
        <w:br/>
      </w:r>
      <w:r>
        <w:t xml:space="preserve">Pesquisa, organização, edição e preparação do documento com assistência do ChatGPT, OpenAI</w:t>
      </w:r>
    </w:p>
    <w:p>
      <w:pPr>
        <w:pStyle w:val="BlockText"/>
      </w:pPr>
      <w:r>
        <w:rPr>
          <w:bCs/>
          <w:b/>
        </w:rPr>
        <w:t xml:space="preserve">Status controlado:</w:t>
      </w:r>
      <w:r>
        <w:t xml:space="preserve"> </w:t>
      </w:r>
      <w:r>
        <w:t xml:space="preserve">Este arquivo é o mestre de trabalho reconstruído em português brasileiro para a revisão de 2026. Ainda não é um candidato à publicação. Ele deve passar por QA de tradução, paridade com a fonte em inglês, terminologia, acessibilidade, codificação, estrutura, links, DOCX, PDF, metadados e publicação antes de ser lançado.</w:t>
      </w:r>
    </w:p>
    <w:bookmarkStart w:id="20" w:name="a-promessa-deste-guia"/>
    <w:p>
      <w:pPr>
        <w:pStyle w:val="Heading2"/>
      </w:pPr>
      <w:r>
        <w:t xml:space="preserve">A promessa deste guia</w:t>
      </w:r>
    </w:p>
    <w:p>
      <w:pPr>
        <w:pStyle w:val="FirstParagraph"/>
      </w:pPr>
      <w:r>
        <w:t xml:space="preserve">Este guia não promete que o trabalho de apoio entre pares seja adequado para todas as pessoas, que o treinamento será gratuito, que uma credencial será transferível entre jurisdições ou que a conclusão de um treinamento levará a um emprego. Ele foi desenvolvido para ajudar leitores a compreender o trabalho, proteger sua recuperação e seus limites, comparar opções de educação e financiamento, verificar requisitos locais e tomar decisões sem assumir dívidas desnecessárias ou confiar em garantias enganosas.</w:t>
      </w:r>
    </w:p>
    <w:bookmarkEnd w:id="20"/>
    <w:bookmarkStart w:id="21" w:name="por-que-este-guia-existe"/>
    <w:p>
      <w:pPr>
        <w:pStyle w:val="Heading2"/>
      </w:pPr>
      <w:r>
        <w:t xml:space="preserve">Por que este guia existe</w:t>
      </w:r>
    </w:p>
    <w:p>
      <w:pPr>
        <w:pStyle w:val="FirstParagraph"/>
      </w:pPr>
      <w:r>
        <w:t xml:space="preserve">Os Guias de Oportunidades ao Longo da Vida têm como objetivo tornar a exploração educacional e profissional mais acessível para pessoas que possam enfrentar barreiras relacionadas à idade, deficiência, renda, localização geográfica, idioma ou histórico profissional não tradicional. O apoio entre pares pode ser um trabalho significativo, mas também envolve trabalho emocional, deveres de privacidade, limites de função e requisitos específicos de cada jurisdição. O leitor deve compreender essas realidades antes de pagar por treinamento ou assumir um compromisso vinculado ao emprego.</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continua responsável pelo guia. O ChatGPT da OpenAI foi utilizado como ferramenta assistiva de pesquisa, organização, edição e preparação de documentos. A assistência de IA não constitui certificação humana independente, certificação profissional de tradução, acreditação, análise jurídica, análise médica, certificação de acessibilidade nem substitui fontes oficiais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informações gerais para fins educacionais e de orientação profissional. Não constitui aconselhamento individualizado médico, de saúde mental, jurídico, tributário, migratório, financeiro ou de licenciamento profissional. Os requisitos variam conforme empregador, pagador, órgão certificador, província, estado, território, país e ambiente de trabalho. Verifique fatos de alto impacto com a autoridade responsável e atual antes de pagar, contrair empréstimos, mudar de localidade, aceitar um emprego ou assinar um acordo de serviço ou reembolso.</w:t>
      </w:r>
    </w:p>
    <w:p>
      <w:r>
        <w:pict>
          <v:rect style="width:0;height:1.5pt" o:hralign="center" o:hrstd="t" o:hr="t"/>
        </w:pict>
      </w:r>
    </w:p>
    <w:bookmarkEnd w:id="23"/>
    <w:bookmarkStart w:id="24" w:name="Xe00e48c00e301116f95d3cfe4d8312541046f4d"/>
    <w:p>
      <w:pPr>
        <w:pStyle w:val="Heading2"/>
      </w:pPr>
      <w:r>
        <w:t xml:space="preserve">1. Como usar este guia</w:t>
      </w:r>
    </w:p>
    <w:p>
      <w:pPr>
        <w:pStyle w:val="FirstParagraph"/>
      </w:pPr>
      <w:r>
        <w:t xml:space="preserve">Comece pelo trabalho, não por uma escola ou vendedor de credenciais.</w:t>
      </w:r>
    </w:p>
    <w:p>
      <w:pPr>
        <w:numPr>
          <w:ilvl w:val="0"/>
          <w:numId w:val="1001"/>
        </w:numPr>
        <w:pStyle w:val="Compact"/>
      </w:pPr>
      <w:r>
        <w:t xml:space="preserve">Identifique o título exato do cargo utilizado em sua localidade.</w:t>
      </w:r>
    </w:p>
    <w:p>
      <w:pPr>
        <w:numPr>
          <w:ilvl w:val="0"/>
          <w:numId w:val="1001"/>
        </w:numPr>
        <w:pStyle w:val="Compact"/>
      </w:pPr>
      <w:r>
        <w:t xml:space="preserve">Separe requisitos legais ou de pagadores das preferências comuns dos empregadores e das vantagens opcionais.</w:t>
      </w:r>
    </w:p>
    <w:p>
      <w:pPr>
        <w:numPr>
          <w:ilvl w:val="0"/>
          <w:numId w:val="1001"/>
        </w:numPr>
        <w:pStyle w:val="Compact"/>
      </w:pPr>
      <w:r>
        <w:t xml:space="preserve">Analise vagas atuais em sua região e fontes oficiais antes de confiar em resumos nacionais.</w:t>
      </w:r>
    </w:p>
    <w:p>
      <w:pPr>
        <w:numPr>
          <w:ilvl w:val="0"/>
          <w:numId w:val="1001"/>
        </w:numPr>
        <w:pStyle w:val="Compact"/>
      </w:pPr>
      <w:r>
        <w:t xml:space="preserve">Compare o custo completo do percurso, incluindo taxas, exames, deslocamento, tecnologia, cuidado infantil, perda de renda, renovações e tempo de estágio não remunerado.</w:t>
      </w:r>
    </w:p>
    <w:p>
      <w:pPr>
        <w:numPr>
          <w:ilvl w:val="0"/>
          <w:numId w:val="1001"/>
        </w:numPr>
        <w:pStyle w:val="Compact"/>
      </w:pPr>
      <w:r>
        <w:t xml:space="preserve">Pergunte o que acontece se você não conseguir concluir o treinamento ou precisar sair de um programa financiado pelo empregador.</w:t>
      </w:r>
    </w:p>
    <w:p>
      <w:pPr>
        <w:numPr>
          <w:ilvl w:val="0"/>
          <w:numId w:val="1001"/>
        </w:numPr>
        <w:pStyle w:val="Compact"/>
      </w:pPr>
      <w:r>
        <w:t xml:space="preserve">Pare e reavalie quando um provedor pressionar você a pagar imediatamente, prometer emprego ou se recusar a fornecer por escrito custos, políticas de reembolso, status de aprovação ou métodos usados para calcular resultados.</w:t>
      </w:r>
    </w:p>
    <w:bookmarkEnd w:id="24"/>
    <w:bookmarkStart w:id="25" w:name="X450c41cdea65deb04e830b20dc69163c9eb6717"/>
    <w:p>
      <w:pPr>
        <w:pStyle w:val="Heading2"/>
      </w:pPr>
      <w:r>
        <w:t xml:space="preserve">2. O que é esse trabalho</w:t>
      </w:r>
    </w:p>
    <w:p>
      <w:pPr>
        <w:pStyle w:val="FirstParagraph"/>
      </w:pPr>
      <w:r>
        <w:t xml:space="preserve">Profissionais de apoio entre pares utilizam experiência vivida ou em curso, práticas orientadas à recuperação, treinamento formal ou fornecido pelo empregador e habilidades intencionais de relacionamento para apoiar pessoas na busca de suas próprias metas de recuperação e de vida. A função se baseia em mutualidade, esperança, respeito, escolha e autodeterminação, e não em autoridade clínica.</w:t>
      </w:r>
    </w:p>
    <w:p>
      <w:pPr>
        <w:pStyle w:val="BodyText"/>
      </w:pPr>
      <w:r>
        <w:t xml:space="preserve">A SAMHSA descreve a prática dos trabalhadores pares como orientada à recuperação, centrada na pessoa, voluntária, focada em relacionamentos e informada pelo trauma. Suas competências essenciais destinam-se a orientar treinamento, descrições de cargos, supervisão e desenvolvimento profissional; elas não constituem uma licença nacional universal. Nos Estados Unidos, os leitores devem verificar os requisitos específicos do estado, da jurisdição tribal, do pagador, do programa e do empregador aplicáveis ao trabalho desejado.</w:t>
      </w:r>
    </w:p>
    <w:p>
      <w:pPr>
        <w:pStyle w:val="BodyText"/>
      </w:pPr>
      <w:r>
        <w:t xml:space="preserve">Títulos comuns incluem:</w:t>
      </w:r>
    </w:p>
    <w:p>
      <w:pPr>
        <w:numPr>
          <w:ilvl w:val="0"/>
          <w:numId w:val="1002"/>
        </w:numPr>
        <w:pStyle w:val="Compact"/>
      </w:pPr>
      <w:r>
        <w:t xml:space="preserve">especialista em apoio entre pares;</w:t>
      </w:r>
    </w:p>
    <w:p>
      <w:pPr>
        <w:numPr>
          <w:ilvl w:val="0"/>
          <w:numId w:val="1002"/>
        </w:numPr>
        <w:pStyle w:val="Compact"/>
      </w:pPr>
      <w:r>
        <w:t xml:space="preserve">especialista certificado em apoio entre pares;</w:t>
      </w:r>
    </w:p>
    <w:p>
      <w:pPr>
        <w:numPr>
          <w:ilvl w:val="0"/>
          <w:numId w:val="1002"/>
        </w:numPr>
        <w:pStyle w:val="Compact"/>
      </w:pPr>
      <w:r>
        <w:t xml:space="preserve">especialista em recuperação entre pares;</w:t>
      </w:r>
    </w:p>
    <w:p>
      <w:pPr>
        <w:numPr>
          <w:ilvl w:val="0"/>
          <w:numId w:val="1002"/>
        </w:numPr>
        <w:pStyle w:val="Compact"/>
      </w:pPr>
      <w:r>
        <w:t xml:space="preserve">especialista em apoio à recuperação;</w:t>
      </w:r>
    </w:p>
    <w:p>
      <w:pPr>
        <w:numPr>
          <w:ilvl w:val="0"/>
          <w:numId w:val="1002"/>
        </w:numPr>
        <w:pStyle w:val="Compact"/>
      </w:pPr>
      <w:r>
        <w:t xml:space="preserve">especialista de apoio familiar entre pares;</w:t>
      </w:r>
    </w:p>
    <w:p>
      <w:pPr>
        <w:numPr>
          <w:ilvl w:val="0"/>
          <w:numId w:val="1002"/>
        </w:numPr>
        <w:pStyle w:val="Compact"/>
      </w:pPr>
      <w:r>
        <w:t xml:space="preserve">orientador de recuperação entre pares; e</w:t>
      </w:r>
    </w:p>
    <w:p>
      <w:pPr>
        <w:numPr>
          <w:ilvl w:val="0"/>
          <w:numId w:val="1002"/>
        </w:numPr>
        <w:pStyle w:val="Compact"/>
      </w:pPr>
      <w:r>
        <w:t xml:space="preserve">trabalhador de apoio entre pares.</w:t>
      </w:r>
    </w:p>
    <w:p>
      <w:pPr>
        <w:pStyle w:val="FirstParagraph"/>
      </w:pPr>
      <w:r>
        <w:t xml:space="preserve">Ambientes de trabalho comuns incluem programas de saúde comportamental, organizações comunitárias, hospitais, programas de crise e estabilização, serviços de recuperação relacionados ao uso de substâncias, programas de moradia e ações de extensão comunitária, programas relacionados ao sistema de justiça, serviços para veteranos, escolas e outros ambientes de apoio comunitário.</w:t>
      </w:r>
    </w:p>
    <w:bookmarkEnd w:id="25"/>
    <w:bookmarkStart w:id="26" w:name="X331d7d9a391609b2f44ff8944e5df6ac3971ef1"/>
    <w:p>
      <w:pPr>
        <w:pStyle w:val="Heading2"/>
      </w:pPr>
      <w:r>
        <w:t xml:space="preserve">3. Responsabilidades, ferramentas e ciclos de trabalho realistas</w:t>
      </w:r>
    </w:p>
    <w:p>
      <w:pPr>
        <w:pStyle w:val="FirstParagraph"/>
      </w:pPr>
      <w:r>
        <w:t xml:space="preserve">Responsabilidades típicas podem incluir:</w:t>
      </w:r>
    </w:p>
    <w:p>
      <w:pPr>
        <w:numPr>
          <w:ilvl w:val="0"/>
          <w:numId w:val="1003"/>
        </w:numPr>
        <w:pStyle w:val="Compact"/>
      </w:pPr>
      <w:r>
        <w:t xml:space="preserve">ouvir e construir uma relação respeitosa entre pares;</w:t>
      </w:r>
    </w:p>
    <w:p>
      <w:pPr>
        <w:numPr>
          <w:ilvl w:val="0"/>
          <w:numId w:val="1003"/>
        </w:numPr>
        <w:pStyle w:val="Compact"/>
      </w:pPr>
      <w:r>
        <w:t xml:space="preserve">apoiar metas de recuperação e de vida definidas pela própria pessoa;</w:t>
      </w:r>
    </w:p>
    <w:p>
      <w:pPr>
        <w:numPr>
          <w:ilvl w:val="0"/>
          <w:numId w:val="1003"/>
        </w:numPr>
        <w:pStyle w:val="Compact"/>
      </w:pPr>
      <w:r>
        <w:t xml:space="preserve">utilizar autorrevelação de forma intencional e somente quando beneficiar a pessoa atendida;</w:t>
      </w:r>
    </w:p>
    <w:p>
      <w:pPr>
        <w:numPr>
          <w:ilvl w:val="0"/>
          <w:numId w:val="1003"/>
        </w:numPr>
        <w:pStyle w:val="Compact"/>
      </w:pPr>
      <w:r>
        <w:t xml:space="preserve">ajudar pessoas a identificar recursos comunitários, de moradia, benefícios, saúde, recuperação, emprego ou educação;</w:t>
      </w:r>
    </w:p>
    <w:p>
      <w:pPr>
        <w:numPr>
          <w:ilvl w:val="0"/>
          <w:numId w:val="1003"/>
        </w:numPr>
        <w:pStyle w:val="Compact"/>
      </w:pPr>
      <w:r>
        <w:t xml:space="preserve">apoiar a navegação pelos serviços sem substituir profissionais clínicos, jurídicos ou de benefícios devidamente habilitados;</w:t>
      </w:r>
    </w:p>
    <w:p>
      <w:pPr>
        <w:numPr>
          <w:ilvl w:val="0"/>
          <w:numId w:val="1003"/>
        </w:numPr>
        <w:pStyle w:val="Compact"/>
      </w:pPr>
      <w:r>
        <w:t xml:space="preserve">documentar os serviços exigidos de maneira objetiva e mínima;</w:t>
      </w:r>
    </w:p>
    <w:p>
      <w:pPr>
        <w:numPr>
          <w:ilvl w:val="0"/>
          <w:numId w:val="1003"/>
        </w:numPr>
        <w:pStyle w:val="Compact"/>
      </w:pPr>
      <w:r>
        <w:t xml:space="preserve">reconhecer situações que exijam escalonamento; e</w:t>
      </w:r>
    </w:p>
    <w:p>
      <w:pPr>
        <w:numPr>
          <w:ilvl w:val="0"/>
          <w:numId w:val="1003"/>
        </w:numPr>
        <w:pStyle w:val="Compact"/>
      </w:pPr>
      <w:r>
        <w:t xml:space="preserve">participar de supervisão, treinamento, atividades de melhoria da qualidade e planejamento de bem-estar pessoal.</w:t>
      </w:r>
    </w:p>
    <w:p>
      <w:pPr>
        <w:pStyle w:val="FirstParagraph"/>
      </w:pPr>
      <w:r>
        <w:t xml:space="preserve">Um contato realista pode envolver revisar as metas declaradas pelo participante, esclarecer consentimento e propósito, ouvir e explorar opções, identificar um próximo passo prático, documentar apenas as informações exigidas, encaminhar imediatamente preocupações de segurança de acordo com a política e discutir posteriormente a situação com o supervisor apropriado.</w:t>
      </w:r>
    </w:p>
    <w:p>
      <w:pPr>
        <w:pStyle w:val="BodyText"/>
      </w:pPr>
      <w:r>
        <w:t xml:space="preserve">Os procedimentos adotados devem seguir a política do empregador, a legislação aplicável, as regras do pagador, a supervisão e os protocolos de emergência.</w:t>
      </w:r>
    </w:p>
    <w:bookmarkEnd w:id="26"/>
    <w:bookmarkStart w:id="27" w:name="X8ae3619963d5b7faba42a5d1d52def918873e2e"/>
    <w:p>
      <w:pPr>
        <w:pStyle w:val="Heading2"/>
      </w:pPr>
      <w:r>
        <w:t xml:space="preserve">4. Adequação profissional, condições de trabalho e segurança</w:t>
      </w:r>
    </w:p>
    <w:p>
      <w:pPr>
        <w:pStyle w:val="FirstParagraph"/>
      </w:pPr>
      <w:r>
        <w:t xml:space="preserve">Pergunte a si mesmo:</w:t>
      </w:r>
    </w:p>
    <w:p>
      <w:pPr>
        <w:numPr>
          <w:ilvl w:val="0"/>
          <w:numId w:val="1004"/>
        </w:numPr>
        <w:pStyle w:val="Compact"/>
      </w:pPr>
      <w:r>
        <w:t xml:space="preserve">Consigo ouvir sem assumir o controle das decisões de outra pessoa?</w:t>
      </w:r>
    </w:p>
    <w:p>
      <w:pPr>
        <w:numPr>
          <w:ilvl w:val="0"/>
          <w:numId w:val="1004"/>
        </w:numPr>
        <w:pStyle w:val="Compact"/>
      </w:pPr>
      <w:r>
        <w:t xml:space="preserve">Consigo utilizar minha experiência vivida seletivamente, sem transformar a interação em algo sobre mim?</w:t>
      </w:r>
    </w:p>
    <w:p>
      <w:pPr>
        <w:numPr>
          <w:ilvl w:val="0"/>
          <w:numId w:val="1004"/>
        </w:numPr>
        <w:pStyle w:val="Compact"/>
      </w:pPr>
      <w:r>
        <w:t xml:space="preserve">Consigo lidar com intensidade emocional mantendo limites apropriados?</w:t>
      </w:r>
    </w:p>
    <w:p>
      <w:pPr>
        <w:numPr>
          <w:ilvl w:val="0"/>
          <w:numId w:val="1004"/>
        </w:numPr>
        <w:pStyle w:val="Compact"/>
      </w:pPr>
      <w:r>
        <w:t xml:space="preserve">Consigo seguir requisitos de documentação, privacidade, supervisão e escalonamento mesmo quando parecem burocráticos?</w:t>
      </w:r>
    </w:p>
    <w:p>
      <w:pPr>
        <w:numPr>
          <w:ilvl w:val="0"/>
          <w:numId w:val="1004"/>
        </w:numPr>
        <w:pStyle w:val="Compact"/>
      </w:pPr>
      <w:r>
        <w:t xml:space="preserve">O horário, transporte, deslocamentos, trabalho em turnos e responsabilidades de cuidado são compatíveis com minha vida familiar?</w:t>
      </w:r>
    </w:p>
    <w:p>
      <w:pPr>
        <w:numPr>
          <w:ilvl w:val="0"/>
          <w:numId w:val="1004"/>
        </w:numPr>
        <w:pStyle w:val="Compact"/>
      </w:pPr>
      <w:r>
        <w:t xml:space="preserve">Quais adaptações ou tecnologias assistivas tornariam o treinamento e o trabalho sustentáveis?</w:t>
      </w:r>
    </w:p>
    <w:p>
      <w:pPr>
        <w:numPr>
          <w:ilvl w:val="0"/>
          <w:numId w:val="1004"/>
        </w:numPr>
        <w:pStyle w:val="Compact"/>
      </w:pPr>
      <w:r>
        <w:t xml:space="preserve">Posso ingressar nessa área sem assumir uma dívida insustentável ou um compromisso injusto vinculado ao emprego?</w:t>
      </w:r>
    </w:p>
    <w:p>
      <w:pPr>
        <w:pStyle w:val="FirstParagraph"/>
      </w:pPr>
      <w:r>
        <w:t xml:space="preserve">Considere interromper ou adiar o processo quando sua própria recuperação ou bem-estar não estiver suficientemente estável para as exigências da função, quando um empregador esperar atividades clínicas além dos limites de sua atuação, quando os requisitos locais de credenciamento não estiverem claros ou quando os custos e as condições de reembolso do treinamento não tiverem sido verificados por escrito.</w:t>
      </w:r>
    </w:p>
    <w:bookmarkEnd w:id="27"/>
    <w:bookmarkStart w:id="28" w:name="Xb6fde8497832a9be40ec024cf1e42a60e57c580"/>
    <w:p>
      <w:pPr>
        <w:pStyle w:val="Heading2"/>
      </w:pPr>
      <w:r>
        <w:t xml:space="preserve">5. Ética, limites, privacidade e escalonamento</w:t>
      </w:r>
    </w:p>
    <w:p>
      <w:pPr>
        <w:pStyle w:val="FirstParagraph"/>
      </w:pPr>
      <w:r>
        <w:t xml:space="preserve">O apoio entre pares não é psicoterapia, diagnóstico, manejo de medicamentos, aconselhamento jurídico, resposta de emergência nem gestão de casos que exija habilitação profissional, a menos que o profissional possua separadamente a qualificação exigida e esteja atuando dentro dessa função autorizada.</w:t>
      </w:r>
    </w:p>
    <w:p>
      <w:pPr>
        <w:pStyle w:val="BodyText"/>
      </w:pPr>
      <w:r>
        <w:t xml:space="preserve">Não estabeleça relações ocultas, dependentes, românticas, financeiras, exploratórias ou coercitivas com as pessoas atendidas. Não pressione um participante a revelar mais informações do que o necessário para o serviço. Não prometa confidencialidade além dos limites estabelecidos por lei, política, procedimentos de segurança e obrigações de notificação.</w:t>
      </w:r>
    </w:p>
    <w:p>
      <w:pPr>
        <w:pStyle w:val="BodyText"/>
      </w:pPr>
      <w:r>
        <w:t xml:space="preserve">Quando alguém puder estar em perigo imediato, manifestar intenção iminente de causar dano a si mesmo ou a outras pessoas, relatar abuso que gere obrigação de notificação ou apresentar um problema médico urgente, siga os procedimentos de emergência e escalonamento do empregador. Um trabalhador de apoio entre pares não deve improvisar uma resposta clínica além de seu treinamento e autoridade.</w:t>
      </w:r>
    </w:p>
    <w:p>
      <w:pPr>
        <w:pStyle w:val="BodyText"/>
      </w:pPr>
      <w:r>
        <w:t xml:space="preserve">Utilize supervisão e um plano pessoal de bem-estar. Proteger sua própria recuperação e capacidade de atuar faz parte de uma prática sustentável e não representa falta de compromisso.</w:t>
      </w:r>
    </w:p>
    <w:bookmarkEnd w:id="28"/>
    <w:bookmarkStart w:id="34" w:name="X9710cd68af5682b341ecb10d54ea78f1242735e"/>
    <w:p>
      <w:pPr>
        <w:pStyle w:val="Heading2"/>
      </w:pPr>
      <w:r>
        <w:t xml:space="preserve">6. Pesquisa de renda, benefícios e perspectivas</w:t>
      </w:r>
    </w:p>
    <w:bookmarkStart w:id="29" w:name="X176e7a5cb8e3011d54de2ce4ea2b2a19acecf36"/>
    <w:p>
      <w:pPr>
        <w:pStyle w:val="Heading3"/>
      </w:pPr>
      <w:r>
        <w:t xml:space="preserve">Estados Unidos — proxy oficial, não uma série salarial específica para apoio entre pares</w:t>
      </w:r>
    </w:p>
    <w:p>
      <w:pPr>
        <w:pStyle w:val="FirstParagraph"/>
      </w:pPr>
      <w:r>
        <w:t xml:space="preserve">O U.S. Bureau of Labor Statistics não publica uma série salarial específica no Occupational Outlook Handbook exclusivamente para especialistas em apoio entre pares. O BLS identifica explicitamente especialistas em apoio entre pares como um tipo de trabalhador comunitário de saúde; portanto, Community Health Workers (SOC 21-1094) pode ser utilizado como um</w:t>
      </w:r>
      <w:r>
        <w:t xml:space="preserve"> </w:t>
      </w:r>
      <w:r>
        <w:rPr>
          <w:bCs/>
          <w:b/>
        </w:rPr>
        <w:t xml:space="preserve">proxy ocupacional oficial</w:t>
      </w:r>
      <w:r>
        <w:t xml:space="preserve">, desde que isso seja claramente informado.</w:t>
      </w:r>
    </w:p>
    <w:p>
      <w:pPr>
        <w:pStyle w:val="BodyText"/>
      </w:pPr>
      <w:r>
        <w:t xml:space="preserve">O BLS informa um</w:t>
      </w:r>
      <w:r>
        <w:t xml:space="preserve"> </w:t>
      </w:r>
      <w:r>
        <w:rPr>
          <w:bCs/>
          <w:b/>
        </w:rPr>
        <w:t xml:space="preserve">salário anual mediano de US$ 51.030 em maio de 2024 (US$ 24,54 por hora)</w:t>
      </w:r>
      <w:r>
        <w:t xml:space="preserve"> </w:t>
      </w:r>
      <w:r>
        <w:t xml:space="preserve">para trabalhadores comunitários de saúde e projeta</w:t>
      </w:r>
      <w:r>
        <w:t xml:space="preserve"> </w:t>
      </w:r>
      <w:r>
        <w:rPr>
          <w:bCs/>
          <w:b/>
        </w:rPr>
        <w:t xml:space="preserve">crescimento de emprego de 11% entre 2024 e 2034</w:t>
      </w:r>
      <w:r>
        <w:t xml:space="preserve">. Esses números não devem ser apresentados como salário ou perspectiva de emprego garantidos ou exatos para especialistas em apoio entre pares, porque a ocupação do BLS inclui trabalhadores com diferentes responsabilidades e títulos.</w:t>
      </w:r>
    </w:p>
    <w:bookmarkEnd w:id="29"/>
    <w:bookmarkStart w:id="30" w:name="Xc6a0cd60268ee8cd9ff0721609b5a88b45d577a"/>
    <w:p>
      <w:pPr>
        <w:pStyle w:val="Heading3"/>
      </w:pPr>
      <w:r>
        <w:t xml:space="preserve">Estados Unidos — estimativa atual de mercado não governamental</w:t>
      </w:r>
    </w:p>
    <w:p>
      <w:pPr>
        <w:pStyle w:val="FirstParagraph"/>
      </w:pPr>
      <w:r>
        <w:t xml:space="preserve">Como indicador separado de mercado, o ZipRecruiter informou uma</w:t>
      </w:r>
      <w:r>
        <w:t xml:space="preserve"> </w:t>
      </w:r>
      <w:r>
        <w:rPr>
          <w:bCs/>
          <w:b/>
        </w:rPr>
        <w:t xml:space="preserve">estimativa média de remuneração nos Estados Unidos para Peer Support Specialist de US$ 41.023 por ano (US$ 19,72 por hora) em 7 de agosto de 2026</w:t>
      </w:r>
      <w:r>
        <w:t xml:space="preserve">, com a maioria dos salários informados entre aproximadamente US$ 35.000 e US$ 45.000. Trata-se de uma estimativa não governamental derivada de anúncios de emprego e dados de terceiros e não deve ser tratada como estatística salarial oficial nem como garantia.</w:t>
      </w:r>
    </w:p>
    <w:bookmarkEnd w:id="30"/>
    <w:bookmarkStart w:id="31" w:name="canadá--agrupamento-ocupacional-oficial"/>
    <w:p>
      <w:pPr>
        <w:pStyle w:val="Heading3"/>
      </w:pPr>
      <w:r>
        <w:t xml:space="preserve">Canadá — agrupamento ocupacional oficial</w:t>
      </w:r>
    </w:p>
    <w:p>
      <w:pPr>
        <w:pStyle w:val="FirstParagraph"/>
      </w:pPr>
      <w:r>
        <w:t xml:space="preserve">O Job Bank do Canadá classifica "peer support worker" dentro de</w:t>
      </w:r>
      <w:r>
        <w:t xml:space="preserve"> </w:t>
      </w:r>
      <w:r>
        <w:rPr>
          <w:bCs/>
          <w:b/>
        </w:rPr>
        <w:t xml:space="preserve">Social and community service workers, NOC 42201</w:t>
      </w:r>
      <w:r>
        <w:t xml:space="preserve">. A página de resumo do Job Bank foi modificada em</w:t>
      </w:r>
      <w:r>
        <w:t xml:space="preserve"> </w:t>
      </w:r>
      <w:r>
        <w:rPr>
          <w:bCs/>
          <w:b/>
        </w:rPr>
        <w:t xml:space="preserve">2 de junho de 2026</w:t>
      </w:r>
      <w:r>
        <w:t xml:space="preserve">. Sua tabela salarial informa</w:t>
      </w:r>
      <w:r>
        <w:t xml:space="preserve"> </w:t>
      </w:r>
      <w:r>
        <w:rPr>
          <w:bCs/>
          <w:b/>
        </w:rPr>
        <w:t xml:space="preserve">mediana nacional de C$ 26,00 por hora</w:t>
      </w:r>
      <w:r>
        <w:t xml:space="preserve">, com valores nacionais baixo/alto de</w:t>
      </w:r>
      <w:r>
        <w:t xml:space="preserve"> </w:t>
      </w:r>
      <w:r>
        <w:rPr>
          <w:bCs/>
          <w:b/>
        </w:rPr>
        <w:t xml:space="preserve">C$ 19,00/C$ 36,06</w:t>
      </w:r>
      <w:r>
        <w:t xml:space="preserve">; o Job Bank informa que esses valores salariais foram atualizados em</w:t>
      </w:r>
      <w:r>
        <w:t xml:space="preserve"> </w:t>
      </w:r>
      <w:r>
        <w:rPr>
          <w:bCs/>
          <w:b/>
        </w:rPr>
        <w:t xml:space="preserve">19 de novembro de 2025</w:t>
      </w:r>
      <w:r>
        <w:t xml:space="preserve">, utilizam um</w:t>
      </w:r>
      <w:r>
        <w:t xml:space="preserve"> </w:t>
      </w:r>
      <w:r>
        <w:rPr>
          <w:bCs/>
          <w:b/>
        </w:rPr>
        <w:t xml:space="preserve">período de referência de 2023–2024</w:t>
      </w:r>
      <w:r>
        <w:t xml:space="preserve"> </w:t>
      </w:r>
      <w:r>
        <w:t xml:space="preserve">e têm como fonte a Statistics Canada Labour Force Survey. O Job Bank também observa que as perspectivas variam por província e território. Esses dados representam o grupo mais amplo NOC 42201; portanto, leitores ainda devem comparar vagas atuais que utilizem especificamente títulos relacionados ao apoio entre pares.</w:t>
      </w:r>
    </w:p>
    <w:bookmarkEnd w:id="31"/>
    <w:bookmarkStart w:id="32" w:name="colômbia-e-restante-da-américa-latina"/>
    <w:p>
      <w:pPr>
        <w:pStyle w:val="Heading3"/>
      </w:pPr>
      <w:r>
        <w:t xml:space="preserve">Colômbia e restante da América Latina</w:t>
      </w:r>
    </w:p>
    <w:p>
      <w:pPr>
        <w:pStyle w:val="FirstParagraph"/>
      </w:pPr>
      <w:r>
        <w:t xml:space="preserve">Não invente um salário nacional para Especialista em Apoio entre Pares quando não tiver sido verificada uma série ocupacional diretamente comparável. Títulos profissionais, limites de atuação, estruturas de financiamento e modelos de emprego variam significativamente na América Latina. Na Colômbia, utilize vagas atuais de empregadores, serviços públicos de emprego, oportunidades nos sistemas territoriais de saúde, organizações comunitárias e informações oficiais sobre o mercado de trabalho para o título efetivamente utilizado. Identifique claramente qualquer ocupação mais ampla ou estimativa de mercado como proxy em vez de apresentá-la como salário específico de apoio entre pares.</w:t>
      </w:r>
    </w:p>
    <w:bookmarkEnd w:id="32"/>
    <w:bookmarkStart w:id="33" w:name="X74fc0cb2a2e090f837e1560e09b876d653b9790"/>
    <w:p>
      <w:pPr>
        <w:pStyle w:val="Heading3"/>
      </w:pPr>
      <w:r>
        <w:t xml:space="preserve">Lista de verificação para pesquisa salarial local</w:t>
      </w:r>
    </w:p>
    <w:p>
      <w:pPr>
        <w:pStyle w:val="FirstParagraph"/>
      </w:pPr>
      <w:r>
        <w:t xml:space="preserve">Para cada país ou cidade, registre:</w:t>
      </w:r>
    </w:p>
    <w:p>
      <w:pPr>
        <w:numPr>
          <w:ilvl w:val="0"/>
          <w:numId w:val="1005"/>
        </w:numPr>
        <w:pStyle w:val="Compact"/>
      </w:pPr>
      <w:r>
        <w:t xml:space="preserve">título exato e responsabilidades;</w:t>
      </w:r>
    </w:p>
    <w:p>
      <w:pPr>
        <w:numPr>
          <w:ilvl w:val="0"/>
          <w:numId w:val="1005"/>
        </w:numPr>
        <w:pStyle w:val="Compact"/>
      </w:pPr>
      <w:r>
        <w:t xml:space="preserve">empregador e setor;</w:t>
      </w:r>
    </w:p>
    <w:p>
      <w:pPr>
        <w:numPr>
          <w:ilvl w:val="0"/>
          <w:numId w:val="1005"/>
        </w:numPr>
        <w:pStyle w:val="Compact"/>
      </w:pPr>
      <w:r>
        <w:t xml:space="preserve">data da vaga;</w:t>
      </w:r>
    </w:p>
    <w:p>
      <w:pPr>
        <w:numPr>
          <w:ilvl w:val="0"/>
          <w:numId w:val="1005"/>
        </w:numPr>
        <w:pStyle w:val="Compact"/>
      </w:pPr>
      <w:r>
        <w:t xml:space="preserve">salário-base por hora ou por mês;</w:t>
      </w:r>
    </w:p>
    <w:p>
      <w:pPr>
        <w:numPr>
          <w:ilvl w:val="0"/>
          <w:numId w:val="1005"/>
        </w:numPr>
        <w:pStyle w:val="Compact"/>
      </w:pPr>
      <w:r>
        <w:t xml:space="preserve">horas extras, adicional de turno, bônus ou remuneração por serviço;</w:t>
      </w:r>
    </w:p>
    <w:p>
      <w:pPr>
        <w:numPr>
          <w:ilvl w:val="0"/>
          <w:numId w:val="1005"/>
        </w:numPr>
        <w:pStyle w:val="Compact"/>
      </w:pPr>
      <w:r>
        <w:t xml:space="preserve">vínculo empregatício e jornada;</w:t>
      </w:r>
    </w:p>
    <w:p>
      <w:pPr>
        <w:numPr>
          <w:ilvl w:val="0"/>
          <w:numId w:val="1005"/>
        </w:numPr>
        <w:pStyle w:val="Compact"/>
      </w:pPr>
      <w:r>
        <w:t xml:space="preserve">credencial e experiência exigidas;</w:t>
      </w:r>
    </w:p>
    <w:p>
      <w:pPr>
        <w:numPr>
          <w:ilvl w:val="0"/>
          <w:numId w:val="1005"/>
        </w:numPr>
        <w:pStyle w:val="Compact"/>
      </w:pPr>
      <w:r>
        <w:t xml:space="preserve">benefícios de saúde, aposentadoria, licença, auxílio-educação e outros; e</w:t>
      </w:r>
    </w:p>
    <w:p>
      <w:pPr>
        <w:numPr>
          <w:ilvl w:val="0"/>
          <w:numId w:val="1005"/>
        </w:numPr>
        <w:pStyle w:val="Compact"/>
      </w:pPr>
      <w:r>
        <w:t xml:space="preserve">se a posição exige viagens, veículo próprio, noites, fins de semana ou disponibilidade de sobreaviso.</w:t>
      </w:r>
    </w:p>
    <w:bookmarkEnd w:id="33"/>
    <w:bookmarkEnd w:id="34"/>
    <w:bookmarkStart w:id="39" w:name="X2a6c2b4b79ffb7084493610b15a7495eb38d9f4"/>
    <w:p>
      <w:pPr>
        <w:pStyle w:val="Heading2"/>
      </w:pPr>
      <w:r>
        <w:t xml:space="preserve">7. Educação e credenciais</w:t>
      </w:r>
    </w:p>
    <w:bookmarkStart w:id="35" w:name="estados-unidos"/>
    <w:p>
      <w:pPr>
        <w:pStyle w:val="Heading3"/>
      </w:pPr>
      <w:r>
        <w:t xml:space="preserve">Estados Unidos</w:t>
      </w:r>
    </w:p>
    <w:p>
      <w:pPr>
        <w:pStyle w:val="FirstParagraph"/>
      </w:pPr>
      <w:r>
        <w:t xml:space="preserve">Não existe uma única certificação nacional de apoio entre pares que substitua automaticamente os requisitos estaduais, tribais, de pagadores ou de empregadores. Dependendo da jurisdição e da função, os requisitos podem incluir experiência vivida, critérios relacionados ao tempo de recuperação, treinamento aprovado, exame, horas supervisionadas ou de trabalho, verificação de antecedentes, educação continuada, requisitos éticos e recertificação.</w:t>
      </w:r>
    </w:p>
    <w:p>
      <w:pPr>
        <w:pStyle w:val="BodyText"/>
      </w:pPr>
      <w:r>
        <w:t xml:space="preserve">Antes de pagar:</w:t>
      </w:r>
    </w:p>
    <w:p>
      <w:pPr>
        <w:numPr>
          <w:ilvl w:val="0"/>
          <w:numId w:val="1006"/>
        </w:numPr>
        <w:pStyle w:val="Compact"/>
      </w:pPr>
      <w:r>
        <w:t xml:space="preserve">identifique a autoridade oficial responsável pela certificação ou programa em seu estado ou jurisdição tribal;</w:t>
      </w:r>
    </w:p>
    <w:p>
      <w:pPr>
        <w:numPr>
          <w:ilvl w:val="0"/>
          <w:numId w:val="1006"/>
        </w:numPr>
        <w:pStyle w:val="Compact"/>
      </w:pPr>
      <w:r>
        <w:t xml:space="preserve">confirme se a credencial é exigida para o empregador ou pagador específico;</w:t>
      </w:r>
    </w:p>
    <w:p>
      <w:pPr>
        <w:numPr>
          <w:ilvl w:val="0"/>
          <w:numId w:val="1006"/>
        </w:numPr>
        <w:pStyle w:val="Compact"/>
      </w:pPr>
      <w:r>
        <w:t xml:space="preserve">verifique a aprovação do provedor de treinamento diretamente com essa autoridade;</w:t>
      </w:r>
    </w:p>
    <w:p>
      <w:pPr>
        <w:numPr>
          <w:ilvl w:val="0"/>
          <w:numId w:val="1006"/>
        </w:numPr>
        <w:pStyle w:val="Compact"/>
      </w:pPr>
      <w:r>
        <w:t xml:space="preserve">confirme todas as taxas, regras de exame, requisitos de horas supervisionadas e custos de renovação; e</w:t>
      </w:r>
    </w:p>
    <w:p>
      <w:pPr>
        <w:numPr>
          <w:ilvl w:val="0"/>
          <w:numId w:val="1006"/>
        </w:numPr>
        <w:pStyle w:val="Compact"/>
      </w:pPr>
      <w:r>
        <w:t xml:space="preserve">pergunte se a credencial será transferível caso você se mude.</w:t>
      </w:r>
    </w:p>
    <w:p>
      <w:pPr>
        <w:pStyle w:val="FirstParagraph"/>
      </w:pPr>
      <w:r>
        <w:t xml:space="preserve">As competências essenciais da SAMHSA constituem um referencial prático, mas não substituem a verificação de credenciais estaduais ou locais.</w:t>
      </w:r>
    </w:p>
    <w:bookmarkEnd w:id="35"/>
    <w:bookmarkStart w:id="36" w:name="canadá"/>
    <w:p>
      <w:pPr>
        <w:pStyle w:val="Heading3"/>
      </w:pPr>
      <w:r>
        <w:t xml:space="preserve">Canadá</w:t>
      </w:r>
    </w:p>
    <w:p>
      <w:pPr>
        <w:pStyle w:val="FirstParagraph"/>
      </w:pPr>
      <w:r>
        <w:t xml:space="preserve">As funções de apoio entre pares e os requisitos dos empregadores variam em todo o Canadá. O Job Bank inclui esse título no NOC 42201 e indica que a ocupação mais ampla geralmente envolve formação pós-secundária em college, aprendizagem profissional ou experiência relevante. Não conclua a partir desse perfil que todos os empregos de apoio entre pares exigem o mesmo diploma, aprendizagem profissional ou credencial. Verifique os requisitos específicos do empregador, da província, da organização e do programa.</w:t>
      </w:r>
    </w:p>
    <w:bookmarkEnd w:id="36"/>
    <w:bookmarkStart w:id="37" w:name="colômbia"/>
    <w:p>
      <w:pPr>
        <w:pStyle w:val="Heading3"/>
      </w:pPr>
      <w:r>
        <w:t xml:space="preserve">Colômbia</w:t>
      </w:r>
    </w:p>
    <w:p>
      <w:pPr>
        <w:pStyle w:val="FirstParagraph"/>
      </w:pPr>
      <w:r>
        <w:t xml:space="preserve">A Colômbia possui política nacional ativa de saúde mental comunitária e orientações de 2025 relacionadas a dispositivos comunitários de saúde mental, reabilitação baseada na comunidade, primeiros auxílios psicológicos e redes territoriais integradas. Esses materiais apoiam participação comunitária e abordagens de ajuda mútua, mas</w:t>
      </w:r>
      <w:r>
        <w:t xml:space="preserve"> </w:t>
      </w:r>
      <w:r>
        <w:rPr>
          <w:bCs/>
          <w:b/>
        </w:rPr>
        <w:t xml:space="preserve">não</w:t>
      </w:r>
      <w:r>
        <w:t xml:space="preserve"> </w:t>
      </w:r>
      <w:r>
        <w:t xml:space="preserve">estabelecem uma credencial nacional no modelo norte-americano de "Certified Peer Support Specialist". Portanto, os leitores devem pesquisar os títulos reais utilizados em programas e funções colombianas, em vez de comprar uma credencial estrangeira supondo que ela seja legalmente exigida ou automaticamente reconhecida.</w:t>
      </w:r>
    </w:p>
    <w:p>
      <w:pPr>
        <w:pStyle w:val="BodyText"/>
      </w:pPr>
      <w:r>
        <w:t xml:space="preserve">Possíveis aprendizados relacionados podem incluir saúde mental comunitária, apoio psicossocial, primeiros auxílios psicológicos, prevenção do uso de substâncias, reabilitação comunitária, comunicação, proteção e habilidades de encaminhamento. Esse aprendizado deve ser identificado como preparação adjacente, a menos que um empregador ou autoridade responsável confirme que satisfaz um requisito específico de emprego.</w:t>
      </w:r>
    </w:p>
    <w:bookmarkEnd w:id="37"/>
    <w:bookmarkStart w:id="38" w:name="américa-latina"/>
    <w:p>
      <w:pPr>
        <w:pStyle w:val="Heading3"/>
      </w:pPr>
      <w:r>
        <w:t xml:space="preserve">América Latina</w:t>
      </w:r>
    </w:p>
    <w:p>
      <w:pPr>
        <w:pStyle w:val="FirstParagraph"/>
      </w:pPr>
      <w:r>
        <w:t xml:space="preserve">Os princípios da OMS sobre saúde mental comunitária e apoio entre pares podem fornecer uma estrutura conceitual, mas credenciais não são automaticamente transferíveis entre países. Verifique legislação específica do país, regras de escopo profissional, requisitos do empregador, expectativas linguísticas e reconhecimento do treinamento antes de pagar.</w:t>
      </w:r>
    </w:p>
    <w:bookmarkEnd w:id="38"/>
    <w:bookmarkEnd w:id="39"/>
    <w:bookmarkStart w:id="43" w:name="Xa86b9d8753ca2aababfd2cf8ea45ade89b96644"/>
    <w:p>
      <w:pPr>
        <w:pStyle w:val="Heading2"/>
      </w:pPr>
      <w:r>
        <w:t xml:space="preserve">8. Treinamento gratuito e de baixo custo, financiamento, bolsas e apoio do empregador</w:t>
      </w:r>
    </w:p>
    <w:p>
      <w:pPr>
        <w:pStyle w:val="FirstParagraph"/>
      </w:pPr>
      <w:r>
        <w:t xml:space="preserve">Utilize uma sequência</w:t>
      </w:r>
      <w:r>
        <w:t xml:space="preserve"> </w:t>
      </w:r>
      <w:r>
        <w:rPr>
          <w:bCs/>
          <w:b/>
        </w:rPr>
        <w:t xml:space="preserve">gratuita primeiro</w:t>
      </w:r>
      <w:r>
        <w:t xml:space="preserve">:</w:t>
      </w:r>
    </w:p>
    <w:p>
      <w:pPr>
        <w:numPr>
          <w:ilvl w:val="0"/>
          <w:numId w:val="1007"/>
        </w:numPr>
        <w:pStyle w:val="Compact"/>
      </w:pPr>
      <w:r>
        <w:t xml:space="preserve">Conheça o trabalho por meio de informações públicas oficiais, bibliotecas públicas, webinars, cursos abertos e treinamentos oferecidos por organizações sem fins lucrativos confiáveis.</w:t>
      </w:r>
    </w:p>
    <w:p>
      <w:pPr>
        <w:numPr>
          <w:ilvl w:val="0"/>
          <w:numId w:val="1007"/>
        </w:numPr>
        <w:pStyle w:val="Compact"/>
      </w:pPr>
      <w:r>
        <w:t xml:space="preserve">Identifique a credencial ou exigência exata do empregador.</w:t>
      </w:r>
    </w:p>
    <w:p>
      <w:pPr>
        <w:numPr>
          <w:ilvl w:val="0"/>
          <w:numId w:val="1007"/>
        </w:numPr>
        <w:pStyle w:val="Compact"/>
      </w:pPr>
      <w:r>
        <w:t xml:space="preserve">Pesquise financiamento público de capacitação profissional e caminhos pagos pelo empregador antes de usar seu próprio dinheiro.</w:t>
      </w:r>
    </w:p>
    <w:p>
      <w:pPr>
        <w:numPr>
          <w:ilvl w:val="0"/>
          <w:numId w:val="1007"/>
        </w:numPr>
        <w:pStyle w:val="Compact"/>
      </w:pPr>
      <w:r>
        <w:t xml:space="preserve">Compare faculdades públicas, instituições técnicas, programas comunitários, provedores sem fins lucrativos aprovados e aprendizagem baseada no trabalho.</w:t>
      </w:r>
    </w:p>
    <w:p>
      <w:pPr>
        <w:numPr>
          <w:ilvl w:val="0"/>
          <w:numId w:val="1007"/>
        </w:numPr>
        <w:pStyle w:val="Compact"/>
      </w:pPr>
      <w:r>
        <w:t xml:space="preserve">Pague somente quando o programa produzir uma próxima etapa verificável, como elegibilidade, horas reconhecidas, créditos transferíveis ou um requisito documentado do empregador.</w:t>
      </w:r>
    </w:p>
    <w:bookmarkStart w:id="40" w:name="X0884b01a78aeab24efdce3af31a41e0fc6d39fa"/>
    <w:p>
      <w:pPr>
        <w:pStyle w:val="Heading3"/>
      </w:pPr>
      <w:r>
        <w:t xml:space="preserve">Rotas de financiamento nos Estados Unidos a verificar</w:t>
      </w:r>
    </w:p>
    <w:p>
      <w:pPr>
        <w:pStyle w:val="FirstParagraph"/>
      </w:pPr>
      <w:r>
        <w:t xml:space="preserve">Dependendo da elegibilidade e localização, analise:</w:t>
      </w:r>
    </w:p>
    <w:p>
      <w:pPr>
        <w:numPr>
          <w:ilvl w:val="0"/>
          <w:numId w:val="1008"/>
        </w:numPr>
        <w:pStyle w:val="Compact"/>
      </w:pPr>
      <w:r>
        <w:t xml:space="preserve">serviços dos American Job Centers / Workforce Innovation and Opportunity Act;</w:t>
      </w:r>
    </w:p>
    <w:p>
      <w:pPr>
        <w:numPr>
          <w:ilvl w:val="0"/>
          <w:numId w:val="1008"/>
        </w:numPr>
        <w:pStyle w:val="Compact"/>
      </w:pPr>
      <w:r>
        <w:t xml:space="preserve">programas estaduais de força de trabalho e reabilitação vocacional;</w:t>
      </w:r>
    </w:p>
    <w:p>
      <w:pPr>
        <w:numPr>
          <w:ilvl w:val="0"/>
          <w:numId w:val="1008"/>
        </w:numPr>
        <w:pStyle w:val="Compact"/>
      </w:pPr>
      <w:r>
        <w:t xml:space="preserve">bolsas e subsídios de community colleges;</w:t>
      </w:r>
    </w:p>
    <w:p>
      <w:pPr>
        <w:numPr>
          <w:ilvl w:val="0"/>
          <w:numId w:val="1008"/>
        </w:numPr>
        <w:pStyle w:val="Compact"/>
      </w:pPr>
      <w:r>
        <w:t xml:space="preserve">elegibilidade para Pell Grant em programas e instituições qualificadas;</w:t>
      </w:r>
    </w:p>
    <w:p>
      <w:pPr>
        <w:numPr>
          <w:ilvl w:val="0"/>
          <w:numId w:val="1008"/>
        </w:numPr>
        <w:pStyle w:val="Compact"/>
      </w:pPr>
      <w:r>
        <w:t xml:space="preserve">auxílio educacional do empregador ou treinamento pago diretamente;</w:t>
      </w:r>
    </w:p>
    <w:p>
      <w:pPr>
        <w:numPr>
          <w:ilvl w:val="0"/>
          <w:numId w:val="1008"/>
        </w:numPr>
        <w:pStyle w:val="Compact"/>
      </w:pPr>
      <w:r>
        <w:t xml:space="preserve">iniciativas de desenvolvimento da força de trabalho de provedores Medicaid, quando aplicável;</w:t>
      </w:r>
    </w:p>
    <w:p>
      <w:pPr>
        <w:numPr>
          <w:ilvl w:val="0"/>
          <w:numId w:val="1008"/>
        </w:numPr>
        <w:pStyle w:val="Compact"/>
      </w:pPr>
      <w:r>
        <w:t xml:space="preserve">programas de recuperação ou força de trabalho financiados pela SAMHSA, quando disponíveis localmente; e</w:t>
      </w:r>
    </w:p>
    <w:p>
      <w:pPr>
        <w:numPr>
          <w:ilvl w:val="0"/>
          <w:numId w:val="1008"/>
        </w:numPr>
        <w:pStyle w:val="Compact"/>
      </w:pPr>
      <w:r>
        <w:t xml:space="preserve">aprendizagens profissionais aprovadas ou programas de aprendizagem baseada no trabalho.</w:t>
      </w:r>
    </w:p>
    <w:p>
      <w:pPr>
        <w:pStyle w:val="FirstParagraph"/>
      </w:pPr>
      <w:r>
        <w:t xml:space="preserve">A disponibilidade de financiamento muda. Verifique elegibilidade, custos cobertos, efeitos tributários, condições de reembolso e se o treinamento é realmente reconhecido para a função pretendida.</w:t>
      </w:r>
    </w:p>
    <w:bookmarkEnd w:id="40"/>
    <w:bookmarkStart w:id="41" w:name="Xad15e427752ab8d2c7f273bbd3ad663aec8a64e"/>
    <w:p>
      <w:pPr>
        <w:pStyle w:val="Heading3"/>
      </w:pPr>
      <w:r>
        <w:t xml:space="preserve">Rotas de financiamento no Canadá a verificar</w:t>
      </w:r>
    </w:p>
    <w:p>
      <w:pPr>
        <w:pStyle w:val="FirstParagraph"/>
      </w:pPr>
      <w:r>
        <w:t xml:space="preserve">Consulte programas provinciais ou territoriais de emprego e treinamento, colleges públicos, organizações indígenas de emprego e treinamento quando aplicável, aprendizagem paga pelo empregador, organizações comunitárias de saúde mental, bolsas de estudo e auxílios financeiros, além de aprendizagem integrada ao trabalho. Confirme a elegibilidade atual e se o programa é reconhecido pelo empregador pretendido.</w:t>
      </w:r>
    </w:p>
    <w:bookmarkEnd w:id="41"/>
    <w:bookmarkStart w:id="42" w:name="X815c12d7a9477d85d384b199d6c17f3096de434"/>
    <w:p>
      <w:pPr>
        <w:pStyle w:val="Heading3"/>
      </w:pPr>
      <w:r>
        <w:t xml:space="preserve">Rotas de financiamento na Colômbia a verificar</w:t>
      </w:r>
    </w:p>
    <w:p>
      <w:pPr>
        <w:pStyle w:val="FirstParagraph"/>
      </w:pPr>
      <w:r>
        <w:t xml:space="preserve">Consulte oportunidades de treinamento do SENA e outros programas públicos, vagas e encaminhamentos para treinamento do Servicio Público de Empleo, iniciativas territoriais de saúde e programas sociais, cajas de compensación quando houver elegibilidade, treinamento oferecido por empregadores, cursos de educação continuada de universidades e organizações comunitárias confiáveis. Mesmo um curso gratuito ou público deve ser avaliado quanto à relevância para a função pretendida.</w:t>
      </w:r>
    </w:p>
    <w:bookmarkEnd w:id="42"/>
    <w:bookmarkEnd w:id="43"/>
    <w:bookmarkStart w:id="44" w:name="X8672de0ca78ea74a8de20f531a5b0b3749d8a9f"/>
    <w:p>
      <w:pPr>
        <w:pStyle w:val="Heading2"/>
      </w:pPr>
      <w:r>
        <w:t xml:space="preserve">9. Aprendizagem profissional, aprendizagem baseada no trabalho e progressão de carreira</w:t>
      </w:r>
    </w:p>
    <w:p>
      <w:pPr>
        <w:pStyle w:val="FirstParagraph"/>
      </w:pPr>
      <w:r>
        <w:t xml:space="preserve">O BLS observa que alguns trabalhadores comunitários de saúde participam de aprendizagens profissionais ou outros programas práticos. Isso não significa que exista uma aprendizagem profissional específica de apoio entre pares em todos os estados ou localidades.</w:t>
      </w:r>
    </w:p>
    <w:p>
      <w:pPr>
        <w:pStyle w:val="BodyText"/>
      </w:pPr>
      <w:r>
        <w:t xml:space="preserve">Nos Estados Unidos, pesquise no Apprenticeship.gov e em órgãos estaduais de aprendizagem profissional utilizando termos relacionados como peer support, behavioral health, community health worker, recovery support e human services. Verifique se qualquer programa que alegue ser Registered Apprenticeship está realmente registrado e identifique o patrocinador, salários, instrução relacionada, supervisão, progressão e credencial obtida.</w:t>
      </w:r>
    </w:p>
    <w:p>
      <w:pPr>
        <w:pStyle w:val="BodyText"/>
      </w:pPr>
      <w:r>
        <w:t xml:space="preserve">No Canadá e na América Latina, a palavra "apprenticeship" pode se referir a sistemas que não correspondem diretamente ao apoio entre pares. Trate estágios, práticas supervisionadas, aprendizagem-serviço, funções de treinamento inicial e programas de transição oferecidos por empregadores de acordo com seu verdadeiro status jurídico e educacional.</w:t>
      </w:r>
    </w:p>
    <w:p>
      <w:pPr>
        <w:pStyle w:val="BodyText"/>
      </w:pPr>
      <w:r>
        <w:t xml:space="preserve">Para qualquer programa baseado no trabalho, verifique:</w:t>
      </w:r>
    </w:p>
    <w:p>
      <w:pPr>
        <w:numPr>
          <w:ilvl w:val="0"/>
          <w:numId w:val="1009"/>
        </w:numPr>
        <w:pStyle w:val="Compact"/>
      </w:pPr>
      <w:r>
        <w:t xml:space="preserve">se a participação é remunerada;</w:t>
      </w:r>
    </w:p>
    <w:p>
      <w:pPr>
        <w:numPr>
          <w:ilvl w:val="0"/>
          <w:numId w:val="1009"/>
        </w:numPr>
        <w:pStyle w:val="Compact"/>
      </w:pPr>
      <w:r>
        <w:t xml:space="preserve">status de empregado ou aluno;</w:t>
      </w:r>
    </w:p>
    <w:p>
      <w:pPr>
        <w:numPr>
          <w:ilvl w:val="0"/>
          <w:numId w:val="1009"/>
        </w:numPr>
        <w:pStyle w:val="Compact"/>
      </w:pPr>
      <w:r>
        <w:t xml:space="preserve">cobertura de acidentes de trabalho e seguro;</w:t>
      </w:r>
    </w:p>
    <w:p>
      <w:pPr>
        <w:numPr>
          <w:ilvl w:val="0"/>
          <w:numId w:val="1009"/>
        </w:numPr>
        <w:pStyle w:val="Compact"/>
      </w:pPr>
      <w:r>
        <w:t xml:space="preserve">qualificações do supervisor;</w:t>
      </w:r>
    </w:p>
    <w:p>
      <w:pPr>
        <w:numPr>
          <w:ilvl w:val="0"/>
          <w:numId w:val="1009"/>
        </w:numPr>
        <w:pStyle w:val="Compact"/>
      </w:pPr>
      <w:r>
        <w:t xml:space="preserve">ensino em sala de aula ou instrução relacionada;</w:t>
      </w:r>
    </w:p>
    <w:p>
      <w:pPr>
        <w:numPr>
          <w:ilvl w:val="0"/>
          <w:numId w:val="1009"/>
        </w:numPr>
        <w:pStyle w:val="Compact"/>
      </w:pPr>
      <w:r>
        <w:t xml:space="preserve">horas documentadas;</w:t>
      </w:r>
    </w:p>
    <w:p>
      <w:pPr>
        <w:numPr>
          <w:ilvl w:val="0"/>
          <w:numId w:val="1009"/>
        </w:numPr>
        <w:pStyle w:val="Compact"/>
      </w:pPr>
      <w:r>
        <w:t xml:space="preserve">progressão salarial;</w:t>
      </w:r>
    </w:p>
    <w:p>
      <w:pPr>
        <w:numPr>
          <w:ilvl w:val="0"/>
          <w:numId w:val="1009"/>
        </w:numPr>
        <w:pStyle w:val="Compact"/>
      </w:pPr>
      <w:r>
        <w:t xml:space="preserve">credencial ou crédito acadêmico;</w:t>
      </w:r>
    </w:p>
    <w:p>
      <w:pPr>
        <w:numPr>
          <w:ilvl w:val="0"/>
          <w:numId w:val="1009"/>
        </w:numPr>
        <w:pStyle w:val="Compact"/>
      </w:pPr>
      <w:r>
        <w:t xml:space="preserve">portabilidade; e</w:t>
      </w:r>
    </w:p>
    <w:p>
      <w:pPr>
        <w:numPr>
          <w:ilvl w:val="0"/>
          <w:numId w:val="1009"/>
        </w:numPr>
        <w:pStyle w:val="Compact"/>
      </w:pPr>
      <w:r>
        <w:t xml:space="preserve">o que acontece se o empregador encerrar o programa.</w:t>
      </w:r>
    </w:p>
    <w:bookmarkEnd w:id="44"/>
    <w:bookmarkStart w:id="45" w:name="Xb4448059ca8c75c1f40c2275dae7a0923614381"/>
    <w:p>
      <w:pPr>
        <w:pStyle w:val="Heading2"/>
      </w:pPr>
      <w:r>
        <w:t xml:space="preserve">10. Aprendizagem apoiada pelo empregador e acordos de reembolso</w:t>
      </w:r>
    </w:p>
    <w:p>
      <w:pPr>
        <w:pStyle w:val="FirstParagraph"/>
      </w:pPr>
      <w:r>
        <w:t xml:space="preserve">Empregadores podem oferecer treinamento pago diretamente, reembolso, taxas de exame, tempo remunerado para estudo, bolsas, mentoria ou assistência educacional perdoável.</w:t>
      </w:r>
    </w:p>
    <w:p>
      <w:pPr>
        <w:pStyle w:val="BodyText"/>
      </w:pPr>
      <w:r>
        <w:t xml:space="preserve">Antes de aceitar assistência, obtenha termos escritos que cubram:</w:t>
      </w:r>
    </w:p>
    <w:p>
      <w:pPr>
        <w:numPr>
          <w:ilvl w:val="0"/>
          <w:numId w:val="1010"/>
        </w:numPr>
        <w:pStyle w:val="Compact"/>
      </w:pPr>
      <w:r>
        <w:t xml:space="preserve">o que está incluído e o valor máximo;</w:t>
      </w:r>
    </w:p>
    <w:p>
      <w:pPr>
        <w:numPr>
          <w:ilvl w:val="0"/>
          <w:numId w:val="1010"/>
        </w:numPr>
        <w:pStyle w:val="Compact"/>
      </w:pPr>
      <w:r>
        <w:t xml:space="preserve">pagamento direto versus reembolso;</w:t>
      </w:r>
    </w:p>
    <w:p>
      <w:pPr>
        <w:numPr>
          <w:ilvl w:val="0"/>
          <w:numId w:val="1010"/>
        </w:numPr>
        <w:pStyle w:val="Compact"/>
      </w:pPr>
      <w:r>
        <w:t xml:space="preserve">requisitos de nota, exame, frequência ou desempenho;</w:t>
      </w:r>
    </w:p>
    <w:p>
      <w:pPr>
        <w:numPr>
          <w:ilvl w:val="0"/>
          <w:numId w:val="1010"/>
        </w:numPr>
        <w:pStyle w:val="Compact"/>
      </w:pPr>
      <w:r>
        <w:t xml:space="preserve">período obrigatório de permanência no emprego;</w:t>
      </w:r>
    </w:p>
    <w:p>
      <w:pPr>
        <w:numPr>
          <w:ilvl w:val="0"/>
          <w:numId w:val="1010"/>
        </w:numPr>
        <w:pStyle w:val="Compact"/>
      </w:pPr>
      <w:r>
        <w:t xml:space="preserve">quando começa esse período de permanência;</w:t>
      </w:r>
    </w:p>
    <w:p>
      <w:pPr>
        <w:numPr>
          <w:ilvl w:val="0"/>
          <w:numId w:val="1010"/>
        </w:numPr>
        <w:pStyle w:val="Compact"/>
      </w:pPr>
      <w:r>
        <w:t xml:space="preserve">regras de reembolso proporcional ou integral;</w:t>
      </w:r>
    </w:p>
    <w:p>
      <w:pPr>
        <w:numPr>
          <w:ilvl w:val="0"/>
          <w:numId w:val="1010"/>
        </w:numPr>
        <w:pStyle w:val="Compact"/>
      </w:pPr>
      <w:r>
        <w:t xml:space="preserve">tratamento de demissão decorrente de redução de quadro, eliminação do cargo, fechamento, deficiência, convocação militar, aposentadoria, falecimento e transferência determinada pelo empregador;</w:t>
      </w:r>
    </w:p>
    <w:p>
      <w:pPr>
        <w:numPr>
          <w:ilvl w:val="0"/>
          <w:numId w:val="1010"/>
        </w:numPr>
        <w:pStyle w:val="Compact"/>
      </w:pPr>
      <w:r>
        <w:t xml:space="preserve">se descontos em folha ou no salário final são autorizados e legais; e</w:t>
      </w:r>
    </w:p>
    <w:p>
      <w:pPr>
        <w:numPr>
          <w:ilvl w:val="0"/>
          <w:numId w:val="1010"/>
        </w:numPr>
        <w:pStyle w:val="Compact"/>
      </w:pPr>
      <w:r>
        <w:t xml:space="preserve">quem detém a titularidade dos históricos acadêmicos, registros de treinamento, certificados e documentação de credenciais.</w:t>
      </w:r>
    </w:p>
    <w:p>
      <w:pPr>
        <w:pStyle w:val="FirstParagraph"/>
      </w:pPr>
      <w:r>
        <w:t xml:space="preserve">Não presuma que o reembolso será automaticamente dispensado após uma demissão ou reestruturação. Obtenha a política ou acordo aplicável por escrito e procure orientação qualificada quando as consequências forem relevantes.</w:t>
      </w:r>
    </w:p>
    <w:bookmarkEnd w:id="45"/>
    <w:bookmarkStart w:id="46" w:name="X82ecbe752fecbd2a3772d86fdb08f116ce408b0"/>
    <w:p>
      <w:pPr>
        <w:pStyle w:val="Heading2"/>
      </w:pPr>
      <w:r>
        <w:t xml:space="preserve">11. Acessibilidade e inclusão</w:t>
      </w:r>
    </w:p>
    <w:p>
      <w:pPr>
        <w:pStyle w:val="FirstParagraph"/>
      </w:pPr>
      <w:r>
        <w:t xml:space="preserve">A acessibilidade deve ser verificada ao longo de todo o percurso, não apenas no momento da admissão.</w:t>
      </w:r>
    </w:p>
    <w:p>
      <w:pPr>
        <w:pStyle w:val="BodyText"/>
      </w:pPr>
      <w:r>
        <w:t xml:space="preserve">Possíveis necessidades incluem documentos acessíveis, compatibilidade com leitores de tela, legendas, intérpretes, áreas silenciosas para provas, horários flexíveis, equipamentos ergonômicos, métodos alternativos de treinamento, acesso para mobilidade, transporte acessível, apoio linguístico e adaptações relacionadas à deficiência.</w:t>
      </w:r>
    </w:p>
    <w:p>
      <w:pPr>
        <w:pStyle w:val="BodyText"/>
      </w:pPr>
      <w:r>
        <w:t xml:space="preserve">Uma escola, empregador, órgão certificador, fornecedor de exames, local de estágio, patrocinador de aprendizagem profissional e órgão público podem ter processos separados de adaptação. Pergunte com antecedência suficiente para compreender requisitos de documentação e possibilidades de recurso, evitando divulgar informações além do necessário para o processo.</w:t>
      </w:r>
    </w:p>
    <w:bookmarkEnd w:id="46"/>
    <w:bookmarkStart w:id="47" w:name="X0d43ac31f409063dc07b1d463b85e0906b9d960"/>
    <w:p>
      <w:pPr>
        <w:pStyle w:val="Heading2"/>
      </w:pPr>
      <w:r>
        <w:t xml:space="preserve">12. Privacidade, cibersegurança e IA ética</w:t>
      </w:r>
    </w:p>
    <w:p>
      <w:pPr>
        <w:pStyle w:val="FirstParagraph"/>
      </w:pPr>
      <w:r>
        <w:t xml:space="preserve">Utilize somente sistemas, dispositivos, contas, armazenamento, mensagens e ferramentas de IA aprovados pelo empregador. Nunca insira informações de saúde protegidas, informações confidenciais de participantes, anotações de casos, credenciais, informações de verificação de antecedentes ou material proprietário do empregador em um serviço público de IA, a menos que o empregador tenha autorizado explicitamente o sistema e o uso desses dados.</w:t>
      </w:r>
    </w:p>
    <w:p>
      <w:pPr>
        <w:pStyle w:val="BodyText"/>
      </w:pPr>
      <w:r>
        <w:t xml:space="preserve">Use autenticação multifator quando exigida ou disponível. Proteja senhas e identificadores pessoais. Registre somente as informações necessárias para fins legítimos de trabalho.</w:t>
      </w:r>
    </w:p>
    <w:p>
      <w:pPr>
        <w:pStyle w:val="BodyText"/>
      </w:pPr>
      <w:r>
        <w:t xml:space="preserve">A IA pode auxiliar em redação genérica, simulações de treinamento com dados fictícios ou organização de recursos quando permitido, mas não deve inventar serviços, contatos com participantes, credenciais, conclusões clínicas ou documentação. Verifique informações factuais geradas por IA antes de utilizá-las.</w:t>
      </w:r>
    </w:p>
    <w:bookmarkEnd w:id="47"/>
    <w:bookmarkStart w:id="48" w:name="X153553dc392c6fe8ce4e00f27e6c45b28894b56"/>
    <w:p>
      <w:pPr>
        <w:pStyle w:val="Heading2"/>
      </w:pPr>
      <w:r>
        <w:t xml:space="preserve">13. Construa evidências de capacidade</w:t>
      </w:r>
    </w:p>
    <w:p>
      <w:pPr>
        <w:pStyle w:val="FirstParagraph"/>
      </w:pPr>
      <w:r>
        <w:t xml:space="preserve">Trabalhos éticos de portfólio podem demonstrar julgamento sem expor informações privadas. Exemplos incluem:</w:t>
      </w:r>
    </w:p>
    <w:p>
      <w:pPr>
        <w:numPr>
          <w:ilvl w:val="0"/>
          <w:numId w:val="1011"/>
        </w:numPr>
        <w:pStyle w:val="Compact"/>
      </w:pPr>
      <w:r>
        <w:t xml:space="preserve">um mapa fictício de recursos comunitários que diferencie serviços emergenciais de não emergenciais;</w:t>
      </w:r>
    </w:p>
    <w:p>
      <w:pPr>
        <w:numPr>
          <w:ilvl w:val="0"/>
          <w:numId w:val="1011"/>
        </w:numPr>
        <w:pStyle w:val="Compact"/>
      </w:pPr>
      <w:r>
        <w:t xml:space="preserve">um plano de limites e bem-estar;</w:t>
      </w:r>
    </w:p>
    <w:p>
      <w:pPr>
        <w:numPr>
          <w:ilvl w:val="0"/>
          <w:numId w:val="1011"/>
        </w:numPr>
        <w:pStyle w:val="Compact"/>
      </w:pPr>
      <w:r>
        <w:t xml:space="preserve">uma anotação de progresso objetiva de exemplo utilizando informações fictícias;</w:t>
      </w:r>
    </w:p>
    <w:p>
      <w:pPr>
        <w:numPr>
          <w:ilvl w:val="0"/>
          <w:numId w:val="1011"/>
        </w:numPr>
        <w:pStyle w:val="Compact"/>
      </w:pPr>
      <w:r>
        <w:t xml:space="preserve">uma reflexão sobre dramatização mostrando quando ouvir, quando compartilhar experiência vivida e quando escalar;</w:t>
      </w:r>
    </w:p>
    <w:p>
      <w:pPr>
        <w:numPr>
          <w:ilvl w:val="0"/>
          <w:numId w:val="1011"/>
        </w:numPr>
        <w:pStyle w:val="Compact"/>
      </w:pPr>
      <w:r>
        <w:t xml:space="preserve">uma análise de acessibilidade de recursos públicos de recuperação; e</w:t>
      </w:r>
    </w:p>
    <w:p>
      <w:pPr>
        <w:numPr>
          <w:ilvl w:val="0"/>
          <w:numId w:val="1011"/>
        </w:numPr>
        <w:pStyle w:val="Compact"/>
      </w:pPr>
      <w:r>
        <w:t xml:space="preserve">uma comparação entre dois caminhos de treinamento utilizando critérios documentados de custo, reconhecimento e portabilidade.</w:t>
      </w:r>
    </w:p>
    <w:p>
      <w:pPr>
        <w:pStyle w:val="FirstParagraph"/>
      </w:pPr>
      <w:r>
        <w:t xml:space="preserve">Explique o problema, sua função, o processo, as salvaguardas, o resultado e o que você aprendeu. Nunca utilize informações reais de participantes nem reivindique como individual um resultado alcançado por uma equipe.</w:t>
      </w:r>
    </w:p>
    <w:bookmarkEnd w:id="48"/>
    <w:bookmarkStart w:id="49" w:name="X6017ce7a740d76113af7c50ec835b9dcf7a7422"/>
    <w:p>
      <w:pPr>
        <w:pStyle w:val="Heading2"/>
      </w:pPr>
      <w:r>
        <w:t xml:space="preserve">14. Preparação para entrevistas</w:t>
      </w:r>
    </w:p>
    <w:p>
      <w:pPr>
        <w:pStyle w:val="FirstParagraph"/>
      </w:pPr>
      <w:r>
        <w:t xml:space="preserve">Prepare exemplos concisos para perguntas como:</w:t>
      </w:r>
    </w:p>
    <w:p>
      <w:pPr>
        <w:numPr>
          <w:ilvl w:val="0"/>
          <w:numId w:val="1012"/>
        </w:numPr>
        <w:pStyle w:val="Compact"/>
      </w:pPr>
      <w:r>
        <w:t xml:space="preserve">Como você decide se a autorrevelação ajudará a pessoa atendida?</w:t>
      </w:r>
    </w:p>
    <w:p>
      <w:pPr>
        <w:numPr>
          <w:ilvl w:val="0"/>
          <w:numId w:val="1012"/>
        </w:numPr>
        <w:pStyle w:val="Compact"/>
      </w:pPr>
      <w:r>
        <w:t xml:space="preserve">Como você preserva a mutualidade enquanto cumpre requisitos de documentação e segurança?</w:t>
      </w:r>
    </w:p>
    <w:p>
      <w:pPr>
        <w:numPr>
          <w:ilvl w:val="0"/>
          <w:numId w:val="1012"/>
        </w:numPr>
        <w:pStyle w:val="Compact"/>
      </w:pPr>
      <w:r>
        <w:t xml:space="preserve">O que faria se um participante manifestasse intenção imediata de se automutilar?</w:t>
      </w:r>
    </w:p>
    <w:p>
      <w:pPr>
        <w:numPr>
          <w:ilvl w:val="0"/>
          <w:numId w:val="1012"/>
        </w:numPr>
        <w:pStyle w:val="Compact"/>
      </w:pPr>
      <w:r>
        <w:t xml:space="preserve">Como você reage quando um participante rejeita uma opção que você acredita que poderia ajudá-lo?</w:t>
      </w:r>
    </w:p>
    <w:p>
      <w:pPr>
        <w:numPr>
          <w:ilvl w:val="0"/>
          <w:numId w:val="1012"/>
        </w:numPr>
        <w:pStyle w:val="Compact"/>
      </w:pPr>
      <w:r>
        <w:t xml:space="preserve">Como protege seu próprio bem-estar ao trabalhar com situações emocionalmente intensas?</w:t>
      </w:r>
    </w:p>
    <w:p>
      <w:pPr>
        <w:numPr>
          <w:ilvl w:val="0"/>
          <w:numId w:val="1012"/>
        </w:numPr>
        <w:pStyle w:val="Compact"/>
      </w:pPr>
      <w:r>
        <w:t xml:space="preserve">Como você lida com informações que não conhece ou com uma solicitação fora de seu escopo?</w:t>
      </w:r>
    </w:p>
    <w:p>
      <w:pPr>
        <w:pStyle w:val="FirstParagraph"/>
      </w:pPr>
      <w:r>
        <w:t xml:space="preserve">Respostas fortes mostram a situação, sua responsabilidade, a ação tomada, o limite ou controle aplicado e o resultado ou aprendizado. Não invente experiência vivida, credenciais, experiência em crise ou resultados.</w:t>
      </w:r>
    </w:p>
    <w:bookmarkEnd w:id="49"/>
    <w:bookmarkStart w:id="53" w:name="X4a42470abb1bf06cb62d9231a8220ee2853582f"/>
    <w:p>
      <w:pPr>
        <w:pStyle w:val="Heading2"/>
      </w:pPr>
      <w:r>
        <w:t xml:space="preserve">15. Primeiros 30, 60 e 90 dias</w:t>
      </w:r>
    </w:p>
    <w:bookmarkStart w:id="50" w:name="primeiros-30-dias"/>
    <w:p>
      <w:pPr>
        <w:pStyle w:val="Heading3"/>
      </w:pPr>
      <w:r>
        <w:t xml:space="preserve">Primeiros 30 dias</w:t>
      </w:r>
    </w:p>
    <w:p>
      <w:pPr>
        <w:pStyle w:val="FirstParagraph"/>
      </w:pPr>
      <w:r>
        <w:t xml:space="preserve">Aprenda os limites da função, supervisão, recursos locais, padrões de documentação, privacidade, procedimentos de segurança, adaptações, escalonamento de emergência, frequência e expectativas de qualidade. Esclareça o que o empregador espera que você faça de forma independente e o que exige aprovação.</w:t>
      </w:r>
    </w:p>
    <w:bookmarkEnd w:id="50"/>
    <w:bookmarkStart w:id="51" w:name="dias-3160"/>
    <w:p>
      <w:pPr>
        <w:pStyle w:val="Heading3"/>
      </w:pPr>
      <w:r>
        <w:t xml:space="preserve">Dias 31–60</w:t>
      </w:r>
    </w:p>
    <w:p>
      <w:pPr>
        <w:pStyle w:val="FirstParagraph"/>
      </w:pPr>
      <w:r>
        <w:t xml:space="preserve">Execute atividades rotineiras com revisão apropriada, melhore a qualidade da documentação, peça feedback, pratique navegação de recursos e identifique situações recorrentes que exijam esclarecimento ou escalonamento.</w:t>
      </w:r>
    </w:p>
    <w:bookmarkEnd w:id="51"/>
    <w:bookmarkStart w:id="52" w:name="dias-6190"/>
    <w:p>
      <w:pPr>
        <w:pStyle w:val="Heading3"/>
      </w:pPr>
      <w:r>
        <w:t xml:space="preserve">Dias 61–90</w:t>
      </w:r>
    </w:p>
    <w:p>
      <w:pPr>
        <w:pStyle w:val="FirstParagraph"/>
      </w:pPr>
      <w:r>
        <w:t xml:space="preserve">Assuma um conjunto mais amplo de atividades rotineiras dentro dos limites de sua atuação, identifique uma melhoria baseada em evidências, documente metas de desenvolvimento profissional e verifique a próxima etapa de treinamento ou obtenção de credencial antes de pagar por ela.</w:t>
      </w:r>
    </w:p>
    <w:bookmarkEnd w:id="52"/>
    <w:bookmarkEnd w:id="53"/>
    <w:bookmarkStart w:id="54" w:name="Xdcff44070500c27949fe7257024019eb00fc35c"/>
    <w:p>
      <w:pPr>
        <w:pStyle w:val="Heading2"/>
      </w:pPr>
      <w:r>
        <w:t xml:space="preserve">16. Progressão, portabilidade e planejamento de saída</w:t>
      </w:r>
    </w:p>
    <w:p>
      <w:pPr>
        <w:pStyle w:val="FirstParagraph"/>
      </w:pPr>
      <w:r>
        <w:t xml:space="preserve">atividades clínicas além dos limites de sua atuação</w:t>
      </w:r>
    </w:p>
    <w:p>
      <w:pPr>
        <w:pStyle w:val="BodyText"/>
      </w:pPr>
      <w:r>
        <w:t xml:space="preserve">Não presuma que experiência como trabalhador de apoio entre pares qualifique automaticamente alguém para uma profissão regulamentada de aconselhamento, psicologia, serviço social, enfermagem ou outra área. Essas profissões possuem requisitos próprios de educação e licenciamento.</w:t>
      </w:r>
    </w:p>
    <w:p>
      <w:pPr>
        <w:pStyle w:val="BodyText"/>
      </w:pPr>
      <w:r>
        <w:t xml:space="preserve">Mantenha cópias de registros de treinamento, certificações, registros de educação continuada, avaliações, registros de horas supervisionadas quando aplicável, acordos de reembolso, decisões sobre adaptações e registros de emprego. Antes de mudar de localidade, verifique a portabilidade da credencial em vez de presumir reciprocidade.</w:t>
      </w:r>
    </w:p>
    <w:bookmarkEnd w:id="54"/>
    <w:bookmarkStart w:id="55" w:name="Xb3e6229a4e54ad23231207a7c36209915344729"/>
    <w:p>
      <w:pPr>
        <w:pStyle w:val="Heading2"/>
      </w:pPr>
      <w:r>
        <w:t xml:space="preserve">17. Antes de se matricular, pagar ou assinar</w:t>
      </w:r>
    </w:p>
    <w:p>
      <w:pPr>
        <w:pStyle w:val="FirstParagraph"/>
      </w:pPr>
      <w:r>
        <w:t xml:space="preserve">Confirme por escrito:</w:t>
      </w:r>
    </w:p>
    <w:p>
      <w:pPr>
        <w:numPr>
          <w:ilvl w:val="0"/>
          <w:numId w:val="1013"/>
        </w:numPr>
        <w:pStyle w:val="Compact"/>
      </w:pPr>
      <w:r>
        <w:t xml:space="preserve">requisitos legais, de pagadores, certificadores e empregadores;</w:t>
      </w:r>
    </w:p>
    <w:p>
      <w:pPr>
        <w:numPr>
          <w:ilvl w:val="0"/>
          <w:numId w:val="1013"/>
        </w:numPr>
        <w:pStyle w:val="Compact"/>
      </w:pPr>
      <w:r>
        <w:t xml:space="preserve">custo total do percurso;</w:t>
      </w:r>
    </w:p>
    <w:p>
      <w:pPr>
        <w:numPr>
          <w:ilvl w:val="0"/>
          <w:numId w:val="1013"/>
        </w:numPr>
        <w:pStyle w:val="Compact"/>
      </w:pPr>
      <w:r>
        <w:t xml:space="preserve">aprovação do provedor de treinamento ou acreditação institucional quando relevante;</w:t>
      </w:r>
    </w:p>
    <w:p>
      <w:pPr>
        <w:numPr>
          <w:ilvl w:val="0"/>
          <w:numId w:val="1013"/>
        </w:numPr>
        <w:pStyle w:val="Compact"/>
      </w:pPr>
      <w:r>
        <w:t xml:space="preserve">elegibilidade para exame ou credencial;</w:t>
      </w:r>
    </w:p>
    <w:p>
      <w:pPr>
        <w:numPr>
          <w:ilvl w:val="0"/>
          <w:numId w:val="1013"/>
        </w:numPr>
        <w:pStyle w:val="Compact"/>
      </w:pPr>
      <w:r>
        <w:t xml:space="preserve">se o estágio é garantido, competitivo ou responsabilidade do aluno;</w:t>
      </w:r>
    </w:p>
    <w:p>
      <w:pPr>
        <w:numPr>
          <w:ilvl w:val="0"/>
          <w:numId w:val="1013"/>
        </w:numPr>
        <w:pStyle w:val="Compact"/>
      </w:pPr>
      <w:r>
        <w:t xml:space="preserve">regras de transferência e portabilidade;</w:t>
      </w:r>
    </w:p>
    <w:p>
      <w:pPr>
        <w:numPr>
          <w:ilvl w:val="0"/>
          <w:numId w:val="1013"/>
        </w:numPr>
        <w:pStyle w:val="Compact"/>
      </w:pPr>
      <w:r>
        <w:t xml:space="preserve">procedimentos de reembolso e reclamação;</w:t>
      </w:r>
    </w:p>
    <w:p>
      <w:pPr>
        <w:numPr>
          <w:ilvl w:val="0"/>
          <w:numId w:val="1013"/>
        </w:numPr>
        <w:pStyle w:val="Compact"/>
      </w:pPr>
      <w:r>
        <w:t xml:space="preserve">financiamento do empregador e condições de reembolso;</w:t>
      </w:r>
    </w:p>
    <w:p>
      <w:pPr>
        <w:numPr>
          <w:ilvl w:val="0"/>
          <w:numId w:val="1013"/>
        </w:numPr>
        <w:pStyle w:val="Compact"/>
      </w:pPr>
      <w:r>
        <w:t xml:space="preserve">impacto do horário, deslocamento, acessibilidade, segurança e responsabilidades de cuidado; e</w:t>
      </w:r>
    </w:p>
    <w:p>
      <w:pPr>
        <w:numPr>
          <w:ilvl w:val="0"/>
          <w:numId w:val="1013"/>
        </w:numPr>
        <w:pStyle w:val="Compact"/>
      </w:pPr>
      <w:r>
        <w:t xml:space="preserve">o que você mantém e o que deverá pagar se não conseguir concluir.</w:t>
      </w:r>
    </w:p>
    <w:bookmarkEnd w:id="55"/>
    <w:bookmarkStart w:id="56" w:name="Xaf97c704ebb2eac9526b1365571ffa985a83a81"/>
    <w:p>
      <w:pPr>
        <w:pStyle w:val="Heading2"/>
      </w:pPr>
      <w:r>
        <w:t xml:space="preserve">18. Plano de ação de doze semanas</w:t>
      </w:r>
    </w:p>
    <w:p>
      <w:pPr>
        <w:pStyle w:val="FirstParagraph"/>
      </w:pPr>
      <w:r>
        <w:rPr>
          <w:bCs/>
          <w:b/>
        </w:rPr>
        <w:t xml:space="preserve">Semanas 1–2:</w:t>
      </w:r>
      <w:r>
        <w:t xml:space="preserve"> </w:t>
      </w:r>
      <w:r>
        <w:t xml:space="preserve">Defina pontos fortes, limitações, necessidades de acesso, limites de recuperação/bem-estar e condições de trabalho inegociáveis.</w:t>
      </w:r>
    </w:p>
    <w:p>
      <w:pPr>
        <w:pStyle w:val="BodyText"/>
      </w:pPr>
      <w:r>
        <w:rPr>
          <w:bCs/>
          <w:b/>
        </w:rPr>
        <w:t xml:space="preserve">Semanas 3–4:</w:t>
      </w:r>
      <w:r>
        <w:t xml:space="preserve"> </w:t>
      </w:r>
      <w:r>
        <w:t xml:space="preserve">Estude responsabilidades, ambientes, supervisão, documentação, segurança, privacidade e limites éticos.</w:t>
      </w:r>
    </w:p>
    <w:p>
      <w:pPr>
        <w:pStyle w:val="BodyText"/>
      </w:pPr>
      <w:r>
        <w:rPr>
          <w:bCs/>
          <w:b/>
        </w:rPr>
        <w:t xml:space="preserve">Semanas 5–6:</w:t>
      </w:r>
      <w:r>
        <w:t xml:space="preserve"> </w:t>
      </w:r>
      <w:r>
        <w:t xml:space="preserve">Analise vagas locais atuais, títulos exatos, salários, benefícios, horários e requisitos de credenciais.</w:t>
      </w:r>
    </w:p>
    <w:p>
      <w:pPr>
        <w:pStyle w:val="BodyText"/>
      </w:pPr>
      <w:r>
        <w:rPr>
          <w:bCs/>
          <w:b/>
        </w:rPr>
        <w:t xml:space="preserve">Semanas 7–8:</w:t>
      </w:r>
      <w:r>
        <w:t xml:space="preserve"> </w:t>
      </w:r>
      <w:r>
        <w:t xml:space="preserve">Compare treinamentos aprovados, opções públicas/gratuitas primeiro, caminhos baseados no trabalho, custos totais e portabilidade.</w:t>
      </w:r>
    </w:p>
    <w:p>
      <w:pPr>
        <w:pStyle w:val="BodyText"/>
      </w:pPr>
      <w:r>
        <w:rPr>
          <w:bCs/>
          <w:b/>
        </w:rPr>
        <w:t xml:space="preserve">Semanas 9–10:</w:t>
      </w:r>
      <w:r>
        <w:t xml:space="preserve"> </w:t>
      </w:r>
      <w:r>
        <w:t xml:space="preserve">Verifique financiamento, bolsas, apoio do empregador, questões tributárias, acordos de reembolso, adaptações e consequências da saída do programa ou do emprego.</w:t>
      </w:r>
    </w:p>
    <w:p>
      <w:pPr>
        <w:pStyle w:val="BodyText"/>
      </w:pPr>
      <w:r>
        <w:rPr>
          <w:bCs/>
          <w:b/>
        </w:rPr>
        <w:t xml:space="preserve">Semanas 11–12:</w:t>
      </w:r>
      <w:r>
        <w:t xml:space="preserve"> </w:t>
      </w:r>
      <w:r>
        <w:t xml:space="preserve">Conclua amostras de trabalho fictícias ou baseadas em dados públicos, prepare evidências para currículo e histórias para entrevistas e decida se deve avançar, pausar ou escolher um caminho relacionado.</w:t>
      </w:r>
    </w:p>
    <w:bookmarkEnd w:id="56"/>
    <w:bookmarkStart w:id="59" w:name="Xfa7ec07e627fb1cf73c8c0fee5c047dea434bb7"/>
    <w:p>
      <w:pPr>
        <w:pStyle w:val="Heading2"/>
      </w:pPr>
      <w:r>
        <w:t xml:space="preserve">19. Planilhas de decisão e custos</w:t>
      </w:r>
    </w:p>
    <w:bookmarkStart w:id="57" w:name="quadro-de-decisão-profissional"/>
    <w:p>
      <w:pPr>
        <w:pStyle w:val="Heading3"/>
      </w:pPr>
      <w:r>
        <w:t xml:space="preserve">Quadro de decisão profissional</w:t>
      </w:r>
    </w:p>
    <w:p>
      <w:pPr>
        <w:pStyle w:val="FirstParagraph"/>
      </w:pPr>
      <w:r>
        <w:t xml:space="preserve">Marque cada item como</w:t>
      </w:r>
      <w:r>
        <w:t xml:space="preserve"> </w:t>
      </w:r>
      <w:r>
        <w:rPr>
          <w:bCs/>
          <w:b/>
        </w:rPr>
        <w:t xml:space="preserve">Sim</w:t>
      </w:r>
      <w:r>
        <w:t xml:space="preserve">,</w:t>
      </w:r>
      <w:r>
        <w:t xml:space="preserve"> </w:t>
      </w:r>
      <w:r>
        <w:rPr>
          <w:bCs/>
          <w:b/>
        </w:rPr>
        <w:t xml:space="preserve">Ainda não</w:t>
      </w:r>
      <w:r>
        <w:t xml:space="preserve"> </w:t>
      </w:r>
      <w:r>
        <w:t xml:space="preserve">ou</w:t>
      </w:r>
      <w:r>
        <w:t xml:space="preserve"> </w:t>
      </w:r>
      <w:r>
        <w:rPr>
          <w:bCs/>
          <w:b/>
        </w:rPr>
        <w:t xml:space="preserve">Grande preocupação</w:t>
      </w:r>
      <w:r>
        <w:t xml:space="preserve">:</w:t>
      </w:r>
    </w:p>
    <w:p>
      <w:pPr>
        <w:numPr>
          <w:ilvl w:val="0"/>
          <w:numId w:val="1014"/>
        </w:numPr>
        <w:pStyle w:val="Compact"/>
      </w:pPr>
      <w:r>
        <w:t xml:space="preserve">Entendo o trabalho real e testei meu interesse.</w:t>
      </w:r>
    </w:p>
    <w:p>
      <w:pPr>
        <w:numPr>
          <w:ilvl w:val="0"/>
          <w:numId w:val="1014"/>
        </w:numPr>
        <w:pStyle w:val="Compact"/>
      </w:pPr>
      <w:r>
        <w:t xml:space="preserve">Consigo manter limites de apoio entre pares e proteger meu próprio bem-estar.</w:t>
      </w:r>
    </w:p>
    <w:p>
      <w:pPr>
        <w:numPr>
          <w:ilvl w:val="0"/>
          <w:numId w:val="1014"/>
        </w:numPr>
        <w:pStyle w:val="Compact"/>
      </w:pPr>
      <w:r>
        <w:t xml:space="preserve">Verifiquei requisitos locais de credenciamento e do empregador.</w:t>
      </w:r>
    </w:p>
    <w:p>
      <w:pPr>
        <w:numPr>
          <w:ilvl w:val="0"/>
          <w:numId w:val="1014"/>
        </w:numPr>
        <w:pStyle w:val="Compact"/>
      </w:pPr>
      <w:r>
        <w:t xml:space="preserve">Verifiquei salários e benefícios locais atuais.</w:t>
      </w:r>
    </w:p>
    <w:p>
      <w:pPr>
        <w:numPr>
          <w:ilvl w:val="0"/>
          <w:numId w:val="1014"/>
        </w:numPr>
        <w:pStyle w:val="Compact"/>
      </w:pPr>
      <w:r>
        <w:t xml:space="preserve">O percurso completo é financeiramente viável sem dívida prejudicial.</w:t>
      </w:r>
    </w:p>
    <w:p>
      <w:pPr>
        <w:numPr>
          <w:ilvl w:val="0"/>
          <w:numId w:val="1014"/>
        </w:numPr>
        <w:pStyle w:val="Compact"/>
      </w:pPr>
      <w:r>
        <w:t xml:space="preserve">Compreendo os termos de reembolso oferecidos pelo empregador.</w:t>
      </w:r>
    </w:p>
    <w:p>
      <w:pPr>
        <w:numPr>
          <w:ilvl w:val="0"/>
          <w:numId w:val="1014"/>
        </w:numPr>
        <w:pStyle w:val="Compact"/>
      </w:pPr>
      <w:r>
        <w:t xml:space="preserve">Todo o percurso é acessível para mim.</w:t>
      </w:r>
    </w:p>
    <w:p>
      <w:pPr>
        <w:numPr>
          <w:ilvl w:val="0"/>
          <w:numId w:val="1014"/>
        </w:numPr>
        <w:pStyle w:val="Compact"/>
      </w:pPr>
      <w:r>
        <w:t xml:space="preserve">O horário, deslocamento e impacto familiar são viáveis.</w:t>
      </w:r>
    </w:p>
    <w:p>
      <w:pPr>
        <w:numPr>
          <w:ilvl w:val="0"/>
          <w:numId w:val="1014"/>
        </w:numPr>
        <w:pStyle w:val="Compact"/>
      </w:pPr>
      <w:r>
        <w:t xml:space="preserve">Entendo o que a credencial permitirá e o que não permitirá que eu faça.</w:t>
      </w:r>
    </w:p>
    <w:p>
      <w:pPr>
        <w:numPr>
          <w:ilvl w:val="0"/>
          <w:numId w:val="1014"/>
        </w:numPr>
        <w:pStyle w:val="Compact"/>
      </w:pPr>
      <w:r>
        <w:t xml:space="preserve">Tenho um plano de progressão e saída.</w:t>
      </w:r>
    </w:p>
    <w:bookmarkEnd w:id="57"/>
    <w:bookmarkStart w:id="58" w:name="planilha-de-custos"/>
    <w:p>
      <w:pPr>
        <w:pStyle w:val="Heading3"/>
      </w:pPr>
      <w:r>
        <w:t xml:space="preserve">Planilha de custos</w:t>
      </w:r>
    </w:p>
    <w:p>
      <w:pPr>
        <w:pStyle w:val="FirstParagraph"/>
      </w:pPr>
      <w:r>
        <w:t xml:space="preserve">Registre uma estimativa, quem poderá pagar e a fonte/data verificada para:</w:t>
      </w:r>
    </w:p>
    <w:p>
      <w:pPr>
        <w:numPr>
          <w:ilvl w:val="0"/>
          <w:numId w:val="1015"/>
        </w:numPr>
        <w:pStyle w:val="Compact"/>
      </w:pPr>
      <w:r>
        <w:t xml:space="preserve">mensalidades e taxas;</w:t>
      </w:r>
    </w:p>
    <w:p>
      <w:pPr>
        <w:numPr>
          <w:ilvl w:val="0"/>
          <w:numId w:val="1015"/>
        </w:numPr>
        <w:pStyle w:val="Compact"/>
      </w:pPr>
      <w:r>
        <w:t xml:space="preserve">livros e materiais de treinamento;</w:t>
      </w:r>
    </w:p>
    <w:p>
      <w:pPr>
        <w:numPr>
          <w:ilvl w:val="0"/>
          <w:numId w:val="1015"/>
        </w:numPr>
        <w:pStyle w:val="Compact"/>
      </w:pPr>
      <w:r>
        <w:t xml:space="preserve">tecnologia e equipamentos;</w:t>
      </w:r>
    </w:p>
    <w:p>
      <w:pPr>
        <w:numPr>
          <w:ilvl w:val="0"/>
          <w:numId w:val="1015"/>
        </w:numPr>
        <w:pStyle w:val="Compact"/>
      </w:pPr>
      <w:r>
        <w:t xml:space="preserve">exames, certificação, renovações e educação continuada;</w:t>
      </w:r>
    </w:p>
    <w:p>
      <w:pPr>
        <w:numPr>
          <w:ilvl w:val="0"/>
          <w:numId w:val="1015"/>
        </w:numPr>
        <w:pStyle w:val="Compact"/>
      </w:pPr>
      <w:r>
        <w:t xml:space="preserve">verificação de antecedentes ou documentação exigida;</w:t>
      </w:r>
    </w:p>
    <w:p>
      <w:pPr>
        <w:numPr>
          <w:ilvl w:val="0"/>
          <w:numId w:val="1015"/>
        </w:numPr>
        <w:pStyle w:val="Compact"/>
      </w:pPr>
      <w:r>
        <w:t xml:space="preserve">deslocamento, estacionamento, hospedagem e alimentação;</w:t>
      </w:r>
    </w:p>
    <w:p>
      <w:pPr>
        <w:numPr>
          <w:ilvl w:val="0"/>
          <w:numId w:val="1015"/>
        </w:numPr>
        <w:pStyle w:val="Compact"/>
      </w:pPr>
      <w:r>
        <w:t xml:space="preserve">cuidado infantil ou de idosos;</w:t>
      </w:r>
    </w:p>
    <w:p>
      <w:pPr>
        <w:numPr>
          <w:ilvl w:val="0"/>
          <w:numId w:val="1015"/>
        </w:numPr>
        <w:pStyle w:val="Compact"/>
      </w:pPr>
      <w:r>
        <w:t xml:space="preserve">perda de renda ou redução de horas; e</w:t>
      </w:r>
    </w:p>
    <w:p>
      <w:pPr>
        <w:numPr>
          <w:ilvl w:val="0"/>
          <w:numId w:val="1015"/>
        </w:numPr>
        <w:pStyle w:val="Compact"/>
      </w:pPr>
      <w:r>
        <w:t xml:space="preserve">qualquer obrigação de reembolso.</w:t>
      </w:r>
    </w:p>
    <w:p>
      <w:r>
        <w:pict>
          <v:rect style="width:0;height:1.5pt" o:hralign="center" o:hrstd="t" o:hr="t"/>
        </w:pict>
      </w:r>
    </w:p>
    <w:bookmarkEnd w:id="58"/>
    <w:bookmarkEnd w:id="59"/>
    <w:bookmarkEnd w:id="60"/>
    <w:bookmarkStart w:id="81" w:name="X6c1b028a98a0cdfa68e3d69fb09bba7b394d68c"/>
    <w:p>
      <w:pPr>
        <w:pStyle w:val="Heading1"/>
      </w:pPr>
      <w:r>
        <w:t xml:space="preserve">Registro controlado de fontes — revisado em agosto de 2026</w:t>
      </w:r>
    </w:p>
    <w:p>
      <w:pPr>
        <w:pStyle w:val="FirstParagraph"/>
      </w:pPr>
      <w:r>
        <w:t xml:space="preserve">As seguintes fontes sustentam o mestre de trabalho de 2026. O QA de publicação deve verificar novamente links e datas antes do lançamento.</w:t>
      </w:r>
    </w:p>
    <w:bookmarkStart w:id="67" w:name="fontes-oficiais-dos-estados-unidos"/>
    <w:p>
      <w:pPr>
        <w:pStyle w:val="Heading2"/>
      </w:pPr>
      <w:r>
        <w:t xml:space="preserve">Fontes oficiais dos Estados Unidos</w:t>
      </w:r>
    </w:p>
    <w:p>
      <w:pPr>
        <w:numPr>
          <w:ilvl w:val="0"/>
          <w:numId w:val="1016"/>
        </w:numPr>
      </w:pPr>
      <w:r>
        <w:t xml:space="preserve">SAMHSA — Core Competencies for Peer Workers in Behavioral Health Services:</w:t>
      </w:r>
      <w:r>
        <w:t xml:space="preserve"> </w:t>
      </w:r>
      <w:hyperlink r:id="rId61">
        <w:r>
          <w:rPr>
            <w:rStyle w:val="Hyperlink"/>
          </w:rPr>
          <w:t xml:space="preserve">https://www.samhsa.gov/substance-use/recovery/peer-support-workers/core-competencies</w:t>
        </w:r>
      </w:hyperlink>
      <w:r>
        <w:br/>
      </w:r>
      <w:r>
        <w:t xml:space="preserve">Página atualizada pela última vez em 24 de março de 2026. Utilizada para princípios da função, competências e distinção explícita entre orientação por competências e requisitos de credenciamento específicos de cada jurisdição.</w:t>
      </w:r>
    </w:p>
    <w:p>
      <w:pPr>
        <w:numPr>
          <w:ilvl w:val="0"/>
          <w:numId w:val="1016"/>
        </w:numPr>
      </w:pPr>
      <w:r>
        <w:t xml:space="preserve">SAMHSA — Peer Support Workers for Those in Recovery:</w:t>
      </w:r>
      <w:r>
        <w:t xml:space="preserve"> </w:t>
      </w:r>
      <w:hyperlink r:id="rId62">
        <w:r>
          <w:rPr>
            <w:rStyle w:val="Hyperlink"/>
          </w:rPr>
          <w:t xml:space="preserve">https://www.samhsa.gov/substance-use/recovery/peer-support-workers</w:t>
        </w:r>
      </w:hyperlink>
      <w:r>
        <w:br/>
      </w:r>
      <w:r>
        <w:t xml:space="preserve">Página atualizada pela última vez em 24 de março de 2026. Utilizada para contexto da função e atividades de trabalhadores pares.</w:t>
      </w:r>
    </w:p>
    <w:p>
      <w:pPr>
        <w:numPr>
          <w:ilvl w:val="0"/>
          <w:numId w:val="1016"/>
        </w:numPr>
      </w:pPr>
      <w:r>
        <w:t xml:space="preserve">U.S. Bureau of Labor Statistics — Community Health Workers:</w:t>
      </w:r>
      <w:r>
        <w:t xml:space="preserve"> </w:t>
      </w:r>
      <w:hyperlink r:id="rId63">
        <w:r>
          <w:rPr>
            <w:rStyle w:val="Hyperlink"/>
          </w:rPr>
          <w:t xml:space="preserve">https://www.bls.gov/ooh/community-and-social-service/community-health-workers.htm</w:t>
        </w:r>
      </w:hyperlink>
      <w:r>
        <w:br/>
      </w:r>
      <w:r>
        <w:t xml:space="preserve">Utilizado somente como proxy oficial claramente identificado porque o BLS reconhece especialistas em apoio entre pares como um tipo de trabalhador comunitário de saúde. Salário mediano de maio de 2024: US$ 51.030; crescimento projetado de 2024–2034: 11%.</w:t>
      </w:r>
    </w:p>
    <w:p>
      <w:pPr>
        <w:numPr>
          <w:ilvl w:val="0"/>
          <w:numId w:val="1016"/>
        </w:numPr>
      </w:pPr>
      <w:r>
        <w:t xml:space="preserve">Apprenticeship.gov:</w:t>
      </w:r>
      <w:r>
        <w:t xml:space="preserve"> </w:t>
      </w:r>
      <w:hyperlink r:id="rId64">
        <w:r>
          <w:rPr>
            <w:rStyle w:val="Hyperlink"/>
          </w:rPr>
          <w:t xml:space="preserve">https://www.apprenticeship.gov/</w:t>
        </w:r>
      </w:hyperlink>
      <w:r>
        <w:br/>
      </w:r>
      <w:r>
        <w:t xml:space="preserve">Localizador de oportunidades de Registered Apprenticeship. A existência de uma ocupação relacionada no BLS não estabelece que exista uma aprendizagem profissional de apoio entre pares em todas as jurisdições.</w:t>
      </w:r>
    </w:p>
    <w:p>
      <w:pPr>
        <w:numPr>
          <w:ilvl w:val="0"/>
          <w:numId w:val="1016"/>
        </w:numPr>
      </w:pPr>
      <w:r>
        <w:t xml:space="preserve">CareerOneStop / American Job Centers:</w:t>
      </w:r>
      <w:r>
        <w:t xml:space="preserve"> </w:t>
      </w:r>
      <w:hyperlink r:id="rId65">
        <w:r>
          <w:rPr>
            <w:rStyle w:val="Hyperlink"/>
          </w:rPr>
          <w:t xml:space="preserve">https://www.careeronestop.org/LocalHelp/AmericanJobCenters/american-job-centers.aspx</w:t>
        </w:r>
      </w:hyperlink>
      <w:r>
        <w:br/>
      </w:r>
      <w:r>
        <w:t xml:space="preserve">Localizador de serviços públicos de força de trabalho; a elegibilidade para financiamento deve ser verificada localmente.</w:t>
      </w:r>
    </w:p>
    <w:p>
      <w:pPr>
        <w:numPr>
          <w:ilvl w:val="0"/>
          <w:numId w:val="1016"/>
        </w:numPr>
      </w:pPr>
      <w:r>
        <w:t xml:space="preserve">Federal Student Aid:</w:t>
      </w:r>
      <w:r>
        <w:t xml:space="preserve"> </w:t>
      </w:r>
      <w:hyperlink r:id="rId66">
        <w:r>
          <w:rPr>
            <w:rStyle w:val="Hyperlink"/>
          </w:rPr>
          <w:t xml:space="preserve">https://studentaid.gov/</w:t>
        </w:r>
      </w:hyperlink>
      <w:r>
        <w:br/>
      </w:r>
      <w:r>
        <w:t xml:space="preserve">Informações sobre auxílio estudantil federal; nem todos os programas de treinamento em apoio entre pares são elegíveis.</w:t>
      </w:r>
    </w:p>
    <w:bookmarkEnd w:id="67"/>
    <w:bookmarkStart w:id="69" w:name="Xb49e28e35201d334addc4393dc4f5ebf727f234"/>
    <w:p>
      <w:pPr>
        <w:pStyle w:val="Heading2"/>
      </w:pPr>
      <w:r>
        <w:t xml:space="preserve">Fonte de mercado não governamental dos Estados Unidos</w:t>
      </w:r>
    </w:p>
    <w:p>
      <w:pPr>
        <w:numPr>
          <w:ilvl w:val="0"/>
          <w:numId w:val="1017"/>
        </w:numPr>
        <w:pStyle w:val="Compact"/>
      </w:pPr>
      <w:r>
        <w:t xml:space="preserve">ZipRecruiter — Peer Support Specialist Salary:</w:t>
      </w:r>
      <w:r>
        <w:t xml:space="preserve"> </w:t>
      </w:r>
      <w:hyperlink r:id="rId68">
        <w:r>
          <w:rPr>
            <w:rStyle w:val="Hyperlink"/>
          </w:rPr>
          <w:t xml:space="preserve">https://www.ziprecruiter.com/Salaries/Peer-Support-Specialist-Salary</w:t>
        </w:r>
      </w:hyperlink>
      <w:r>
        <w:br/>
      </w:r>
      <w:r>
        <w:t xml:space="preserve">Estimativa não governamental de mercado. Em 7 de agosto de 2026: média de US$ 41.023/ano (US$ 19,72/hora). Deve continuar claramente identificada como estimativa de mercado, e não como estatística salarial oficial.</w:t>
      </w:r>
    </w:p>
    <w:bookmarkEnd w:id="69"/>
    <w:bookmarkStart w:id="72" w:name="fontes-oficiais-do-canadá"/>
    <w:p>
      <w:pPr>
        <w:pStyle w:val="Heading2"/>
      </w:pPr>
      <w:r>
        <w:t xml:space="preserve">Fontes oficiais do Canadá</w:t>
      </w:r>
    </w:p>
    <w:p>
      <w:pPr>
        <w:numPr>
          <w:ilvl w:val="0"/>
          <w:numId w:val="1018"/>
        </w:numPr>
      </w:pPr>
      <w:r>
        <w:t xml:space="preserve">Government of Canada Job Bank — Peer Support Worker summary:</w:t>
      </w:r>
      <w:r>
        <w:t xml:space="preserve"> </w:t>
      </w:r>
      <w:hyperlink r:id="rId70">
        <w:r>
          <w:rPr>
            <w:rStyle w:val="Hyperlink"/>
          </w:rPr>
          <w:t xml:space="preserve">https://www.jobbank.gc.ca/marketreport/summary-occupation/24973/ca</w:t>
        </w:r>
      </w:hyperlink>
      <w:r>
        <w:br/>
      </w:r>
      <w:r>
        <w:t xml:space="preserve">Título classificado no NOC 42201. Página de resumo modificada em 2 de junho de 2026.</w:t>
      </w:r>
    </w:p>
    <w:p>
      <w:pPr>
        <w:numPr>
          <w:ilvl w:val="0"/>
          <w:numId w:val="1018"/>
        </w:numPr>
      </w:pPr>
      <w:r>
        <w:t xml:space="preserve">Government of Canada Job Bank — Peer Support Worker wages:</w:t>
      </w:r>
      <w:r>
        <w:t xml:space="preserve"> </w:t>
      </w:r>
      <w:hyperlink r:id="rId71">
        <w:r>
          <w:rPr>
            <w:rStyle w:val="Hyperlink"/>
          </w:rPr>
          <w:t xml:space="preserve">https://www.jobbank.gc.ca/marketreport/wages-occupation/24973/ca</w:t>
        </w:r>
      </w:hyperlink>
      <w:r>
        <w:br/>
      </w:r>
      <w:r>
        <w:t xml:space="preserve">Valores nacionais baixo/mediano/alto: C$ 19,00/C$ 26,00/C$ 36,06 por hora. Tabela salarial atualizada em 19 de novembro de 2025; período de referência 2023–2024; fonte: Statistics Canada Labour Force Survey. Utilize como dados do grupo ocupacional mais amplo NOC 42201, não como garantia para toda posição de apoio entre pares.</w:t>
      </w:r>
    </w:p>
    <w:bookmarkEnd w:id="72"/>
    <w:bookmarkStart w:id="77" w:name="fontes-oficiais-da-colômbia"/>
    <w:p>
      <w:pPr>
        <w:pStyle w:val="Heading2"/>
      </w:pPr>
      <w:r>
        <w:t xml:space="preserve">Fontes oficiais da Colômbia</w:t>
      </w:r>
    </w:p>
    <w:p>
      <w:pPr>
        <w:numPr>
          <w:ilvl w:val="0"/>
          <w:numId w:val="1019"/>
        </w:numPr>
      </w:pPr>
      <w:r>
        <w:t xml:space="preserve">Ministerio de Salud y Protección Social — Salud Mental Comunitaria:</w:t>
      </w:r>
      <w:r>
        <w:t xml:space="preserve"> </w:t>
      </w:r>
      <w:hyperlink r:id="rId73">
        <w:r>
          <w:rPr>
            <w:rStyle w:val="Hyperlink"/>
          </w:rPr>
          <w:t xml:space="preserve">https://www.minsalud.gov.co/salud/publica/salud-mental/Paginas/salud-mental-comunitaria.aspx</w:t>
        </w:r>
      </w:hyperlink>
      <w:r>
        <w:br/>
      </w:r>
      <w:r>
        <w:t xml:space="preserve">O portal atual inclui orientação sobre reabilitação baseada na comunidade, dispositivos comunitários de saúde mental de 2025 e materiais de primeiros auxílios psicológicos. Ele apoia caminhos comunitários e de ajuda mútua, mas não estabelece uma certificação nacional de apoio entre pares no modelo dos Estados Unidos.</w:t>
      </w:r>
    </w:p>
    <w:p>
      <w:pPr>
        <w:numPr>
          <w:ilvl w:val="0"/>
          <w:numId w:val="1019"/>
        </w:numPr>
      </w:pPr>
      <w:r>
        <w:t xml:space="preserve">Ministerio de Salud y Protección Social — Política de Salud Mental:</w:t>
      </w:r>
      <w:r>
        <w:t xml:space="preserve"> </w:t>
      </w:r>
      <w:hyperlink r:id="rId74">
        <w:r>
          <w:rPr>
            <w:rStyle w:val="Hyperlink"/>
          </w:rPr>
          <w:t xml:space="preserve">https://www.minsalud.gov.co/salud/publica/salud-mental/Paginas/politica-salud-mental.aspx</w:t>
        </w:r>
      </w:hyperlink>
    </w:p>
    <w:p>
      <w:pPr>
        <w:numPr>
          <w:ilvl w:val="0"/>
          <w:numId w:val="1019"/>
        </w:numPr>
      </w:pPr>
      <w:r>
        <w:t xml:space="preserve">SENA:</w:t>
      </w:r>
      <w:r>
        <w:t xml:space="preserve"> </w:t>
      </w:r>
      <w:hyperlink r:id="rId75">
        <w:r>
          <w:rPr>
            <w:rStyle w:val="Hyperlink"/>
          </w:rPr>
          <w:t xml:space="preserve">https://www.sena.edu.co/</w:t>
        </w:r>
      </w:hyperlink>
      <w:r>
        <w:br/>
      </w:r>
      <w:r>
        <w:t xml:space="preserve">Localizador de treinamento público. Qualquer curso deve ser verificado quanto à disponibilidade atual e relevância; aprendizagem adjacente em saúde mental não constitui automaticamente uma credencial de Especialista em Apoio entre Pares.</w:t>
      </w:r>
    </w:p>
    <w:p>
      <w:pPr>
        <w:numPr>
          <w:ilvl w:val="0"/>
          <w:numId w:val="1019"/>
        </w:numPr>
      </w:pPr>
      <w:r>
        <w:t xml:space="preserve">Servicio Público de Empleo:</w:t>
      </w:r>
      <w:r>
        <w:t xml:space="preserve"> </w:t>
      </w:r>
      <w:hyperlink r:id="rId76">
        <w:r>
          <w:rPr>
            <w:rStyle w:val="Hyperlink"/>
          </w:rPr>
          <w:t xml:space="preserve">https://www.serviciodeempleo.gov.co/</w:t>
        </w:r>
      </w:hyperlink>
      <w:r>
        <w:br/>
      </w:r>
      <w:r>
        <w:t xml:space="preserve">Localizador público de emprego e oportunidades.</w:t>
      </w:r>
    </w:p>
    <w:bookmarkEnd w:id="77"/>
    <w:bookmarkStart w:id="79" w:name="Xe699d1e431034565a5c3f5dc4dfdd1b463003c3"/>
    <w:p>
      <w:pPr>
        <w:pStyle w:val="Heading2"/>
      </w:pPr>
      <w:r>
        <w:t xml:space="preserve">Fonte internacional / estrutura para América Latina</w:t>
      </w:r>
    </w:p>
    <w:p>
      <w:pPr>
        <w:numPr>
          <w:ilvl w:val="0"/>
          <w:numId w:val="1020"/>
        </w:numPr>
        <w:pStyle w:val="Compact"/>
      </w:pPr>
      <w:r>
        <w:t xml:space="preserve">World Health Organization — Peer support mental health services: Promoting person-centred and rights-based approaches:</w:t>
      </w:r>
      <w:r>
        <w:t xml:space="preserve"> </w:t>
      </w:r>
      <w:hyperlink r:id="rId78">
        <w:r>
          <w:rPr>
            <w:rStyle w:val="Hyperlink"/>
          </w:rPr>
          <w:t xml:space="preserve">https://www.who.int/publications/i/item/9789240025783</w:t>
        </w:r>
      </w:hyperlink>
      <w:r>
        <w:br/>
      </w:r>
      <w:r>
        <w:t xml:space="preserve">Utilizada como recurso conceitual internacional para apoio entre pares, serviços centrados na pessoa, orientação à recuperação e abordagens de saúde mental comunitária baseadas em direitos. As orientações da OMS não criam uma credencial ocupacional nacional transferível.</w:t>
      </w:r>
    </w:p>
    <w:p>
      <w:r>
        <w:pict>
          <v:rect style="width:0;height:1.5pt" o:hralign="center" o:hrstd="t" o:hr="t"/>
        </w:pict>
      </w:r>
    </w:p>
    <w:bookmarkEnd w:id="79"/>
    <w:bookmarkStart w:id="80" w:name="controles-de-versionamento-e-manutenção"/>
    <w:p>
      <w:pPr>
        <w:pStyle w:val="Heading2"/>
      </w:pPr>
      <w:r>
        <w:t xml:space="preserve">Controles de versionamento e manutenção</w:t>
      </w:r>
    </w:p>
    <w:p>
      <w:pPr>
        <w:numPr>
          <w:ilvl w:val="0"/>
          <w:numId w:val="1021"/>
        </w:numPr>
        <w:pStyle w:val="Compact"/>
      </w:pPr>
      <w:r>
        <w:rPr>
          <w:bCs/>
          <w:b/>
        </w:rPr>
        <w:t xml:space="preserve">Mestre de trabalho:</w:t>
      </w:r>
      <w:r>
        <w:t xml:space="preserve"> </w:t>
      </w:r>
      <w:r>
        <w:t xml:space="preserve">Versão 2.0, agosto de 2026.</w:t>
      </w:r>
    </w:p>
    <w:p>
      <w:pPr>
        <w:numPr>
          <w:ilvl w:val="0"/>
          <w:numId w:val="1021"/>
        </w:numPr>
        <w:pStyle w:val="Compact"/>
      </w:pPr>
      <w:r>
        <w:t xml:space="preserve">Este arquivo não substitui o DOCX v1.0 nem o PDF v1.0 como artefato de publicação até que o QA esteja concluído.</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studentaid.gov/" TargetMode="External" /><Relationship Type="http://schemas.openxmlformats.org/officeDocument/2006/relationships/hyperlink" Id="rId64" Target="https://www.apprenticeship.gov/" TargetMode="External" /><Relationship Type="http://schemas.openxmlformats.org/officeDocument/2006/relationships/hyperlink" Id="rId63" Target="https://www.bls.gov/ooh/community-and-social-service/community-health-workers.htm" TargetMode="External" /><Relationship Type="http://schemas.openxmlformats.org/officeDocument/2006/relationships/hyperlink" Id="rId65" Target="https://www.careeronestop.org/LocalHelp/AmericanJobCenters/american-job-centers.aspx" TargetMode="External" /><Relationship Type="http://schemas.openxmlformats.org/officeDocument/2006/relationships/hyperlink" Id="rId70" Target="https://www.jobbank.gc.ca/marketreport/summary-occupation/24973/ca" TargetMode="External" /><Relationship Type="http://schemas.openxmlformats.org/officeDocument/2006/relationships/hyperlink" Id="rId71" Target="https://www.jobbank.gc.ca/marketreport/wages-occupation/24973/ca" TargetMode="External" /><Relationship Type="http://schemas.openxmlformats.org/officeDocument/2006/relationships/hyperlink" Id="rId74" Target="https://www.minsalud.gov.co/salud/publica/salud-mental/Paginas/politica-salud-mental.aspx" TargetMode="External" /><Relationship Type="http://schemas.openxmlformats.org/officeDocument/2006/relationships/hyperlink" Id="rId73" Target="https://www.minsalud.gov.co/salud/publica/salud-mental/Paginas/salud-mental-comunitaria.aspx" TargetMode="External" /><Relationship Type="http://schemas.openxmlformats.org/officeDocument/2006/relationships/hyperlink" Id="rId62" Target="https://www.samhsa.gov/substance-use/recovery/peer-support-workers" TargetMode="External" /><Relationship Type="http://schemas.openxmlformats.org/officeDocument/2006/relationships/hyperlink" Id="rId61" Target="https://www.samhsa.gov/substance-use/recovery/peer-support-workers/core-competencies" TargetMode="External" /><Relationship Type="http://schemas.openxmlformats.org/officeDocument/2006/relationships/hyperlink" Id="rId75" Target="https://www.sena.edu.co/" TargetMode="External" /><Relationship Type="http://schemas.openxmlformats.org/officeDocument/2006/relationships/hyperlink" Id="rId76" Target="https://www.serviciodeempleo.gov.co/" TargetMode="External" /><Relationship Type="http://schemas.openxmlformats.org/officeDocument/2006/relationships/hyperlink" Id="rId78" Target="https://www.who.int/publications/i/item/9789240025783" TargetMode="External" /><Relationship Type="http://schemas.openxmlformats.org/officeDocument/2006/relationships/hyperlink" Id="rId68" Target="https://www.ziprecruiter.com/Salaries/Peer-Support-Specialist-Salary" TargetMode="External" /></Relationships>
</file>

<file path=word/_rels/footnotes.xml.rels><?xml version="1.0" encoding="UTF-8"?><Relationships xmlns="http://schemas.openxmlformats.org/package/2006/relationships"><Relationship Type="http://schemas.openxmlformats.org/officeDocument/2006/relationships/hyperlink" Id="rId66" Target="https://studentaid.gov/" TargetMode="External" /><Relationship Type="http://schemas.openxmlformats.org/officeDocument/2006/relationships/hyperlink" Id="rId64" Target="https://www.apprenticeship.gov/" TargetMode="External" /><Relationship Type="http://schemas.openxmlformats.org/officeDocument/2006/relationships/hyperlink" Id="rId63" Target="https://www.bls.gov/ooh/community-and-social-service/community-health-workers.htm" TargetMode="External" /><Relationship Type="http://schemas.openxmlformats.org/officeDocument/2006/relationships/hyperlink" Id="rId65" Target="https://www.careeronestop.org/LocalHelp/AmericanJobCenters/american-job-centers.aspx" TargetMode="External" /><Relationship Type="http://schemas.openxmlformats.org/officeDocument/2006/relationships/hyperlink" Id="rId70" Target="https://www.jobbank.gc.ca/marketreport/summary-occupation/24973/ca" TargetMode="External" /><Relationship Type="http://schemas.openxmlformats.org/officeDocument/2006/relationships/hyperlink" Id="rId71" Target="https://www.jobbank.gc.ca/marketreport/wages-occupation/24973/ca" TargetMode="External" /><Relationship Type="http://schemas.openxmlformats.org/officeDocument/2006/relationships/hyperlink" Id="rId74" Target="https://www.minsalud.gov.co/salud/publica/salud-mental/Paginas/politica-salud-mental.aspx" TargetMode="External" /><Relationship Type="http://schemas.openxmlformats.org/officeDocument/2006/relationships/hyperlink" Id="rId73" Target="https://www.minsalud.gov.co/salud/publica/salud-mental/Paginas/salud-mental-comunitaria.aspx" TargetMode="External" /><Relationship Type="http://schemas.openxmlformats.org/officeDocument/2006/relationships/hyperlink" Id="rId62" Target="https://www.samhsa.gov/substance-use/recovery/peer-support-workers" TargetMode="External" /><Relationship Type="http://schemas.openxmlformats.org/officeDocument/2006/relationships/hyperlink" Id="rId61" Target="https://www.samhsa.gov/substance-use/recovery/peer-support-workers/core-competencies" TargetMode="External" /><Relationship Type="http://schemas.openxmlformats.org/officeDocument/2006/relationships/hyperlink" Id="rId75" Target="https://www.sena.edu.co/" TargetMode="External" /><Relationship Type="http://schemas.openxmlformats.org/officeDocument/2006/relationships/hyperlink" Id="rId76" Target="https://www.serviciodeempleo.gov.co/" TargetMode="External" /><Relationship Type="http://schemas.openxmlformats.org/officeDocument/2006/relationships/hyperlink" Id="rId78" Target="https://www.who.int/publications/i/item/9789240025783" TargetMode="External" /><Relationship Type="http://schemas.openxmlformats.org/officeDocument/2006/relationships/hyperlink" Id="rId68" Target="https://www.ziprecruiter.com/Salaries/Peer-Support-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2026-08-07T23:53:08Z</dcterms:created>
  <dcterms:modified xsi:type="dcterms:W3CDTF">2026-08-07T23:53:08Z</dcterms:modified>
</cp:coreProperties>
</file>

<file path=docProps/custom.xml><?xml version="1.0" encoding="utf-8"?>
<Properties xmlns="http://schemas.openxmlformats.org/officeDocument/2006/custom-properties" xmlns:vt="http://schemas.openxmlformats.org/officeDocument/2006/docPropsVTypes"/>
</file>