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08cb74848c8046aa5d9c177959e3708c334879"/>
    <w:p>
      <w:pPr>
        <w:pStyle w:val="Heading1"/>
      </w:pPr>
      <w:r>
        <w:t xml:space="preserve">Guia de Oportunidades para Toda a Vida 03</w:t>
      </w:r>
    </w:p>
    <w:bookmarkStart w:id="20" w:name="Xe20a328e7aa487670fc307baaab9307b1c4af3f"/>
    <w:p>
      <w:pPr>
        <w:pStyle w:val="Heading2"/>
      </w:pPr>
      <w:r>
        <w:t xml:space="preserve">Especialista em Faturamento e Codificação Médica — Versão de trabalho em português do Brasil v2</w:t>
      </w:r>
    </w:p>
    <w:p>
      <w:pPr>
        <w:pStyle w:val="FirstParagraph"/>
      </w:pPr>
      <w:r>
        <w:rPr>
          <w:bCs/>
          <w:b/>
        </w:rPr>
        <w:t xml:space="preserve">Status da revisão controlada:</w:t>
      </w:r>
      <w:r>
        <w:t xml:space="preserve"> </w:t>
      </w:r>
      <w:r>
        <w:t xml:space="preserve">Versão de trabalho para QA factual, editorial, de tradução, acessibilidade e publicação. Ainda não é uma candidata final de publicação.</w:t>
      </w:r>
    </w:p>
    <w:p>
      <w:pPr>
        <w:pStyle w:val="BodyText"/>
      </w:pPr>
      <w:r>
        <w:t xml:space="preserve">Um guia gratuito e acessível de carreira e educação 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Versão:</w:t>
      </w:r>
      <w:r>
        <w:t xml:space="preserve"> </w:t>
      </w:r>
      <w:r>
        <w:t xml:space="preserve">2.0, versão de trabalho</w:t>
      </w:r>
      <w:r>
        <w:br/>
      </w:r>
      <w:r>
        <w:rPr>
          <w:bCs/>
          <w:b/>
        </w:rPr>
        <w:t xml:space="preserve">Data da revisão:</w:t>
      </w:r>
      <w:r>
        <w:t xml:space="preserve"> </w:t>
      </w:r>
      <w:r>
        <w:t xml:space="preserve">agosto de 2026</w:t>
      </w:r>
      <w:r>
        <w:br/>
      </w:r>
      <w:r>
        <w:rPr>
          <w:bCs/>
          <w:b/>
        </w:rPr>
        <w:t xml:space="preserve">Licença:</w:t>
      </w:r>
      <w:r>
        <w:t xml:space="preserve"> </w:t>
      </w:r>
      <w:r>
        <w:t xml:space="preserve">CC BY-NC-SA 4.0</w:t>
      </w:r>
    </w:p>
    <w:bookmarkEnd w:id="20"/>
    <w:bookmarkStart w:id="21" w:name="a-promessa-deste-guia"/>
    <w:p>
      <w:pPr>
        <w:pStyle w:val="Heading2"/>
      </w:pPr>
      <w:r>
        <w:t xml:space="preserve">A promessa deste guia</w:t>
      </w:r>
    </w:p>
    <w:p>
      <w:pPr>
        <w:pStyle w:val="FirstParagraph"/>
      </w:pPr>
      <w:r>
        <w:t xml:space="preserve">Este guia não promete que o trabalho de faturamento e codificação médica seja adequado para todas as pessoas, que a educação será gratuita, que uma determinada credencial será aceita em todos os lugares nem que o treinamento levará a um emprego. Ele ajuda você a compreender funções relacionadas, mas distintas, de faturamento, codificação, informação em saúde, registros, reivindicações, negativas e ciclo de receita; comparar caminhos realistas; verificar requisitos; e evitar compromissos caros ou enganosos.</w:t>
      </w:r>
    </w:p>
    <w:bookmarkEnd w:id="21"/>
    <w:bookmarkStart w:id="22" w:name="por-que-criei-este-guia"/>
    <w:p>
      <w:pPr>
        <w:pStyle w:val="Heading2"/>
      </w:pPr>
      <w:r>
        <w:t xml:space="preserve">Por que criei este guia</w:t>
      </w:r>
    </w:p>
    <w:p>
      <w:pPr>
        <w:pStyle w:val="FirstParagraph"/>
      </w:pPr>
      <w:r>
        <w:t xml:space="preserve">Criei os Guias de Oportunidades para Toda a Vida para ajudar as pessoas a encontrar caminhos realistas para educação e trabalho significativo sem serem excluídas por idade, deficiência, renda, localização ou uma trajetória de vida não tradicional. Vivo com disgrafia e estou no espectro autista. Comecei este projeto aos 70 anos. Essas experiências fortaleceram minha convicção de que a capacidade muitas vezes fica escondida por barreiras de comunicação, educação, custo e acesso.</w:t>
      </w:r>
    </w:p>
    <w:p>
      <w:pPr>
        <w:pStyle w:val="BodyText"/>
      </w:pPr>
      <w:r>
        <w:t xml:space="preserve">Faturamento e codificação médica podem ser uma direção profissional prática ou uma ponte para trabalhos relacionados à informação em saúde e ao ciclo de receita. O objetivo deste manual é mostrar tarefas reais, riscos, opções educacionais, possibilidades de financiamento, proteções trabalhistas e caminhos de saída antes que uma pessoa gaste dinheiro ou aceite obrigações.</w:t>
      </w:r>
    </w:p>
    <w:bookmarkEnd w:id="22"/>
    <w:bookmarkStart w:id="23" w:name="reconhecimento-da-assistência-de-ia"/>
    <w:p>
      <w:pPr>
        <w:pStyle w:val="Heading2"/>
      </w:pPr>
      <w:r>
        <w:t xml:space="preserve">Reconhecimento da assistência de IA</w:t>
      </w:r>
    </w:p>
    <w:p>
      <w:pPr>
        <w:pStyle w:val="FirstParagraph"/>
      </w:pPr>
      <w:r>
        <w:t xml:space="preserve">Eu concebi, dirigi e assumo a responsabilidade por este guia. Usei o ChatGPT da OpenAI como ferramenta colaborativa para apoiar a pesquisa de recursos públicos, organizar ideias, melhorar ortografia e gramática, fortalecer a clareza, comparar evidências de fontes e preparar o documento. A assistência de IA não substitui fontes oficiais, profissionais qualificados, julgamento humano responsável nem a responsabilidade do leitor de verificar informações importantes.</w:t>
      </w:r>
    </w:p>
    <w:bookmarkEnd w:id="23"/>
    <w:bookmarkStart w:id="24" w:name="limites-éticos-e-práticos"/>
    <w:p>
      <w:pPr>
        <w:pStyle w:val="Heading2"/>
      </w:pPr>
      <w:r>
        <w:t xml:space="preserve">Limites éticos e práticos</w:t>
      </w:r>
    </w:p>
    <w:p>
      <w:pPr>
        <w:numPr>
          <w:ilvl w:val="0"/>
          <w:numId w:val="1001"/>
        </w:numPr>
        <w:pStyle w:val="Compact"/>
      </w:pPr>
      <w:r>
        <w:t xml:space="preserve">Nenhuma avaliação de carreira pode garantir satisfação, emprego, promoção, financiamento, certificação, licenciamento ou renda.</w:t>
      </w:r>
    </w:p>
    <w:p>
      <w:pPr>
        <w:numPr>
          <w:ilvl w:val="0"/>
          <w:numId w:val="1001"/>
        </w:numPr>
        <w:pStyle w:val="Compact"/>
      </w:pPr>
      <w:r>
        <w:t xml:space="preserve">Os requisitos variam conforme empregador, pagador, jurisdição, ambiente de trabalho, contrato e cliente.</w:t>
      </w:r>
    </w:p>
    <w:p>
      <w:pPr>
        <w:numPr>
          <w:ilvl w:val="0"/>
          <w:numId w:val="1001"/>
        </w:numPr>
        <w:pStyle w:val="Compact"/>
      </w:pPr>
      <w:r>
        <w:t xml:space="preserve">Codificação médica, faturamento médico, gestão de informações em saúde, trabalho com registros e funções do ciclo de receita se sobrepõem, mas não são uma única ocupação idêntica.</w:t>
      </w:r>
    </w:p>
    <w:p>
      <w:pPr>
        <w:numPr>
          <w:ilvl w:val="0"/>
          <w:numId w:val="1001"/>
        </w:numPr>
        <w:pStyle w:val="Compact"/>
      </w:pPr>
      <w:r>
        <w:t xml:space="preserve">Este guia oferece educação e orientação geral, não aconselhamento individualizado jurídico, tributário, médico, de codificação e conformidade, privacidade, imigração, finanças ou orientação profissional sujeita a licenciamento.</w:t>
      </w:r>
    </w:p>
    <w:p>
      <w:pPr>
        <w:numPr>
          <w:ilvl w:val="0"/>
          <w:numId w:val="1001"/>
        </w:numPr>
        <w:pStyle w:val="Compact"/>
      </w:pPr>
      <w:r>
        <w:t xml:space="preserve">Não pague uma taxa alta e não reembolsável, não contraia dívidas nem assine um acordo de reembolso porque alguém o pressiona a agir imediatamente.</w:t>
      </w:r>
    </w:p>
    <w:p>
      <w:pPr>
        <w:numPr>
          <w:ilvl w:val="0"/>
          <w:numId w:val="1001"/>
        </w:numPr>
        <w:pStyle w:val="Compact"/>
      </w:pPr>
      <w:r>
        <w:t xml:space="preserve">Verifique fatos de alto impacto em fontes oficiais atuais antes de assumir um compromisso financeiro, educacional, profissional, de codificação, privacidade ou jurídico.</w:t>
      </w:r>
    </w:p>
    <w:bookmarkEnd w:id="24"/>
    <w:bookmarkStart w:id="25" w:name="X4678a2ffd1f60fb3bb0ab5fb953cb70d1e9f691"/>
    <w:p>
      <w:pPr>
        <w:pStyle w:val="Heading2"/>
      </w:pPr>
      <w:r>
        <w:t xml:space="preserve">Como este guia se relaciona com o Guia Fundamental</w:t>
      </w:r>
    </w:p>
    <w:p>
      <w:pPr>
        <w:pStyle w:val="FirstParagraph"/>
      </w:pPr>
      <w:r>
        <w:t xml:space="preserve">O Guia Fundamental explica o processo de decisão do projeto, verificação de instituições de ensino, financiamento educacional, acessibilidade, proteções trabalhistas, IA ética e padrões de publicação. Este manual aplica esses padrões ao faturamento médico, codificação, informação em saúde e trabalhos relacionados ao ciclo de receita.</w:t>
      </w:r>
    </w:p>
    <w:bookmarkEnd w:id="25"/>
    <w:bookmarkEnd w:id="26"/>
    <w:bookmarkStart w:id="28" w:name="Xe00e48c00e301116f95d3cfe4d8312541046f4d"/>
    <w:p>
      <w:pPr>
        <w:pStyle w:val="Heading1"/>
      </w:pPr>
      <w:r>
        <w:t xml:space="preserve">1. Como usar este guia</w:t>
      </w:r>
    </w:p>
    <w:bookmarkStart w:id="27" w:name="regras-para-tomada-de-decisão"/>
    <w:p>
      <w:pPr>
        <w:pStyle w:val="Heading2"/>
      </w:pPr>
      <w:r>
        <w:t xml:space="preserve">Regras para tomada de decisão</w:t>
      </w:r>
    </w:p>
    <w:p>
      <w:pPr>
        <w:numPr>
          <w:ilvl w:val="0"/>
          <w:numId w:val="1002"/>
        </w:numPr>
        <w:pStyle w:val="Compact"/>
      </w:pPr>
      <w:r>
        <w:t xml:space="preserve">Não comece escolhendo uma escola. Comece entendendo o trabalho real e os requisitos dos empregadores no mercado em que pretende trabalhar.</w:t>
      </w:r>
    </w:p>
    <w:p>
      <w:pPr>
        <w:numPr>
          <w:ilvl w:val="0"/>
          <w:numId w:val="1002"/>
        </w:numPr>
        <w:pStyle w:val="Compact"/>
      </w:pPr>
      <w:r>
        <w:t xml:space="preserve">Separe requisitos legais, regras de pagadores ou clientes, preferências comuns dos empregadores, regras de organismos de credenciais e vantagens opcionais.</w:t>
      </w:r>
    </w:p>
    <w:p>
      <w:pPr>
        <w:numPr>
          <w:ilvl w:val="0"/>
          <w:numId w:val="1002"/>
        </w:numPr>
        <w:pStyle w:val="Compact"/>
      </w:pPr>
      <w:r>
        <w:t xml:space="preserve">Analise vagas locais atuais e fontes oficiais antes de confiar em resumos nacionais.</w:t>
      </w:r>
    </w:p>
    <w:p>
      <w:pPr>
        <w:numPr>
          <w:ilvl w:val="0"/>
          <w:numId w:val="1002"/>
        </w:numPr>
        <w:pStyle w:val="Compact"/>
      </w:pPr>
      <w:r>
        <w:t xml:space="preserve">Trate dados salariais nacionais como contexto, não como promessa pessoal de salário.</w:t>
      </w:r>
    </w:p>
    <w:p>
      <w:pPr>
        <w:numPr>
          <w:ilvl w:val="0"/>
          <w:numId w:val="1002"/>
        </w:numPr>
        <w:pStyle w:val="Compact"/>
      </w:pPr>
      <w:r>
        <w:t xml:space="preserve">Verifique se os empregadores que você busca realmente solicitam uma determinada credencial antes de pagar por treinamento ou exame.</w:t>
      </w:r>
    </w:p>
    <w:p>
      <w:pPr>
        <w:numPr>
          <w:ilvl w:val="0"/>
          <w:numId w:val="1002"/>
        </w:numPr>
        <w:pStyle w:val="Compact"/>
      </w:pPr>
      <w:r>
        <w:t xml:space="preserve">Interrompa o processo antes de se endividar, mudar de cidade, comprar treinamento privado caro ou assinar um compromisso de permanência vinculado ao emprego.</w:t>
      </w:r>
    </w:p>
    <w:bookmarkEnd w:id="27"/>
    <w:bookmarkEnd w:id="28"/>
    <w:bookmarkStart w:id="31" w:name="Xcd19b419bf94b2663dc429c3979b46eb1d01a8b"/>
    <w:p>
      <w:pPr>
        <w:pStyle w:val="Heading1"/>
      </w:pPr>
      <w:r>
        <w:t xml:space="preserve">2. O que é o trabalho</w:t>
      </w:r>
    </w:p>
    <w:p>
      <w:pPr>
        <w:pStyle w:val="FirstParagraph"/>
      </w:pPr>
      <w:r>
        <w:t xml:space="preserve">Especialistas em faturamento médico geralmente trabalham com reivindicações, pagamentos, negativas, contas de pacientes, requisitos de pagadores e acompanhamento do ciclo de receita. Especialistas em codificação médica traduzem documentação clínica respaldada em códigos padronizados de classificação ou procedimentos de acordo com as regras de codificação aplicáveis. Funções relacionadas a informação em saúde e prontuários podem incluir codificação, integridade dos registros, qualidade de dados, liberação de informações, conformidade ou responsabilidades de gestão da informação.</w:t>
      </w:r>
    </w:p>
    <w:p>
      <w:pPr>
        <w:pStyle w:val="BodyText"/>
      </w:pPr>
      <w:r>
        <w:t xml:space="preserve">Alguns empregadores combinam atividades de faturamento e codificação. Outros as separam em cargos distintos. Não presuma que um curso chamado “faturamento e codificação médica” corresponda a uma única ocupação padronizada em todos os lugares.</w:t>
      </w:r>
    </w:p>
    <w:bookmarkStart w:id="29" w:name="títulos-comuns-nos-estados-unidos"/>
    <w:p>
      <w:pPr>
        <w:pStyle w:val="Heading2"/>
      </w:pPr>
      <w:r>
        <w:t xml:space="preserve">Títulos comuns nos Estados Unidos</w:t>
      </w:r>
    </w:p>
    <w:p>
      <w:pPr>
        <w:numPr>
          <w:ilvl w:val="0"/>
          <w:numId w:val="1003"/>
        </w:numPr>
        <w:pStyle w:val="Compact"/>
      </w:pPr>
      <w:r>
        <w:t xml:space="preserve">medical records specialist</w:t>
      </w:r>
    </w:p>
    <w:p>
      <w:pPr>
        <w:numPr>
          <w:ilvl w:val="0"/>
          <w:numId w:val="1003"/>
        </w:numPr>
        <w:pStyle w:val="Compact"/>
      </w:pPr>
      <w:r>
        <w:t xml:space="preserve">medical coder</w:t>
      </w:r>
    </w:p>
    <w:p>
      <w:pPr>
        <w:numPr>
          <w:ilvl w:val="0"/>
          <w:numId w:val="1003"/>
        </w:numPr>
        <w:pStyle w:val="Compact"/>
      </w:pPr>
      <w:r>
        <w:t xml:space="preserve">coding specialist</w:t>
      </w:r>
    </w:p>
    <w:p>
      <w:pPr>
        <w:numPr>
          <w:ilvl w:val="0"/>
          <w:numId w:val="1003"/>
        </w:numPr>
        <w:pStyle w:val="Compact"/>
      </w:pPr>
      <w:r>
        <w:t xml:space="preserve">medical biller</w:t>
      </w:r>
    </w:p>
    <w:p>
      <w:pPr>
        <w:numPr>
          <w:ilvl w:val="0"/>
          <w:numId w:val="1003"/>
        </w:numPr>
        <w:pStyle w:val="Compact"/>
      </w:pPr>
      <w:r>
        <w:t xml:space="preserve">billing specialist</w:t>
      </w:r>
    </w:p>
    <w:p>
      <w:pPr>
        <w:numPr>
          <w:ilvl w:val="0"/>
          <w:numId w:val="1003"/>
        </w:numPr>
        <w:pStyle w:val="Compact"/>
      </w:pPr>
      <w:r>
        <w:t xml:space="preserve">claims follow-up specialist</w:t>
      </w:r>
    </w:p>
    <w:p>
      <w:pPr>
        <w:numPr>
          <w:ilvl w:val="0"/>
          <w:numId w:val="1003"/>
        </w:numPr>
        <w:pStyle w:val="Compact"/>
      </w:pPr>
      <w:r>
        <w:t xml:space="preserve">denial management specialist</w:t>
      </w:r>
    </w:p>
    <w:p>
      <w:pPr>
        <w:numPr>
          <w:ilvl w:val="0"/>
          <w:numId w:val="1003"/>
        </w:numPr>
        <w:pStyle w:val="Compact"/>
      </w:pPr>
      <w:r>
        <w:t xml:space="preserve">revenue cycle specialist</w:t>
      </w:r>
    </w:p>
    <w:p>
      <w:pPr>
        <w:numPr>
          <w:ilvl w:val="0"/>
          <w:numId w:val="1003"/>
        </w:numPr>
        <w:pStyle w:val="Compact"/>
      </w:pPr>
      <w:r>
        <w:t xml:space="preserve">patient accounts representative</w:t>
      </w:r>
    </w:p>
    <w:p>
      <w:pPr>
        <w:numPr>
          <w:ilvl w:val="0"/>
          <w:numId w:val="1003"/>
        </w:numPr>
        <w:pStyle w:val="Compact"/>
      </w:pPr>
      <w:r>
        <w:t xml:space="preserve">health information technician ou specialist</w:t>
      </w:r>
    </w:p>
    <w:p>
      <w:pPr>
        <w:pStyle w:val="FirstParagraph"/>
      </w:pPr>
      <w:r>
        <w:t xml:space="preserve">Os títulos oficiais ou de mercado em inglês são mantidos porque são úteis para pesquisar vagas nos Estados Unidos. Analise as atribuições e não dependa apenas do título.</w:t>
      </w:r>
    </w:p>
    <w:bookmarkEnd w:id="29"/>
    <w:bookmarkStart w:id="30" w:name="ambientes-de-trabalho-comuns"/>
    <w:p>
      <w:pPr>
        <w:pStyle w:val="Heading2"/>
      </w:pPr>
      <w:r>
        <w:t xml:space="preserve">Ambientes de trabalho comuns</w:t>
      </w:r>
    </w:p>
    <w:p>
      <w:pPr>
        <w:numPr>
          <w:ilvl w:val="0"/>
          <w:numId w:val="1004"/>
        </w:numPr>
        <w:pStyle w:val="Compact"/>
      </w:pPr>
      <w:r>
        <w:t xml:space="preserve">hospitais e sistemas de saúde;</w:t>
      </w:r>
    </w:p>
    <w:p>
      <w:pPr>
        <w:numPr>
          <w:ilvl w:val="0"/>
          <w:numId w:val="1004"/>
        </w:numPr>
        <w:pStyle w:val="Compact"/>
      </w:pPr>
      <w:r>
        <w:t xml:space="preserve">consultórios médicos;</w:t>
      </w:r>
    </w:p>
    <w:p>
      <w:pPr>
        <w:numPr>
          <w:ilvl w:val="0"/>
          <w:numId w:val="1004"/>
        </w:numPr>
        <w:pStyle w:val="Compact"/>
      </w:pPr>
      <w:r>
        <w:t xml:space="preserve">unidades ambulatoriais;</w:t>
      </w:r>
    </w:p>
    <w:p>
      <w:pPr>
        <w:numPr>
          <w:ilvl w:val="0"/>
          <w:numId w:val="1004"/>
        </w:numPr>
        <w:pStyle w:val="Compact"/>
      </w:pPr>
      <w:r>
        <w:t xml:space="preserve">planos de saúde e organizações pagadoras;</w:t>
      </w:r>
    </w:p>
    <w:p>
      <w:pPr>
        <w:numPr>
          <w:ilvl w:val="0"/>
          <w:numId w:val="1004"/>
        </w:numPr>
        <w:pStyle w:val="Compact"/>
      </w:pPr>
      <w:r>
        <w:t xml:space="preserve">empresas de faturamento e ciclo de receita;</w:t>
      </w:r>
    </w:p>
    <w:p>
      <w:pPr>
        <w:numPr>
          <w:ilvl w:val="0"/>
          <w:numId w:val="1004"/>
        </w:numPr>
        <w:pStyle w:val="Compact"/>
      </w:pPr>
      <w:r>
        <w:t xml:space="preserve">empresas de consultoria e auditoria;</w:t>
      </w:r>
    </w:p>
    <w:p>
      <w:pPr>
        <w:numPr>
          <w:ilvl w:val="0"/>
          <w:numId w:val="1004"/>
        </w:numPr>
        <w:pStyle w:val="Compact"/>
      </w:pPr>
      <w:r>
        <w:t xml:space="preserve">departamentos de informação em saúde; e</w:t>
      </w:r>
    </w:p>
    <w:p>
      <w:pPr>
        <w:numPr>
          <w:ilvl w:val="0"/>
          <w:numId w:val="1004"/>
        </w:numPr>
        <w:pStyle w:val="Compact"/>
      </w:pPr>
      <w:r>
        <w:t xml:space="preserve">operações remotas ou híbridas de ciclo de receita quando permitidas pelo empregador.</w:t>
      </w:r>
    </w:p>
    <w:bookmarkEnd w:id="30"/>
    <w:bookmarkEnd w:id="31"/>
    <w:bookmarkStart w:id="35" w:name="Xa3571bc292240aa15291f248535d889658c46d2"/>
    <w:p>
      <w:pPr>
        <w:pStyle w:val="Heading1"/>
      </w:pPr>
      <w:r>
        <w:t xml:space="preserve">3. Atividades, ferramentas e ciclos de trabalho</w:t>
      </w:r>
    </w:p>
    <w:bookmarkStart w:id="32" w:name="atividades-principais"/>
    <w:p>
      <w:pPr>
        <w:pStyle w:val="Heading2"/>
      </w:pPr>
      <w:r>
        <w:t xml:space="preserve">Atividades principais</w:t>
      </w:r>
    </w:p>
    <w:p>
      <w:pPr>
        <w:pStyle w:val="FirstParagraph"/>
      </w:pPr>
      <w:r>
        <w:t xml:space="preserve">Dependendo do cargo, os profissionais podem:</w:t>
      </w:r>
    </w:p>
    <w:p>
      <w:pPr>
        <w:numPr>
          <w:ilvl w:val="0"/>
          <w:numId w:val="1005"/>
        </w:numPr>
        <w:pStyle w:val="Compact"/>
      </w:pPr>
      <w:r>
        <w:t xml:space="preserve">revisar registros, reivindicações e informações de contas para verificar integridade e precisão;</w:t>
      </w:r>
    </w:p>
    <w:p>
      <w:pPr>
        <w:numPr>
          <w:ilvl w:val="0"/>
          <w:numId w:val="1005"/>
        </w:numPr>
        <w:pStyle w:val="Compact"/>
      </w:pPr>
      <w:r>
        <w:t xml:space="preserve">atribuir ou validar códigos somente quando a documentação e as regras aplicáveis os sustentarem;</w:t>
      </w:r>
    </w:p>
    <w:p>
      <w:pPr>
        <w:numPr>
          <w:ilvl w:val="0"/>
          <w:numId w:val="1005"/>
        </w:numPr>
        <w:pStyle w:val="Compact"/>
      </w:pPr>
      <w:r>
        <w:t xml:space="preserve">verificar informações do paciente, atendimento, prestador e cobertura;</w:t>
      </w:r>
    </w:p>
    <w:p>
      <w:pPr>
        <w:numPr>
          <w:ilvl w:val="0"/>
          <w:numId w:val="1005"/>
        </w:numPr>
        <w:pStyle w:val="Compact"/>
      </w:pPr>
      <w:r>
        <w:t xml:space="preserve">enviar reivindicações por sistemas aprovados;</w:t>
      </w:r>
    </w:p>
    <w:p>
      <w:pPr>
        <w:numPr>
          <w:ilvl w:val="0"/>
          <w:numId w:val="1005"/>
        </w:numPr>
        <w:pStyle w:val="Compact"/>
      </w:pPr>
      <w:r>
        <w:t xml:space="preserve">registrar pagamentos e ajustes;</w:t>
      </w:r>
    </w:p>
    <w:p>
      <w:pPr>
        <w:numPr>
          <w:ilvl w:val="0"/>
          <w:numId w:val="1005"/>
        </w:numPr>
        <w:pStyle w:val="Compact"/>
      </w:pPr>
      <w:r>
        <w:t xml:space="preserve">pesquisar rejeições, negativas, pagamentos insuficientes e solicitações de informação;</w:t>
      </w:r>
    </w:p>
    <w:p>
      <w:pPr>
        <w:numPr>
          <w:ilvl w:val="0"/>
          <w:numId w:val="1005"/>
        </w:numPr>
        <w:pStyle w:val="Compact"/>
      </w:pPr>
      <w:r>
        <w:t xml:space="preserve">seguir procedimentos específicos do pagador para reivindicações, autorizações e recursos;</w:t>
      </w:r>
    </w:p>
    <w:p>
      <w:pPr>
        <w:numPr>
          <w:ilvl w:val="0"/>
          <w:numId w:val="1005"/>
        </w:numPr>
        <w:pStyle w:val="Compact"/>
      </w:pPr>
      <w:r>
        <w:t xml:space="preserve">proteger informações confidenciais e informações de saúde protegidas;</w:t>
      </w:r>
    </w:p>
    <w:p>
      <w:pPr>
        <w:numPr>
          <w:ilvl w:val="0"/>
          <w:numId w:val="1005"/>
        </w:numPr>
        <w:pStyle w:val="Compact"/>
      </w:pPr>
      <w:r>
        <w:t xml:space="preserve">documentar correções, ações de acompanhamento e decisões de escalonamento;</w:t>
      </w:r>
    </w:p>
    <w:p>
      <w:pPr>
        <w:numPr>
          <w:ilvl w:val="0"/>
          <w:numId w:val="1005"/>
        </w:numPr>
        <w:pStyle w:val="Compact"/>
      </w:pPr>
      <w:r>
        <w:t xml:space="preserve">identificar problemas recorrentes de negativas, documentação ou processos; e</w:t>
      </w:r>
    </w:p>
    <w:p>
      <w:pPr>
        <w:numPr>
          <w:ilvl w:val="0"/>
          <w:numId w:val="1005"/>
        </w:numPr>
        <w:pStyle w:val="Compact"/>
      </w:pPr>
      <w:r>
        <w:t xml:space="preserve">encaminhar suspeitas de fraude, codificação não sustentada, questões de privacidade ou problemas de conformidade não resolvidos pelos canais aprovados.</w:t>
      </w:r>
    </w:p>
    <w:bookmarkEnd w:id="32"/>
    <w:bookmarkStart w:id="33" w:name="X244f578f41fed7d6b8790eb4770a8a8823e9887"/>
    <w:p>
      <w:pPr>
        <w:pStyle w:val="Heading2"/>
      </w:pPr>
      <w:r>
        <w:t xml:space="preserve">Os sistemas de codificação não são intercambiáveis</w:t>
      </w:r>
    </w:p>
    <w:p>
      <w:pPr>
        <w:pStyle w:val="FirstParagraph"/>
      </w:pPr>
      <w:r>
        <w:t xml:space="preserve">No trabalho nos Estados Unidos, sistemas frequentemente encontrados incluem: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ICD-10-CM</w:t>
      </w:r>
      <w:r>
        <w:t xml:space="preserve"> </w:t>
      </w:r>
      <w:r>
        <w:t xml:space="preserve">para codificação de diagnósticos;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ICD-10-PCS</w:t>
      </w:r>
      <w:r>
        <w:t xml:space="preserve"> </w:t>
      </w:r>
      <w:r>
        <w:t xml:space="preserve">para codificação de procedimentos de internação nos ambientes aplicáveis;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CPT</w:t>
      </w:r>
      <w:r>
        <w:t xml:space="preserve">, mantido pela American Medical Association, para muitos procedimentos e serviços médicos e ambulatoriais; 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HCPCS Level II</w:t>
      </w:r>
      <w:r>
        <w:t xml:space="preserve"> </w:t>
      </w:r>
      <w:r>
        <w:t xml:space="preserve">para muitos produtos, suprimentos e serviços não representados no CPT.</w:t>
      </w:r>
    </w:p>
    <w:p>
      <w:pPr>
        <w:pStyle w:val="FirstParagraph"/>
      </w:pPr>
      <w:r>
        <w:t xml:space="preserve">Conjuntos de códigos e orientações mudam. A CMS publicou arquivos ICD-10 com vigência em 1º de outubro de 2026, portanto estudantes e profissionais devem verificar os materiais correspondentes à data de vigência correta em vez de tratar um único livro de códigos como permanente.</w:t>
      </w:r>
    </w:p>
    <w:bookmarkEnd w:id="33"/>
    <w:bookmarkStart w:id="34" w:name="um-ciclo-de-trabalho-realista"/>
    <w:p>
      <w:pPr>
        <w:pStyle w:val="Heading2"/>
      </w:pPr>
      <w:r>
        <w:t xml:space="preserve">Um ciclo de trabalho realista</w:t>
      </w:r>
    </w:p>
    <w:p>
      <w:pPr>
        <w:numPr>
          <w:ilvl w:val="0"/>
          <w:numId w:val="1007"/>
        </w:numPr>
        <w:pStyle w:val="Compact"/>
      </w:pPr>
      <w:r>
        <w:t xml:space="preserve">Verifique as informações do paciente, atendimento, prestador, cobertura e autorização necessárias para a tarefa.</w:t>
      </w:r>
    </w:p>
    <w:p>
      <w:pPr>
        <w:numPr>
          <w:ilvl w:val="0"/>
          <w:numId w:val="1007"/>
        </w:numPr>
        <w:pStyle w:val="Compact"/>
      </w:pPr>
      <w:r>
        <w:t xml:space="preserve">Revise a documentação e as orientações aplicáveis de codificação, faturamento ou do pagador.</w:t>
      </w:r>
    </w:p>
    <w:p>
      <w:pPr>
        <w:numPr>
          <w:ilvl w:val="0"/>
          <w:numId w:val="1007"/>
        </w:numPr>
        <w:pStyle w:val="Compact"/>
      </w:pPr>
      <w:r>
        <w:t xml:space="preserve">Atribua, valide ou transmita apenas informações sustentadas pela documentação e pelo fluxo de trabalho autorizado.</w:t>
      </w:r>
    </w:p>
    <w:p>
      <w:pPr>
        <w:numPr>
          <w:ilvl w:val="0"/>
          <w:numId w:val="1007"/>
        </w:numPr>
        <w:pStyle w:val="Compact"/>
      </w:pPr>
      <w:r>
        <w:t xml:space="preserve">Realize validações e controles de qualidade.</w:t>
      </w:r>
    </w:p>
    <w:p>
      <w:pPr>
        <w:numPr>
          <w:ilvl w:val="0"/>
          <w:numId w:val="1007"/>
        </w:numPr>
        <w:pStyle w:val="Compact"/>
      </w:pPr>
      <w:r>
        <w:t xml:space="preserve">Envie ou libere a reivindicação por sistemas aprovados quando estiver autorizado.</w:t>
      </w:r>
    </w:p>
    <w:p>
      <w:pPr>
        <w:numPr>
          <w:ilvl w:val="0"/>
          <w:numId w:val="1007"/>
        </w:numPr>
        <w:pStyle w:val="Compact"/>
      </w:pPr>
      <w:r>
        <w:t xml:space="preserve">Pesquise rejeições, negativas, pagamentos insuficientes ou solicitações de informação.</w:t>
      </w:r>
    </w:p>
    <w:p>
      <w:pPr>
        <w:numPr>
          <w:ilvl w:val="0"/>
          <w:numId w:val="1007"/>
        </w:numPr>
        <w:pStyle w:val="Compact"/>
      </w:pPr>
      <w:r>
        <w:t xml:space="preserve">Documente a resolução e encaminhe questões de documentação clínica, conformidade, fraude ou privacidade quando necessário.</w:t>
      </w:r>
    </w:p>
    <w:p>
      <w:pPr>
        <w:pStyle w:val="FirstParagraph"/>
      </w:pPr>
      <w:r>
        <w:t xml:space="preserve">A sequência é ilustrativa. Os procedimentos reais devem seguir as políticas do empregador, regras do pagador ou cliente, legislação aplicável, controles do sistema, supervisão e orientações de codificação atuais.</w:t>
      </w:r>
    </w:p>
    <w:bookmarkEnd w:id="34"/>
    <w:bookmarkEnd w:id="35"/>
    <w:bookmarkStart w:id="38" w:name="Xed1a1920c30082dd168dd0b1ed5cac15feed7ef"/>
    <w:p>
      <w:pPr>
        <w:pStyle w:val="Heading1"/>
      </w:pPr>
      <w:r>
        <w:t xml:space="preserve">4. Compatibilidade, condições e segurança</w:t>
      </w:r>
    </w:p>
    <w:bookmarkStart w:id="36" w:name="perguntas-sobre-adequação-à-carreira"/>
    <w:p>
      <w:pPr>
        <w:pStyle w:val="Heading2"/>
      </w:pPr>
      <w:r>
        <w:t xml:space="preserve">Perguntas sobre adequação à carreira</w:t>
      </w:r>
    </w:p>
    <w:p>
      <w:pPr>
        <w:numPr>
          <w:ilvl w:val="0"/>
          <w:numId w:val="1008"/>
        </w:numPr>
        <w:pStyle w:val="Compact"/>
      </w:pPr>
      <w:r>
        <w:t xml:space="preserve">Tarefas repetitivas e detalhistas combinam com sua forma de atenção?</w:t>
      </w:r>
    </w:p>
    <w:p>
      <w:pPr>
        <w:numPr>
          <w:ilvl w:val="0"/>
          <w:numId w:val="1008"/>
        </w:numPr>
        <w:pStyle w:val="Compact"/>
      </w:pPr>
      <w:r>
        <w:t xml:space="preserve">Você consegue trabalhar com precisão sob metas de produtividade sem sacrificar conformidade ou qualidade da documentação?</w:t>
      </w:r>
    </w:p>
    <w:p>
      <w:pPr>
        <w:numPr>
          <w:ilvl w:val="0"/>
          <w:numId w:val="1008"/>
        </w:numPr>
        <w:pStyle w:val="Compact"/>
      </w:pPr>
      <w:r>
        <w:t xml:space="preserve">Você se sente confortável aprendendo conjuntos de códigos, regras de pagadores, terminologia e software que mudam?</w:t>
      </w:r>
    </w:p>
    <w:p>
      <w:pPr>
        <w:numPr>
          <w:ilvl w:val="0"/>
          <w:numId w:val="1008"/>
        </w:numPr>
        <w:pStyle w:val="Compact"/>
      </w:pPr>
      <w:r>
        <w:t xml:space="preserve">Você consegue tolerar bastante tempo diante de telas e trabalho predominantemente sentado?</w:t>
      </w:r>
    </w:p>
    <w:p>
      <w:pPr>
        <w:numPr>
          <w:ilvl w:val="0"/>
          <w:numId w:val="1008"/>
        </w:numPr>
        <w:pStyle w:val="Compact"/>
      </w:pPr>
      <w:r>
        <w:t xml:space="preserve">Você consegue lidar com interrupções, negativas, disputas de contas ou métricas de desempenho sem cortar caminhos?</w:t>
      </w:r>
    </w:p>
    <w:p>
      <w:pPr>
        <w:numPr>
          <w:ilvl w:val="0"/>
          <w:numId w:val="1008"/>
        </w:numPr>
        <w:pStyle w:val="Compact"/>
      </w:pPr>
      <w:r>
        <w:t xml:space="preserve">Horário, transporte, responsabilidades de cuidado e requisitos do trabalho remoto são compatíveis com sua realidade familiar?</w:t>
      </w:r>
    </w:p>
    <w:p>
      <w:pPr>
        <w:numPr>
          <w:ilvl w:val="0"/>
          <w:numId w:val="1008"/>
        </w:numPr>
        <w:pStyle w:val="Compact"/>
      </w:pPr>
      <w:r>
        <w:t xml:space="preserve">Quais adaptações, tecnologias assistivas, apoio linguístico ou horários previsíveis tornariam esse caminho sustentável?</w:t>
      </w:r>
    </w:p>
    <w:p>
      <w:pPr>
        <w:numPr>
          <w:ilvl w:val="0"/>
          <w:numId w:val="1008"/>
        </w:numPr>
        <w:pStyle w:val="Compact"/>
      </w:pPr>
      <w:r>
        <w:t xml:space="preserve">Você consegue ingressar na área sem dívida insustentável ou um compromisso injusto vinculado ao emprego?</w:t>
      </w:r>
    </w:p>
    <w:bookmarkEnd w:id="36"/>
    <w:bookmarkStart w:id="37" w:name="quando-considerar-uma-pausa"/>
    <w:p>
      <w:pPr>
        <w:pStyle w:val="Heading2"/>
      </w:pPr>
      <w:r>
        <w:t xml:space="preserve">Quando considerar uma pausa</w:t>
      </w:r>
    </w:p>
    <w:p>
      <w:pPr>
        <w:pStyle w:val="FirstParagraph"/>
      </w:pPr>
      <w:r>
        <w:t xml:space="preserve">Considere interromper ou mudar de direção quando:</w:t>
      </w:r>
    </w:p>
    <w:p>
      <w:pPr>
        <w:numPr>
          <w:ilvl w:val="0"/>
          <w:numId w:val="1009"/>
        </w:numPr>
        <w:pStyle w:val="Compact"/>
      </w:pPr>
      <w:r>
        <w:t xml:space="preserve">as atividades reais do empregador não estiverem claras;</w:t>
      </w:r>
    </w:p>
    <w:p>
      <w:pPr>
        <w:numPr>
          <w:ilvl w:val="0"/>
          <w:numId w:val="1009"/>
        </w:numPr>
        <w:pStyle w:val="Compact"/>
      </w:pPr>
      <w:r>
        <w:t xml:space="preserve">uma instituição se recusar a fornecer por escrito custos, resultados, acreditação, regras de reembolso ou elegibilidade para exames;</w:t>
      </w:r>
    </w:p>
    <w:p>
      <w:pPr>
        <w:numPr>
          <w:ilvl w:val="0"/>
          <w:numId w:val="1009"/>
        </w:numPr>
        <w:pStyle w:val="Compact"/>
      </w:pPr>
      <w:r>
        <w:t xml:space="preserve">um programa afirmar sem evidência que uma única credencial é legalmente obrigatória em todos os lugares;</w:t>
      </w:r>
    </w:p>
    <w:p>
      <w:pPr>
        <w:numPr>
          <w:ilvl w:val="0"/>
          <w:numId w:val="1009"/>
        </w:numPr>
        <w:pStyle w:val="Compact"/>
      </w:pPr>
      <w:r>
        <w:t xml:space="preserve">um cargo esperar que você altere documentação, codifique sem suporte ou ignore regras do pagador ou de conformidade;</w:t>
      </w:r>
    </w:p>
    <w:p>
      <w:pPr>
        <w:numPr>
          <w:ilvl w:val="0"/>
          <w:numId w:val="1009"/>
        </w:numPr>
        <w:pStyle w:val="Compact"/>
      </w:pPr>
      <w:r>
        <w:t xml:space="preserve">houver um conflito não resolvido de privacidade, acessibilidade, saúde, transporte ou responsabilidades de cuidado; ou</w:t>
      </w:r>
    </w:p>
    <w:p>
      <w:pPr>
        <w:numPr>
          <w:ilvl w:val="0"/>
          <w:numId w:val="1009"/>
        </w:numPr>
        <w:pStyle w:val="Compact"/>
      </w:pPr>
      <w:r>
        <w:t xml:space="preserve">o custo do caminho depender de promessas salariais especulativas.</w:t>
      </w:r>
    </w:p>
    <w:bookmarkEnd w:id="37"/>
    <w:bookmarkEnd w:id="38"/>
    <w:bookmarkStart w:id="39" w:name="X07092f3b592f8d11e93ffa0d2995de7543c7646"/>
    <w:p>
      <w:pPr>
        <w:pStyle w:val="Heading1"/>
      </w:pPr>
      <w:r>
        <w:t xml:space="preserve">5. Ética, limites e escalonamento</w:t>
      </w:r>
    </w:p>
    <w:p>
      <w:pPr>
        <w:numPr>
          <w:ilvl w:val="0"/>
          <w:numId w:val="1010"/>
        </w:numPr>
        <w:pStyle w:val="Compact"/>
      </w:pPr>
      <w:r>
        <w:t xml:space="preserve">Não diagnostique pacientes, a menos que você possua separadamente as qualificações e a autorização correspondentes.</w:t>
      </w:r>
    </w:p>
    <w:p>
      <w:pPr>
        <w:numPr>
          <w:ilvl w:val="0"/>
          <w:numId w:val="1010"/>
        </w:numPr>
        <w:pStyle w:val="Compact"/>
      </w:pPr>
      <w:r>
        <w:t xml:space="preserve">Não altere documentação clínica apenas para sustentar reembolso.</w:t>
      </w:r>
    </w:p>
    <w:p>
      <w:pPr>
        <w:numPr>
          <w:ilvl w:val="0"/>
          <w:numId w:val="1010"/>
        </w:numPr>
        <w:pStyle w:val="Compact"/>
      </w:pPr>
      <w:r>
        <w:t xml:space="preserve">Não selecione um código somente porque ele paga mais quando a documentação ou as regras de codificação não o sustentarem.</w:t>
      </w:r>
    </w:p>
    <w:p>
      <w:pPr>
        <w:numPr>
          <w:ilvl w:val="0"/>
          <w:numId w:val="1010"/>
        </w:numPr>
        <w:pStyle w:val="Compact"/>
      </w:pPr>
      <w:r>
        <w:t xml:space="preserve">Não esconda negativas, achados de auditoria, faturamento duplicado, suspeitas de fraude ou erros materiais de codificação.</w:t>
      </w:r>
    </w:p>
    <w:p>
      <w:pPr>
        <w:numPr>
          <w:ilvl w:val="0"/>
          <w:numId w:val="1010"/>
        </w:numPr>
        <w:pStyle w:val="Compact"/>
      </w:pPr>
      <w:r>
        <w:t xml:space="preserve">Não use informações reais de pacientes em portfólio público nem em ferramenta pública de IA.</w:t>
      </w:r>
    </w:p>
    <w:p>
      <w:pPr>
        <w:numPr>
          <w:ilvl w:val="0"/>
          <w:numId w:val="1010"/>
        </w:numPr>
        <w:pStyle w:val="Compact"/>
      </w:pPr>
      <w:r>
        <w:t xml:space="preserve">Não apresente um certificado de conclusão de curso como certificação profissional quando ele não for uma.</w:t>
      </w:r>
    </w:p>
    <w:p>
      <w:pPr>
        <w:numPr>
          <w:ilvl w:val="0"/>
          <w:numId w:val="1010"/>
        </w:numPr>
        <w:pStyle w:val="Compact"/>
      </w:pPr>
      <w:r>
        <w:t xml:space="preserve">Interrompa e encaminhe a questão quando faltar evidência, a autoridade não estiver clara, for necessária uma decisão regulada ou a conformidade puder ser comprometida.</w:t>
      </w:r>
    </w:p>
    <w:p>
      <w:pPr>
        <w:numPr>
          <w:ilvl w:val="0"/>
          <w:numId w:val="1010"/>
        </w:numPr>
        <w:pStyle w:val="Compact"/>
      </w:pPr>
      <w:r>
        <w:t xml:space="preserve">Documente fatos, ações, aprovações e riscos não resolvidos sem exagero ou retaliação.</w:t>
      </w:r>
    </w:p>
    <w:p>
      <w:pPr>
        <w:numPr>
          <w:ilvl w:val="0"/>
          <w:numId w:val="1010"/>
        </w:numPr>
        <w:pStyle w:val="Compact"/>
      </w:pPr>
      <w:r>
        <w:t xml:space="preserve">Não permita que métricas de produtividade prevaleçam sobre precisão, privacidade, segurança, tratamento legal ou codificação ética.</w:t>
      </w:r>
    </w:p>
    <w:bookmarkEnd w:id="39"/>
    <w:bookmarkStart w:id="45" w:name="X4162579ca9f70cee3a21d094b66d8915ce03c82"/>
    <w:p>
      <w:pPr>
        <w:pStyle w:val="Heading1"/>
      </w:pPr>
      <w:r>
        <w:t xml:space="preserve">6. Remuneração, benefícios e perspectivas</w:t>
      </w:r>
    </w:p>
    <w:bookmarkStart w:id="41" w:name="X7c9e3656663c74a3c49293ab9289437dbc8e33e"/>
    <w:p>
      <w:pPr>
        <w:pStyle w:val="Heading2"/>
      </w:pPr>
      <w:r>
        <w:t xml:space="preserve">Estados Unidos — referência ocupacional oficial</w:t>
      </w:r>
    </w:p>
    <w:p>
      <w:pPr>
        <w:pStyle w:val="FirstParagraph"/>
      </w:pPr>
      <w:r>
        <w:t xml:space="preserve">A categoria</w:t>
      </w:r>
      <w:r>
        <w:t xml:space="preserve"> </w:t>
      </w:r>
      <w:r>
        <w:rPr>
          <w:bCs/>
          <w:b/>
        </w:rPr>
        <w:t xml:space="preserve">Medical Records Specialists (SOC 29-2072)</w:t>
      </w:r>
      <w:r>
        <w:t xml:space="preserve"> </w:t>
      </w:r>
      <w:r>
        <w:t xml:space="preserve">do U.S. Bureau of Labor Statistics é uma referência ocupacional oficial útil para trabalhos intensivos em codificação e registros de saúde, mas é mais ampla do que o título combinado exato “Medical Billing and Coding Specialist”. Não deve ser apresentada como uma série salarial exata para esse título.</w:t>
      </w:r>
    </w:p>
    <w:p>
      <w:pPr>
        <w:pStyle w:val="BodyText"/>
      </w:pPr>
      <w:r>
        <w:t xml:space="preserve">O BLS informa:</w:t>
      </w:r>
    </w:p>
    <w:p>
      <w:pPr>
        <w:numPr>
          <w:ilvl w:val="0"/>
          <w:numId w:val="1011"/>
        </w:numPr>
        <w:pStyle w:val="Compact"/>
      </w:pPr>
      <w:r>
        <w:t xml:space="preserve">salário anual mediano em maio de 2024:</w:t>
      </w:r>
      <w:r>
        <w:t xml:space="preserve"> </w:t>
      </w:r>
      <w:r>
        <w:rPr>
          <w:bCs/>
          <w:b/>
        </w:rPr>
        <w:t xml:space="preserve">US$50.250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aproximadamente</w:t>
      </w:r>
      <w:r>
        <w:t xml:space="preserve"> </w:t>
      </w:r>
      <w:r>
        <w:rPr>
          <w:bCs/>
          <w:b/>
        </w:rPr>
        <w:t xml:space="preserve">194.800</w:t>
      </w:r>
      <w:r>
        <w:t xml:space="preserve"> </w:t>
      </w:r>
      <w:r>
        <w:t xml:space="preserve">empregos em 2024;</w:t>
      </w:r>
    </w:p>
    <w:p>
      <w:pPr>
        <w:numPr>
          <w:ilvl w:val="0"/>
          <w:numId w:val="1011"/>
        </w:numPr>
        <w:pStyle w:val="Compact"/>
      </w:pPr>
      <w:r>
        <w:t xml:space="preserve">crescimento projetado do emprego de</w:t>
      </w:r>
      <w:r>
        <w:t xml:space="preserve"> </w:t>
      </w:r>
      <w:r>
        <w:rPr>
          <w:bCs/>
          <w:b/>
        </w:rPr>
        <w:t xml:space="preserve">7% entre 2024 e 2034</w:t>
      </w:r>
      <w:r>
        <w:t xml:space="preserve">; e</w:t>
      </w:r>
    </w:p>
    <w:p>
      <w:pPr>
        <w:numPr>
          <w:ilvl w:val="0"/>
          <w:numId w:val="1011"/>
        </w:numPr>
        <w:pStyle w:val="Compact"/>
      </w:pPr>
      <w:r>
        <w:t xml:space="preserve">aproximadamente</w:t>
      </w:r>
      <w:r>
        <w:t xml:space="preserve"> </w:t>
      </w:r>
      <w:r>
        <w:rPr>
          <w:bCs/>
          <w:b/>
        </w:rPr>
        <w:t xml:space="preserve">14.200 vagas por ano</w:t>
      </w:r>
      <w:r>
        <w:t xml:space="preserve"> </w:t>
      </w:r>
      <w:r>
        <w:t xml:space="preserve">em média ao longo da década.</w:t>
      </w:r>
    </w:p>
    <w:p>
      <w:pPr>
        <w:pStyle w:val="FirstParagraph"/>
      </w:pPr>
      <w:r>
        <w:t xml:space="preserve">O BLS também observa que soluções de codificação impulsionadas por IA podem afetar a demanda. Isso aumenta a importância da qualidade da documentação, tratamento de exceções, conformidade, consciência de auditoria, compreensão de negativas e ciclo de receita e uso responsável da automação.</w:t>
      </w:r>
    </w:p>
    <w:p>
      <w:pPr>
        <w:pStyle w:val="BodyText"/>
      </w:pPr>
      <w:r>
        <w:t xml:space="preserve">Fonte:</w:t>
      </w:r>
      <w:r>
        <w:t xml:space="preserve"> </w:t>
      </w:r>
      <w:hyperlink r:id="rId40">
        <w:r>
          <w:rPr>
            <w:rStyle w:val="Hyperlink"/>
          </w:rPr>
          <w:t xml:space="preserve">https://www.bls.gov/ooh/healthcare/medical-records-and-health-information-technicians.htm</w:t>
        </w:r>
      </w:hyperlink>
    </w:p>
    <w:bookmarkEnd w:id="41"/>
    <w:bookmarkStart w:id="43" w:name="X40671b3d6f0b969c6f31667c8e4f4df2a57eec6"/>
    <w:p>
      <w:pPr>
        <w:pStyle w:val="Heading2"/>
      </w:pPr>
      <w:r>
        <w:t xml:space="preserve">Estados Unidos — estimativa de mercado não governamental para o título exato</w:t>
      </w:r>
    </w:p>
    <w:p>
      <w:pPr>
        <w:pStyle w:val="FirstParagraph"/>
      </w:pPr>
      <w:r>
        <w:t xml:space="preserve">O ZipRecruiter informou</w:t>
      </w:r>
      <w:r>
        <w:t xml:space="preserve"> </w:t>
      </w:r>
      <w:r>
        <w:rPr>
          <w:bCs/>
          <w:b/>
        </w:rPr>
        <w:t xml:space="preserve">US</w:t>
      </w:r>
      <m:oMath>
        <m:r>
          <m:t>45.672</m:t>
        </m:r>
        <m:r>
          <m:t>p</m:t>
        </m:r>
        <m:r>
          <m:t>o</m:t>
        </m:r>
        <m:r>
          <m:t>r</m:t>
        </m:r>
        <m:r>
          <m:t>a</m:t>
        </m:r>
        <m:r>
          <m:t>n</m:t>
        </m:r>
        <m:r>
          <m:t>o</m:t>
        </m:r>
        <m:r>
          <m:rPr>
            <m:sty m:val="p"/>
          </m:rPr>
          <m:t>(</m:t>
        </m:r>
        <m:r>
          <m:t>U</m:t>
        </m:r>
        <m:r>
          <m:t>S</m:t>
        </m:r>
      </m:oMath>
      <w:r>
        <w:rPr>
          <w:bCs/>
          <w:b/>
        </w:rPr>
        <w:t xml:space="preserve">21,96 por hora)</w:t>
      </w:r>
      <w:r>
        <w:t xml:space="preserve"> </w:t>
      </w:r>
      <w:r>
        <w:t xml:space="preserve">para “Medical Billing Coding Specialist” em</w:t>
      </w:r>
      <w:r>
        <w:t xml:space="preserve"> </w:t>
      </w:r>
      <w:r>
        <w:rPr>
          <w:bCs/>
          <w:b/>
        </w:rPr>
        <w:t xml:space="preserve">20 de julho de 2026</w:t>
      </w:r>
      <w:r>
        <w:t xml:space="preserve">. Trata-se de uma estimativa de mercado não governamental derivada de anúncios de emprego e dados de terceiros, não de salário garantido nem substituto dos dados ocupacionais do BLS.</w:t>
      </w:r>
    </w:p>
    <w:p>
      <w:pPr>
        <w:pStyle w:val="BodyText"/>
      </w:pPr>
      <w:r>
        <w:t xml:space="preserve">Fonte:</w:t>
      </w:r>
      <w:r>
        <w:t xml:space="preserve"> </w:t>
      </w:r>
      <w:hyperlink r:id="rId42">
        <w:r>
          <w:rPr>
            <w:rStyle w:val="Hyperlink"/>
          </w:rPr>
          <w:t xml:space="preserve">https://www.ziprecruiter.com/Salaries/Medical-Billing-Coding-Specialist-Salary</w:t>
        </w:r>
      </w:hyperlink>
    </w:p>
    <w:bookmarkEnd w:id="43"/>
    <w:bookmarkStart w:id="44" w:name="pesquisa-salarial-local"/>
    <w:p>
      <w:pPr>
        <w:pStyle w:val="Heading2"/>
      </w:pPr>
      <w:r>
        <w:t xml:space="preserve">Pesquisa salarial local</w:t>
      </w:r>
    </w:p>
    <w:p>
      <w:pPr>
        <w:pStyle w:val="FirstParagraph"/>
      </w:pPr>
      <w:r>
        <w:t xml:space="preserve">Para qualquer país ou região:</w:t>
      </w:r>
    </w:p>
    <w:p>
      <w:pPr>
        <w:numPr>
          <w:ilvl w:val="0"/>
          <w:numId w:val="1012"/>
        </w:numPr>
        <w:pStyle w:val="Compact"/>
      </w:pPr>
      <w:r>
        <w:t xml:space="preserve">compare remuneração por hora e anual para o título e as atividades exatas;</w:t>
      </w:r>
    </w:p>
    <w:p>
      <w:pPr>
        <w:numPr>
          <w:ilvl w:val="0"/>
          <w:numId w:val="1012"/>
        </w:numPr>
        <w:pStyle w:val="Compact"/>
      </w:pPr>
      <w:r>
        <w:t xml:space="preserve">registre data do anúncio, localização, horário, situação contratual, experiência e requisitos de credenciais;</w:t>
      </w:r>
    </w:p>
    <w:p>
      <w:pPr>
        <w:numPr>
          <w:ilvl w:val="0"/>
          <w:numId w:val="1012"/>
        </w:numPr>
        <w:pStyle w:val="Compact"/>
      </w:pPr>
      <w:r>
        <w:t xml:space="preserve">separe salário-base de horas extras, bônus, adicionais, comissões e valores de contrato;</w:t>
      </w:r>
    </w:p>
    <w:p>
      <w:pPr>
        <w:numPr>
          <w:ilvl w:val="0"/>
          <w:numId w:val="1012"/>
        </w:numPr>
        <w:pStyle w:val="Compact"/>
      </w:pPr>
      <w:r>
        <w:t xml:space="preserve">estime benefícios e custos obrigatórios não remunerados; e</w:t>
      </w:r>
    </w:p>
    <w:p>
      <w:pPr>
        <w:numPr>
          <w:ilvl w:val="0"/>
          <w:numId w:val="1012"/>
        </w:numPr>
        <w:pStyle w:val="Compact"/>
      </w:pPr>
      <w:r>
        <w:t xml:space="preserve">não use o salário de uma ocupação mais ampla ou mais bem paga como se fosse garantido para um cargo inicial de faturamento ou codificação.</w:t>
      </w:r>
    </w:p>
    <w:bookmarkEnd w:id="44"/>
    <w:bookmarkEnd w:id="45"/>
    <w:bookmarkStart w:id="55" w:name="X2a6c2b4b79ffb7084493610b15a7495eb38d9f4"/>
    <w:p>
      <w:pPr>
        <w:pStyle w:val="Heading1"/>
      </w:pPr>
      <w:r>
        <w:t xml:space="preserve">7. Educação e credenciais</w:t>
      </w:r>
    </w:p>
    <w:bookmarkStart w:id="52" w:name="estados-unidos"/>
    <w:p>
      <w:pPr>
        <w:pStyle w:val="Heading2"/>
      </w:pPr>
      <w:r>
        <w:t xml:space="preserve">Estados Unidos</w:t>
      </w:r>
    </w:p>
    <w:p>
      <w:pPr>
        <w:pStyle w:val="FirstParagraph"/>
      </w:pPr>
      <w:r>
        <w:t xml:space="preserve">O BLS informa que medical records specialists normalmente precisam de uma formação pós-secundária que não seja um diploma universitário, embora alguns profissionais se qualifiquem com ensino médio e outros precisem de associate degree ou bachelor’s degree. Alguns empregadores podem preferir ou exigir certificação.</w:t>
      </w:r>
    </w:p>
    <w:p>
      <w:pPr>
        <w:pStyle w:val="BodyText"/>
      </w:pPr>
      <w:r>
        <w:t xml:space="preserve">Isso não significa que uma única credencial seja legalmente obrigatória em todo o país.</w:t>
      </w:r>
    </w:p>
    <w:bookmarkStart w:id="49" w:name="exemplos-da-ahima"/>
    <w:p>
      <w:pPr>
        <w:pStyle w:val="Heading3"/>
      </w:pPr>
      <w:r>
        <w:t xml:space="preserve">Exemplos da AHIMA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CCA — Certified Coding Associate:</w:t>
      </w:r>
      <w:r>
        <w:t xml:space="preserve"> </w:t>
      </w:r>
      <w:r>
        <w:t xml:space="preserve">a AHIMA informa que é necessário diploma de ensino médio para elegibilidade ao exame; experiência em codificação ou determinado treinamento é recomendada, mas não constitui requisito universal.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CCS — Certified Coding Specialist:</w:t>
      </w:r>
      <w:r>
        <w:t xml:space="preserve"> </w:t>
      </w:r>
      <w:r>
        <w:t xml:space="preserve">voltada a profissionais experientes em codificação, com caminhos de preparação que envolvem cursos avançados e/ou experiência.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CCS-P — Certified Coding Specialist–Physician-based:</w:t>
      </w:r>
      <w:r>
        <w:t xml:space="preserve"> </w:t>
      </w:r>
      <w:r>
        <w:t xml:space="preserve">focada em codificação de serviços médicos e ambulatoriais.</w:t>
      </w:r>
    </w:p>
    <w:p>
      <w:pPr>
        <w:pStyle w:val="FirstParagraph"/>
      </w:pPr>
      <w:r>
        <w:t xml:space="preserve">A AHIMA exige que candidatos que façam exames a partir de 1º de maio de 2026 utilizem a lista aplicável de livros de códigos de 2026 nos exames que exigem esses livros.</w:t>
      </w:r>
    </w:p>
    <w:p>
      <w:pPr>
        <w:pStyle w:val="BodyText"/>
      </w:pPr>
      <w:r>
        <w:t xml:space="preserve">Fontes:</w:t>
      </w:r>
    </w:p>
    <w:p>
      <w:pPr>
        <w:numPr>
          <w:ilvl w:val="0"/>
          <w:numId w:val="1014"/>
        </w:numPr>
        <w:pStyle w:val="Compact"/>
      </w:pPr>
      <w:hyperlink r:id="rId46">
        <w:r>
          <w:rPr>
            <w:rStyle w:val="Hyperlink"/>
          </w:rPr>
          <w:t xml:space="preserve">https://www.ahima.org/certification-careers/certifications-overview/cca/</w:t>
        </w:r>
      </w:hyperlink>
    </w:p>
    <w:p>
      <w:pPr>
        <w:numPr>
          <w:ilvl w:val="0"/>
          <w:numId w:val="1014"/>
        </w:numPr>
        <w:pStyle w:val="Compact"/>
      </w:pPr>
      <w:hyperlink r:id="rId47">
        <w:r>
          <w:rPr>
            <w:rStyle w:val="Hyperlink"/>
          </w:rPr>
          <w:t xml:space="preserve">https://www.ahima.org/certification-careers/certifications-overview/ccs/</w:t>
        </w:r>
      </w:hyperlink>
    </w:p>
    <w:p>
      <w:pPr>
        <w:numPr>
          <w:ilvl w:val="0"/>
          <w:numId w:val="1014"/>
        </w:numPr>
        <w:pStyle w:val="Compact"/>
      </w:pPr>
      <w:hyperlink r:id="rId48">
        <w:r>
          <w:rPr>
            <w:rStyle w:val="Hyperlink"/>
          </w:rPr>
          <w:t xml:space="preserve">https://www.ahima.org/certification-careers/certifications-overview/ccs-p/</w:t>
        </w:r>
      </w:hyperlink>
    </w:p>
    <w:bookmarkEnd w:id="49"/>
    <w:bookmarkStart w:id="51" w:name="exemplos-da-aapc"/>
    <w:p>
      <w:pPr>
        <w:pStyle w:val="Heading3"/>
      </w:pPr>
      <w:r>
        <w:t xml:space="preserve">Exemplos da AAPC</w:t>
      </w:r>
    </w:p>
    <w:p>
      <w:pPr>
        <w:pStyle w:val="FirstParagraph"/>
      </w:pPr>
      <w:r>
        <w:t xml:space="preserve">A AAPC oferece credenciais de codificação, faturamento, auditoria e especialidade, incluindo CPC, COC, CIC, CRC, CPB e CPMA. São credenciais profissionais privadas, não licenças governamentais. Verifique diretamente as regras atuais de exame, associação, livros de códigos, educação continuada e status de aprendiz antes de pagar.</w:t>
      </w:r>
    </w:p>
    <w:p>
      <w:pPr>
        <w:pStyle w:val="BodyText"/>
      </w:pPr>
      <w:r>
        <w:t xml:space="preserve">Fonte:</w:t>
      </w:r>
      <w:r>
        <w:t xml:space="preserve"> </w:t>
      </w:r>
      <w:hyperlink r:id="rId50">
        <w:r>
          <w:rPr>
            <w:rStyle w:val="Hyperlink"/>
          </w:rPr>
          <w:t xml:space="preserve">https://www.aapc.com/</w:t>
        </w:r>
      </w:hyperlink>
    </w:p>
    <w:bookmarkEnd w:id="51"/>
    <w:bookmarkEnd w:id="52"/>
    <w:bookmarkStart w:id="53" w:name="caminho-gratuito-primeiro"/>
    <w:p>
      <w:pPr>
        <w:pStyle w:val="Heading2"/>
      </w:pPr>
      <w:r>
        <w:t xml:space="preserve">Caminho gratuito primeiro</w:t>
      </w:r>
    </w:p>
    <w:p>
      <w:pPr>
        <w:pStyle w:val="FirstParagraph"/>
      </w:pPr>
      <w:r>
        <w:t xml:space="preserve">Antes de comprar um programa privado:</w:t>
      </w:r>
    </w:p>
    <w:p>
      <w:pPr>
        <w:numPr>
          <w:ilvl w:val="0"/>
          <w:numId w:val="1015"/>
        </w:numPr>
        <w:pStyle w:val="Compact"/>
      </w:pPr>
      <w:r>
        <w:t xml:space="preserve">estude terminologia, anatomia e fundamentos do ciclo de receita por meio de recursos gratuitos confiáveis ou bibliotecas;</w:t>
      </w:r>
    </w:p>
    <w:p>
      <w:pPr>
        <w:numPr>
          <w:ilvl w:val="0"/>
          <w:numId w:val="1015"/>
        </w:numPr>
        <w:pStyle w:val="Compact"/>
      </w:pPr>
      <w:r>
        <w:t xml:space="preserve">analise vagas reais de empregadores no mercado em que pretende trabalhar;</w:t>
      </w:r>
    </w:p>
    <w:p>
      <w:pPr>
        <w:numPr>
          <w:ilvl w:val="0"/>
          <w:numId w:val="1015"/>
        </w:numPr>
        <w:pStyle w:val="Compact"/>
      </w:pPr>
      <w:r>
        <w:t xml:space="preserve">verifique se os empregadores valorizam uma determinada credencial;</w:t>
      </w:r>
    </w:p>
    <w:p>
      <w:pPr>
        <w:numPr>
          <w:ilvl w:val="0"/>
          <w:numId w:val="1015"/>
        </w:numPr>
        <w:pStyle w:val="Compact"/>
      </w:pPr>
      <w:r>
        <w:t xml:space="preserve">compare community colleges, technical colleges, instituições públicas, treinamento oferecido por empregadores, programas financiados pelo sistema público de emprego e Registered Apprenticeship quando disponíveis;</w:t>
      </w:r>
    </w:p>
    <w:p>
      <w:pPr>
        <w:numPr>
          <w:ilvl w:val="0"/>
          <w:numId w:val="1015"/>
        </w:numPr>
        <w:pStyle w:val="Compact"/>
      </w:pPr>
      <w:r>
        <w:t xml:space="preserve">verifique elegibilidade para exames, livros de códigos incluídos, acesso a software, expectativas de prática e custo total; e</w:t>
      </w:r>
    </w:p>
    <w:p>
      <w:pPr>
        <w:numPr>
          <w:ilvl w:val="0"/>
          <w:numId w:val="1015"/>
        </w:numPr>
        <w:pStyle w:val="Compact"/>
      </w:pPr>
      <w:r>
        <w:t xml:space="preserve">pague apenas quando o programa produzir um próximo passo verificado, como preparação reconhecida por empregadores, elegibilidade para exame, crédito transferível, prática supervisionada ou uma credencial realmente solicitada pelos empregadores.</w:t>
      </w:r>
    </w:p>
    <w:bookmarkEnd w:id="53"/>
    <w:bookmarkStart w:id="54" w:name="X41ff66b20c503b8488a29bc2f49e5fbb822481c"/>
    <w:p>
      <w:pPr>
        <w:pStyle w:val="Heading2"/>
      </w:pPr>
      <w:r>
        <w:t xml:space="preserve">Verificação de instituições e credenciais</w:t>
      </w:r>
    </w:p>
    <w:p>
      <w:pPr>
        <w:pStyle w:val="FirstParagraph"/>
      </w:pPr>
      <w:r>
        <w:t xml:space="preserve">Confirme:</w:t>
      </w:r>
    </w:p>
    <w:p>
      <w:pPr>
        <w:numPr>
          <w:ilvl w:val="0"/>
          <w:numId w:val="1016"/>
        </w:numPr>
        <w:pStyle w:val="Compact"/>
      </w:pPr>
      <w:r>
        <w:t xml:space="preserve">acreditação institucional quando aplicável;</w:t>
      </w:r>
    </w:p>
    <w:p>
      <w:pPr>
        <w:numPr>
          <w:ilvl w:val="0"/>
          <w:numId w:val="1016"/>
        </w:numPr>
        <w:pStyle w:val="Compact"/>
      </w:pPr>
      <w:r>
        <w:t xml:space="preserve">aprovação do programa ou reconhecimento por organismo de credenciais quando alegado;</w:t>
      </w:r>
    </w:p>
    <w:p>
      <w:pPr>
        <w:numPr>
          <w:ilvl w:val="0"/>
          <w:numId w:val="1016"/>
        </w:numPr>
        <w:pStyle w:val="Compact"/>
      </w:pPr>
      <w:r>
        <w:t xml:space="preserve">elegibilidade para exame por escrito;</w:t>
      </w:r>
    </w:p>
    <w:p>
      <w:pPr>
        <w:numPr>
          <w:ilvl w:val="0"/>
          <w:numId w:val="1016"/>
        </w:numPr>
        <w:pStyle w:val="Compact"/>
      </w:pPr>
      <w:r>
        <w:t xml:space="preserve">se livros, conjuntos de códigos atuais, software, associação e taxas de exame estão incluídos;</w:t>
      </w:r>
    </w:p>
    <w:p>
      <w:pPr>
        <w:numPr>
          <w:ilvl w:val="0"/>
          <w:numId w:val="1016"/>
        </w:numPr>
        <w:pStyle w:val="Compact"/>
      </w:pPr>
      <w:r>
        <w:t xml:space="preserve">possibilidade de transferência de créditos acadêmicos;</w:t>
      </w:r>
    </w:p>
    <w:p>
      <w:pPr>
        <w:numPr>
          <w:ilvl w:val="0"/>
          <w:numId w:val="1016"/>
        </w:numPr>
        <w:pStyle w:val="Compact"/>
      </w:pPr>
      <w:r>
        <w:t xml:space="preserve">metodologia de conclusão e colocação profissional;</w:t>
      </w:r>
    </w:p>
    <w:p>
      <w:pPr>
        <w:numPr>
          <w:ilvl w:val="0"/>
          <w:numId w:val="1016"/>
        </w:numPr>
        <w:pStyle w:val="Compact"/>
      </w:pPr>
      <w:r>
        <w:t xml:space="preserve">regras de reembolso e cancelamento;</w:t>
      </w:r>
    </w:p>
    <w:p>
      <w:pPr>
        <w:numPr>
          <w:ilvl w:val="0"/>
          <w:numId w:val="1016"/>
        </w:numPr>
        <w:pStyle w:val="Compact"/>
      </w:pPr>
      <w:r>
        <w:t xml:space="preserve">procedimentos de reclamação;</w:t>
      </w:r>
    </w:p>
    <w:p>
      <w:pPr>
        <w:numPr>
          <w:ilvl w:val="0"/>
          <w:numId w:val="1016"/>
        </w:numPr>
        <w:pStyle w:val="Compact"/>
      </w:pPr>
      <w:r>
        <w:t xml:space="preserve">proteções em caso de fechamento da instituição; e</w:t>
      </w:r>
    </w:p>
    <w:p>
      <w:pPr>
        <w:numPr>
          <w:ilvl w:val="0"/>
          <w:numId w:val="1016"/>
        </w:numPr>
        <w:pStyle w:val="Compact"/>
      </w:pPr>
      <w:r>
        <w:t xml:space="preserve">se qualquer prática ou experiência profissional é garantida, competitiva ou responsabilidade do aluno.</w:t>
      </w:r>
    </w:p>
    <w:bookmarkEnd w:id="54"/>
    <w:bookmarkEnd w:id="55"/>
    <w:bookmarkStart w:id="63" w:name="Xa1c1c9bcdb10a7f9e3b10bf7edaae43b9a26852"/>
    <w:p>
      <w:pPr>
        <w:pStyle w:val="Heading1"/>
      </w:pPr>
      <w:r>
        <w:t xml:space="preserve">8. Aprendizado apoiado pelo empregador e apoio do sistema público de emprego</w:t>
      </w:r>
    </w:p>
    <w:bookmarkStart w:id="59" w:name="american-job-centers-e-wioa"/>
    <w:p>
      <w:pPr>
        <w:pStyle w:val="Heading2"/>
      </w:pPr>
      <w:r>
        <w:t xml:space="preserve">American Job Centers e WIOA</w:t>
      </w:r>
    </w:p>
    <w:p>
      <w:pPr>
        <w:pStyle w:val="FirstParagraph"/>
      </w:pPr>
      <w:r>
        <w:t xml:space="preserve">Os American Job Centers do U.S. Department of Labor oferecem assistência à busca de emprego, orientação profissional, encaminhamentos para treinamento e serviços relacionados. Programas WIOA podem financiar aprendizado em sala de aula ou baseado no trabalho para participantes elegíveis, sujeito à elegibilidade local, prioridades e regras de provedores aprovados.</w:t>
      </w:r>
    </w:p>
    <w:p>
      <w:pPr>
        <w:pStyle w:val="BodyText"/>
      </w:pPr>
      <w:r>
        <w:t xml:space="preserve">Fontes:</w:t>
      </w:r>
    </w:p>
    <w:p>
      <w:pPr>
        <w:numPr>
          <w:ilvl w:val="0"/>
          <w:numId w:val="1017"/>
        </w:numPr>
        <w:pStyle w:val="Compact"/>
      </w:pPr>
      <w:hyperlink r:id="rId56">
        <w:r>
          <w:rPr>
            <w:rStyle w:val="Hyperlink"/>
          </w:rPr>
          <w:t xml:space="preserve">https://www.dol.gov/general/topic/training/onestop</w:t>
        </w:r>
      </w:hyperlink>
    </w:p>
    <w:p>
      <w:pPr>
        <w:numPr>
          <w:ilvl w:val="0"/>
          <w:numId w:val="1017"/>
        </w:numPr>
        <w:pStyle w:val="Compact"/>
      </w:pPr>
      <w:hyperlink r:id="rId57">
        <w:r>
          <w:rPr>
            <w:rStyle w:val="Hyperlink"/>
          </w:rPr>
          <w:t xml:space="preserve">https://www.dol.gov/agencies/eta/wioa/programs</w:t>
        </w:r>
      </w:hyperlink>
    </w:p>
    <w:p>
      <w:pPr>
        <w:numPr>
          <w:ilvl w:val="0"/>
          <w:numId w:val="1017"/>
        </w:numPr>
        <w:pStyle w:val="Compact"/>
      </w:pPr>
      <w:hyperlink r:id="rId58">
        <w:r>
          <w:rPr>
            <w:rStyle w:val="Hyperlink"/>
          </w:rPr>
          <w:t xml:space="preserve">https://www.careeronestop.org/LocalHelp/EmploymentAndTraining/find-WIOA-training-programs.aspx</w:t>
        </w:r>
      </w:hyperlink>
    </w:p>
    <w:bookmarkEnd w:id="59"/>
    <w:bookmarkStart w:id="61" w:name="registered-apprenticeship"/>
    <w:p>
      <w:pPr>
        <w:pStyle w:val="Heading2"/>
      </w:pPr>
      <w:r>
        <w:t xml:space="preserve">Registered Apprenticeship</w:t>
      </w:r>
    </w:p>
    <w:p>
      <w:pPr>
        <w:pStyle w:val="FirstParagraph"/>
      </w:pPr>
      <w:r>
        <w:t xml:space="preserve">Registered Apprenticeship no setor de saúde é um caminho estabelecido, e o Apprenticeship.gov identifica uma estrutura ocupacional baseada em competências para</w:t>
      </w:r>
      <w:r>
        <w:t xml:space="preserve"> </w:t>
      </w:r>
      <w:r>
        <w:rPr>
          <w:bCs/>
          <w:b/>
        </w:rPr>
        <w:t xml:space="preserve">Medical Records and Health Information Technicians and Medical Coders</w:t>
      </w:r>
      <w:r>
        <w:t xml:space="preserve">. Isso não significa que exista um programa adequado em todos os estados ou localidades.</w:t>
      </w:r>
    </w:p>
    <w:p>
      <w:pPr>
        <w:pStyle w:val="BodyText"/>
      </w:pPr>
      <w:r>
        <w:t xml:space="preserve">Use o localizador atualizado de apprenticeships e verifique patrocinador, status de registro, salários, instrução relacionada, supervisão, desenvolvimento progressivo de habilidades e resultados de credenciais.</w:t>
      </w:r>
    </w:p>
    <w:p>
      <w:pPr>
        <w:pStyle w:val="BodyText"/>
      </w:pPr>
      <w:r>
        <w:t xml:space="preserve">Fonte:</w:t>
      </w:r>
      <w:r>
        <w:t xml:space="preserve"> </w:t>
      </w:r>
      <w:hyperlink r:id="rId60">
        <w:r>
          <w:rPr>
            <w:rStyle w:val="Hyperlink"/>
          </w:rPr>
          <w:t xml:space="preserve">https://www.apprenticeship.gov/apprenticeship-industries/healthcare</w:t>
        </w:r>
      </w:hyperlink>
    </w:p>
    <w:bookmarkEnd w:id="61"/>
    <w:bookmarkStart w:id="62" w:name="X0c513ac6de91efe97608982fbcfe0702462d13d"/>
    <w:p>
      <w:pPr>
        <w:pStyle w:val="Heading2"/>
      </w:pPr>
      <w:r>
        <w:t xml:space="preserve">Assistência educacional e acordos de reembolso</w:t>
      </w:r>
    </w:p>
    <w:p>
      <w:pPr>
        <w:pStyle w:val="FirstParagraph"/>
      </w:pPr>
      <w:r>
        <w:t xml:space="preserve">Empregadores podem oferecer pagamento direto de mensalidades, reembolso, apoio para taxas de exame, bolsas de estudo ou outros benefícios educacionais. Antes de aceitar:</w:t>
      </w:r>
    </w:p>
    <w:p>
      <w:pPr>
        <w:numPr>
          <w:ilvl w:val="0"/>
          <w:numId w:val="1018"/>
        </w:numPr>
        <w:pStyle w:val="Compact"/>
      </w:pPr>
      <w:r>
        <w:t xml:space="preserve">obtenha aprovação por escrito;</w:t>
      </w:r>
    </w:p>
    <w:p>
      <w:pPr>
        <w:numPr>
          <w:ilvl w:val="0"/>
          <w:numId w:val="1018"/>
        </w:numPr>
        <w:pStyle w:val="Compact"/>
      </w:pPr>
      <w:r>
        <w:t xml:space="preserve">confirme limites de cobertura e programas elegíveis;</w:t>
      </w:r>
    </w:p>
    <w:p>
      <w:pPr>
        <w:numPr>
          <w:ilvl w:val="0"/>
          <w:numId w:val="1018"/>
        </w:numPr>
        <w:pStyle w:val="Compact"/>
      </w:pPr>
      <w:r>
        <w:t xml:space="preserve">verifique requisitos de nota, exame ou conclusão;</w:t>
      </w:r>
    </w:p>
    <w:p>
      <w:pPr>
        <w:numPr>
          <w:ilvl w:val="0"/>
          <w:numId w:val="1018"/>
        </w:numPr>
        <w:pStyle w:val="Compact"/>
      </w:pPr>
      <w:r>
        <w:t xml:space="preserve">identifique quando começa qualquer período de permanência vinculado ao emprego;</w:t>
      </w:r>
    </w:p>
    <w:p>
      <w:pPr>
        <w:numPr>
          <w:ilvl w:val="0"/>
          <w:numId w:val="1018"/>
        </w:numPr>
        <w:pStyle w:val="Compact"/>
      </w:pPr>
      <w:r>
        <w:t xml:space="preserve">compreenda fórmulas de reembolso proporcional ou integral;</w:t>
      </w:r>
    </w:p>
    <w:p>
      <w:pPr>
        <w:numPr>
          <w:ilvl w:val="0"/>
          <w:numId w:val="1018"/>
        </w:numPr>
        <w:pStyle w:val="Compact"/>
      </w:pPr>
      <w:r>
        <w:t xml:space="preserve">confirme o tratamento de demissão, eliminação do cargo, deficiência, convocação militar, aposentadoria, morte, reestruturação e transferência determinada pelo empregador;</w:t>
      </w:r>
    </w:p>
    <w:p>
      <w:pPr>
        <w:numPr>
          <w:ilvl w:val="0"/>
          <w:numId w:val="1018"/>
        </w:numPr>
        <w:pStyle w:val="Compact"/>
      </w:pPr>
      <w:r>
        <w:t xml:space="preserve">pergunte quem detém a titularidade dos históricos acadêmicos e da documentação de credenciais; e</w:t>
      </w:r>
    </w:p>
    <w:p>
      <w:pPr>
        <w:numPr>
          <w:ilvl w:val="0"/>
          <w:numId w:val="1018"/>
        </w:numPr>
        <w:pStyle w:val="Compact"/>
      </w:pPr>
      <w:r>
        <w:t xml:space="preserve">verifique se descontos em folha ou no pagamento final são autorizados e legais onde você trabalha.</w:t>
      </w:r>
    </w:p>
    <w:bookmarkEnd w:id="62"/>
    <w:bookmarkEnd w:id="63"/>
    <w:bookmarkStart w:id="64" w:name="Xde92be9ff820e699f2d9e6175d9c4e83e555043"/>
    <w:p>
      <w:pPr>
        <w:pStyle w:val="Heading1"/>
      </w:pPr>
      <w:r>
        <w:t xml:space="preserve">9. Acessibilidade e inclusão</w:t>
      </w:r>
    </w:p>
    <w:p>
      <w:pPr>
        <w:pStyle w:val="FirstParagraph"/>
      </w:pPr>
      <w:r>
        <w:t xml:space="preserve">Verifique adaptações em todo o caminho, incluindo:</w:t>
      </w:r>
    </w:p>
    <w:p>
      <w:pPr>
        <w:numPr>
          <w:ilvl w:val="0"/>
          <w:numId w:val="1019"/>
        </w:numPr>
        <w:pStyle w:val="Compact"/>
      </w:pPr>
      <w:r>
        <w:t xml:space="preserve">admissão e matrícula;</w:t>
      </w:r>
    </w:p>
    <w:p>
      <w:pPr>
        <w:numPr>
          <w:ilvl w:val="0"/>
          <w:numId w:val="1019"/>
        </w:numPr>
        <w:pStyle w:val="Compact"/>
      </w:pPr>
      <w:r>
        <w:t xml:space="preserve">plataformas de aprendizagem on-line;</w:t>
      </w:r>
    </w:p>
    <w:p>
      <w:pPr>
        <w:numPr>
          <w:ilvl w:val="0"/>
          <w:numId w:val="1019"/>
        </w:numPr>
        <w:pStyle w:val="Compact"/>
      </w:pPr>
      <w:r>
        <w:t xml:space="preserve">livros didáticos e documentos eletrônicos;</w:t>
      </w:r>
    </w:p>
    <w:p>
      <w:pPr>
        <w:numPr>
          <w:ilvl w:val="0"/>
          <w:numId w:val="1019"/>
        </w:numPr>
        <w:pStyle w:val="Compact"/>
      </w:pPr>
      <w:r>
        <w:t xml:space="preserve">aulas e laboratórios;</w:t>
      </w:r>
    </w:p>
    <w:p>
      <w:pPr>
        <w:numPr>
          <w:ilvl w:val="0"/>
          <w:numId w:val="1019"/>
        </w:numPr>
        <w:pStyle w:val="Compact"/>
      </w:pPr>
      <w:r>
        <w:t xml:space="preserve">exames de certificação;</w:t>
      </w:r>
    </w:p>
    <w:p>
      <w:pPr>
        <w:numPr>
          <w:ilvl w:val="0"/>
          <w:numId w:val="1019"/>
        </w:numPr>
        <w:pStyle w:val="Compact"/>
      </w:pPr>
      <w:r>
        <w:t xml:space="preserve">estágios ou apprenticeships;</w:t>
      </w:r>
    </w:p>
    <w:p>
      <w:pPr>
        <w:numPr>
          <w:ilvl w:val="0"/>
          <w:numId w:val="1019"/>
        </w:numPr>
        <w:pStyle w:val="Compact"/>
      </w:pPr>
      <w:r>
        <w:t xml:space="preserve">software e sistemas de produtividade no trabalho; e</w:t>
      </w:r>
    </w:p>
    <w:p>
      <w:pPr>
        <w:numPr>
          <w:ilvl w:val="0"/>
          <w:numId w:val="1019"/>
        </w:numPr>
        <w:pStyle w:val="Compact"/>
      </w:pPr>
      <w:r>
        <w:t xml:space="preserve">tecnologia de trabalho remoto, quando aplicável.</w:t>
      </w:r>
    </w:p>
    <w:p>
      <w:pPr>
        <w:pStyle w:val="FirstParagraph"/>
      </w:pPr>
      <w:r>
        <w:t xml:space="preserve">Uma instituição, um empregador, um patrocinador de apprenticeship e um organismo de certificação podem usar processos de adaptação diferentes. Ser admitido em um programa não garante que todas as etapas seguintes serão acessíveis.</w:t>
      </w:r>
    </w:p>
    <w:p>
      <w:pPr>
        <w:pStyle w:val="BodyText"/>
      </w:pPr>
      <w:r>
        <w:t xml:space="preserve">Possíveis apoios incluem documentos acessíveis, legendas, intérpretes, compatibilidade com leitores de tela, equipamentos ergonômicos, espaço silencioso para provas, pausas adicionais quando aprovadas, horários flexíveis ou métodos alternativos de treinamento.</w:t>
      </w:r>
    </w:p>
    <w:bookmarkEnd w:id="64"/>
    <w:bookmarkStart w:id="70" w:name="X3358ec4ad5638a2695d16e222826db3a6c96477"/>
    <w:p>
      <w:pPr>
        <w:pStyle w:val="Heading1"/>
      </w:pPr>
      <w:r>
        <w:t xml:space="preserve">10. Privacidade, cibersegurança e IA ética</w:t>
      </w:r>
    </w:p>
    <w:bookmarkStart w:id="67" w:name="escopo-da-hipaa"/>
    <w:p>
      <w:pPr>
        <w:pStyle w:val="Heading2"/>
      </w:pPr>
      <w:r>
        <w:t xml:space="preserve">Escopo da HIPAA</w:t>
      </w:r>
    </w:p>
    <w:p>
      <w:pPr>
        <w:pStyle w:val="FirstParagraph"/>
      </w:pPr>
      <w:r>
        <w:t xml:space="preserve">A HIPAA Privacy Rule protege registros médicos e outras informações de saúde individualmente identificáveis mantidas por covered entities e se aplica a determinados business associates. Atividades de faturamento e pagamento podem envolver protected health information, mas nem todo empregador, pessoa ou dado está automaticamente sujeito à HIPAA. Leis estaduais, contratos e outros requisitos de privacidade podem acrescentar obrigações.</w:t>
      </w:r>
    </w:p>
    <w:p>
      <w:pPr>
        <w:pStyle w:val="BodyText"/>
      </w:pPr>
      <w:r>
        <w:t xml:space="preserve">Para atividades de pagamento e health-care operations, covered entities geralmente devem adotar políticas razoáveis para limitar usos, divulgações e solicitações de protected health information ao</w:t>
      </w:r>
      <w:r>
        <w:t xml:space="preserve"> </w:t>
      </w:r>
      <w:r>
        <w:rPr>
          <w:bCs/>
          <w:b/>
        </w:rPr>
        <w:t xml:space="preserve">mínimo necessário</w:t>
      </w:r>
      <w:r>
        <w:t xml:space="preserve"> </w:t>
      </w:r>
      <w:r>
        <w:t xml:space="preserve">para a finalidade pretendida, sujeito às exceções regulatórias aplicáveis.</w:t>
      </w:r>
    </w:p>
    <w:p>
      <w:pPr>
        <w:pStyle w:val="BodyText"/>
      </w:pPr>
      <w:r>
        <w:t xml:space="preserve">Fontes:</w:t>
      </w:r>
    </w:p>
    <w:p>
      <w:pPr>
        <w:numPr>
          <w:ilvl w:val="0"/>
          <w:numId w:val="1020"/>
        </w:numPr>
        <w:pStyle w:val="Compact"/>
      </w:pPr>
      <w:hyperlink r:id="rId65">
        <w:r>
          <w:rPr>
            <w:rStyle w:val="Hyperlink"/>
          </w:rPr>
          <w:t xml:space="preserve">https://www.hhs.gov/hipaa/for-professionals/privacy/index.html</w:t>
        </w:r>
      </w:hyperlink>
    </w:p>
    <w:p>
      <w:pPr>
        <w:numPr>
          <w:ilvl w:val="0"/>
          <w:numId w:val="1020"/>
        </w:numPr>
        <w:pStyle w:val="Compact"/>
      </w:pPr>
      <w:hyperlink r:id="rId66">
        <w:r>
          <w:rPr>
            <w:rStyle w:val="Hyperlink"/>
          </w:rPr>
          <w:t xml:space="preserve">https://www.hhs.gov/hipaa/for-professionals/privacy/guidance/minimum-necessary-requirement/index.html</w:t>
        </w:r>
      </w:hyperlink>
    </w:p>
    <w:bookmarkEnd w:id="67"/>
    <w:bookmarkStart w:id="68" w:name="controles-práticos-de-segurança"/>
    <w:p>
      <w:pPr>
        <w:pStyle w:val="Heading2"/>
      </w:pPr>
      <w:r>
        <w:t xml:space="preserve">Controles práticos de segurança</w:t>
      </w:r>
    </w:p>
    <w:p>
      <w:pPr>
        <w:numPr>
          <w:ilvl w:val="0"/>
          <w:numId w:val="1021"/>
        </w:numPr>
        <w:pStyle w:val="Compact"/>
      </w:pPr>
      <w:r>
        <w:t xml:space="preserve">Use somente sistemas, contas, dispositivos, armazenamento e canais de comunicação aprovados.</w:t>
      </w:r>
    </w:p>
    <w:p>
      <w:pPr>
        <w:numPr>
          <w:ilvl w:val="0"/>
          <w:numId w:val="1021"/>
        </w:numPr>
        <w:pStyle w:val="Compact"/>
      </w:pPr>
      <w:r>
        <w:t xml:space="preserve">Siga regras de acesso baseado em função e de mínimo necessário estabelecidas pela organização.</w:t>
      </w:r>
    </w:p>
    <w:p>
      <w:pPr>
        <w:numPr>
          <w:ilvl w:val="0"/>
          <w:numId w:val="1021"/>
        </w:numPr>
        <w:pStyle w:val="Compact"/>
      </w:pPr>
      <w:r>
        <w:t xml:space="preserve">Proteja senhas e autenticação multifator.</w:t>
      </w:r>
    </w:p>
    <w:p>
      <w:pPr>
        <w:numPr>
          <w:ilvl w:val="0"/>
          <w:numId w:val="1021"/>
        </w:numPr>
        <w:pStyle w:val="Compact"/>
      </w:pPr>
      <w:r>
        <w:t xml:space="preserve">Não copie dados de pacientes para dispositivos pessoais ou serviços de nuvem não aprovados.</w:t>
      </w:r>
    </w:p>
    <w:p>
      <w:pPr>
        <w:numPr>
          <w:ilvl w:val="0"/>
          <w:numId w:val="1021"/>
        </w:numPr>
        <w:pStyle w:val="Compact"/>
      </w:pPr>
      <w:r>
        <w:t xml:space="preserve">Verifique destinatários antes de enviar registros, anexos de reivindicações ou informações de contas.</w:t>
      </w:r>
    </w:p>
    <w:p>
      <w:pPr>
        <w:numPr>
          <w:ilvl w:val="0"/>
          <w:numId w:val="1021"/>
        </w:numPr>
        <w:pStyle w:val="Compact"/>
      </w:pPr>
      <w:r>
        <w:t xml:space="preserve">Relate rapidamente suspeitas de phishing, comprometimento de contas ou informações enviadas ao destinatário errado.</w:t>
      </w:r>
    </w:p>
    <w:bookmarkEnd w:id="68"/>
    <w:bookmarkStart w:id="69" w:name="ia-responsável"/>
    <w:p>
      <w:pPr>
        <w:pStyle w:val="Heading2"/>
      </w:pPr>
      <w:r>
        <w:t xml:space="preserve">IA responsável</w:t>
      </w:r>
    </w:p>
    <w:p>
      <w:pPr>
        <w:numPr>
          <w:ilvl w:val="0"/>
          <w:numId w:val="1022"/>
        </w:numPr>
        <w:pStyle w:val="Compact"/>
      </w:pPr>
      <w:r>
        <w:t xml:space="preserve">Não insira protected health information nem outros dados confidenciais em um serviço público de IA, a menos que a organização tenha aprovado expressamente esse uso e as salvaguardas legais e contratuais necessárias estejam em vigor.</w:t>
      </w:r>
    </w:p>
    <w:p>
      <w:pPr>
        <w:numPr>
          <w:ilvl w:val="0"/>
          <w:numId w:val="1022"/>
        </w:numPr>
        <w:pStyle w:val="Compact"/>
      </w:pPr>
      <w:r>
        <w:t xml:space="preserve">Trate resultados de codificação ou faturamento assistidos por IA como rascunho ou apoio à decisão, não como autoridade incontestável.</w:t>
      </w:r>
    </w:p>
    <w:p>
      <w:pPr>
        <w:numPr>
          <w:ilvl w:val="0"/>
          <w:numId w:val="1022"/>
        </w:numPr>
        <w:pStyle w:val="Compact"/>
      </w:pPr>
      <w:r>
        <w:t xml:space="preserve">Verifique códigos, datas de vigência, requisitos de pagadores e suporte documental em fontes autorizadas atuais.</w:t>
      </w:r>
    </w:p>
    <w:p>
      <w:pPr>
        <w:numPr>
          <w:ilvl w:val="0"/>
          <w:numId w:val="1022"/>
        </w:numPr>
        <w:pStyle w:val="Compact"/>
      </w:pPr>
      <w:r>
        <w:t xml:space="preserve">Preserve a responsabilidade humana por decisões que afetem reembolso, conformidade, privacidade ou registros do paciente.</w:t>
      </w:r>
    </w:p>
    <w:p>
      <w:pPr>
        <w:numPr>
          <w:ilvl w:val="0"/>
          <w:numId w:val="1022"/>
        </w:numPr>
        <w:pStyle w:val="Compact"/>
      </w:pPr>
      <w:r>
        <w:t xml:space="preserve">Não invente credenciais, amostras de trabalho, referências ou experiência em codificação.</w:t>
      </w:r>
    </w:p>
    <w:bookmarkEnd w:id="69"/>
    <w:bookmarkEnd w:id="70"/>
    <w:bookmarkStart w:id="71" w:name="X71bf57f38a0829771a7087aa3930b901648e7a1"/>
    <w:p>
      <w:pPr>
        <w:pStyle w:val="Heading1"/>
      </w:pPr>
      <w:r>
        <w:t xml:space="preserve">11. Construir evidências de capacidade</w:t>
      </w:r>
    </w:p>
    <w:p>
      <w:pPr>
        <w:pStyle w:val="FirstParagraph"/>
      </w:pPr>
      <w:r>
        <w:t xml:space="preserve">Use apenas informações fictícias, públicas, materiais educacionais obtidos legalmente ou informações totalmente anonimizadas.</w:t>
      </w:r>
    </w:p>
    <w:p>
      <w:pPr>
        <w:pStyle w:val="BodyText"/>
      </w:pPr>
      <w:r>
        <w:t xml:space="preserve">Possíveis exercícios de portfólio:</w:t>
      </w:r>
    </w:p>
    <w:p>
      <w:pPr>
        <w:numPr>
          <w:ilvl w:val="0"/>
          <w:numId w:val="1023"/>
        </w:numPr>
        <w:pStyle w:val="Compact"/>
      </w:pPr>
      <w:r>
        <w:t xml:space="preserve">codificar casos educacionais fictícios e explicar o raciocínio sem reproduzir conteúdo protegido de livros de códigos além dos limites legais;</w:t>
      </w:r>
    </w:p>
    <w:p>
      <w:pPr>
        <w:numPr>
          <w:ilvl w:val="0"/>
          <w:numId w:val="1023"/>
        </w:numPr>
        <w:pStyle w:val="Compact"/>
      </w:pPr>
      <w:r>
        <w:t xml:space="preserve">criar um rastreador fictício do ciclo de vida de uma reivindicação mostrando edições, envio, rejeição, negativa, recurso e pagamento;</w:t>
      </w:r>
    </w:p>
    <w:p>
      <w:pPr>
        <w:numPr>
          <w:ilvl w:val="0"/>
          <w:numId w:val="1023"/>
        </w:numPr>
        <w:pStyle w:val="Compact"/>
      </w:pPr>
      <w:r>
        <w:t xml:space="preserve">criar uma análise de negativas que preserve a privacidade e mostre causa raiz e ação corretiva;</w:t>
      </w:r>
    </w:p>
    <w:p>
      <w:pPr>
        <w:numPr>
          <w:ilvl w:val="0"/>
          <w:numId w:val="1023"/>
        </w:numPr>
        <w:pStyle w:val="Compact"/>
      </w:pPr>
      <w:r>
        <w:t xml:space="preserve">documentar como você verificaria uma mudança de conjunto de códigos por data de vigência;</w:t>
      </w:r>
    </w:p>
    <w:p>
      <w:pPr>
        <w:numPr>
          <w:ilvl w:val="0"/>
          <w:numId w:val="1023"/>
        </w:numPr>
        <w:pStyle w:val="Compact"/>
      </w:pPr>
      <w:r>
        <w:t xml:space="preserve">mapear um fluxo simples de ciclo de receita e identificar pontos de controle; e</w:t>
      </w:r>
    </w:p>
    <w:p>
      <w:pPr>
        <w:numPr>
          <w:ilvl w:val="0"/>
          <w:numId w:val="1023"/>
        </w:numPr>
        <w:pStyle w:val="Compact"/>
      </w:pPr>
      <w:r>
        <w:t xml:space="preserve">criar uma lista curta de controles de privacidade e segurança para trabalho remoto de faturamento ou codificação.</w:t>
      </w:r>
    </w:p>
    <w:p>
      <w:pPr>
        <w:pStyle w:val="FirstParagraph"/>
      </w:pPr>
      <w:r>
        <w:t xml:space="preserve">Explique o problema, sua função, o processo, os controles, o resultado e o que você aprendeu. Não atribua resultados da equipe como trabalho individual nem exiba materiais proprietários.</w:t>
      </w:r>
    </w:p>
    <w:bookmarkEnd w:id="71"/>
    <w:bookmarkStart w:id="72" w:name="X4f522ea7b956d0ce4d117336f2faf1fe806b9d9"/>
    <w:p>
      <w:pPr>
        <w:pStyle w:val="Heading1"/>
      </w:pPr>
      <w:r>
        <w:t xml:space="preserve">12. Preparação para entrevistas</w:t>
      </w:r>
    </w:p>
    <w:p>
      <w:pPr>
        <w:pStyle w:val="FirstParagraph"/>
      </w:pPr>
      <w:r>
        <w:t xml:space="preserve">Prepare exemplos concisos para perguntas como:</w:t>
      </w:r>
    </w:p>
    <w:p>
      <w:pPr>
        <w:numPr>
          <w:ilvl w:val="0"/>
          <w:numId w:val="1024"/>
        </w:numPr>
        <w:pStyle w:val="Compact"/>
      </w:pPr>
      <w:r>
        <w:t xml:space="preserve">O que você faria quando a documentação não sustenta o código solicitado?</w:t>
      </w:r>
    </w:p>
    <w:p>
      <w:pPr>
        <w:numPr>
          <w:ilvl w:val="0"/>
          <w:numId w:val="1024"/>
        </w:numPr>
        <w:pStyle w:val="Compact"/>
      </w:pPr>
      <w:r>
        <w:t xml:space="preserve">Qual é a diferença entre rejeição de uma reivindicação e uma negativa?</w:t>
      </w:r>
    </w:p>
    <w:p>
      <w:pPr>
        <w:numPr>
          <w:ilvl w:val="0"/>
          <w:numId w:val="1024"/>
        </w:numPr>
        <w:pStyle w:val="Compact"/>
      </w:pPr>
      <w:r>
        <w:t xml:space="preserve">Como você verificaria se está usando o conjunto de códigos correspondente à data de vigência correta?</w:t>
      </w:r>
    </w:p>
    <w:p>
      <w:pPr>
        <w:numPr>
          <w:ilvl w:val="0"/>
          <w:numId w:val="1024"/>
        </w:numPr>
        <w:pStyle w:val="Compact"/>
      </w:pPr>
      <w:r>
        <w:t xml:space="preserve">Como você protege protected health information ao trabalhar remotamente?</w:t>
      </w:r>
    </w:p>
    <w:p>
      <w:pPr>
        <w:numPr>
          <w:ilvl w:val="0"/>
          <w:numId w:val="1024"/>
        </w:numPr>
        <w:pStyle w:val="Compact"/>
      </w:pPr>
      <w:r>
        <w:t xml:space="preserve">O que faria se as expectativas de produtividade parecessem entrar em conflito com a precisão da codificação?</w:t>
      </w:r>
    </w:p>
    <w:p>
      <w:pPr>
        <w:numPr>
          <w:ilvl w:val="0"/>
          <w:numId w:val="1024"/>
        </w:numPr>
        <w:pStyle w:val="Compact"/>
      </w:pPr>
      <w:r>
        <w:t xml:space="preserve">Como pesquisaria uma regra de pagador que nunca viu antes?</w:t>
      </w:r>
    </w:p>
    <w:p>
      <w:pPr>
        <w:pStyle w:val="FirstParagraph"/>
      </w:pPr>
      <w:r>
        <w:t xml:space="preserve">Uma resposta forte deve mostrar a situação, sua responsabilidade, a ação tomada, a evidência usada, o limite ou ponto de escalonamento e o resultado.</w:t>
      </w:r>
    </w:p>
    <w:bookmarkEnd w:id="72"/>
    <w:bookmarkStart w:id="73" w:name="X3131a57e4dbb6826cd8b10a02ececd2f7b41ee8"/>
    <w:p>
      <w:pPr>
        <w:pStyle w:val="Heading1"/>
      </w:pPr>
      <w:r>
        <w:t xml:space="preserve">13. Primeiros 30, 60 e 90 dias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Primeiros 30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Aprenda políticas, sistemas, terminologia, requisitos de privacidade e segurança, limites da função, regras de pagadores ou clientes, padrões de qualidade, caminhos de escalonamento e processos de adaptação.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 31–60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trabalho rotineiro com revisão, documente decisões, fortaleça a precisão, solicite feedback, acompanhe exceções recorrentes e aprenda como negativas e rejeições são resolvidas.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Dias 61–90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Assuma um conjunto mais amplo de atividades dentro dos limites de sua atuação, identifique uma melhoria baseada em evidências, documente metas de desenvolvimento e verifique a próxima etapa de treinamento ou obtenção de credencial antes de pagar por ela.</w:t>
            </w:r>
          </w:p>
        </w:tc>
      </w:tr>
    </w:tbl>
    <w:bookmarkEnd w:id="73"/>
    <w:bookmarkStart w:id="74" w:name="Xbcbf0d94fe42eaf13504976f50b422fe8b5bc51"/>
    <w:p>
      <w:pPr>
        <w:pStyle w:val="Heading1"/>
      </w:pPr>
      <w:r>
        <w:t xml:space="preserve">14. Avanço, portabilidade e planejamento de saída</w:t>
      </w:r>
    </w:p>
    <w:p>
      <w:pPr>
        <w:pStyle w:val="FirstParagraph"/>
      </w:pPr>
      <w:r>
        <w:t xml:space="preserve">Possíveis caminhos incluem:</w:t>
      </w:r>
    </w:p>
    <w:p>
      <w:pPr>
        <w:numPr>
          <w:ilvl w:val="0"/>
          <w:numId w:val="1025"/>
        </w:numPr>
        <w:pStyle w:val="Compact"/>
      </w:pPr>
      <w:r>
        <w:t xml:space="preserve">funções seniores de codificação ou faturamento;</w:t>
      </w:r>
    </w:p>
    <w:p>
      <w:pPr>
        <w:numPr>
          <w:ilvl w:val="0"/>
          <w:numId w:val="1025"/>
        </w:numPr>
        <w:pStyle w:val="Compact"/>
      </w:pPr>
      <w:r>
        <w:t xml:space="preserve">gestão de negativas ou recursos;</w:t>
      </w:r>
    </w:p>
    <w:p>
      <w:pPr>
        <w:numPr>
          <w:ilvl w:val="0"/>
          <w:numId w:val="1025"/>
        </w:numPr>
        <w:pStyle w:val="Compact"/>
      </w:pPr>
      <w:r>
        <w:t xml:space="preserve">análise do ciclo de receita;</w:t>
      </w:r>
    </w:p>
    <w:p>
      <w:pPr>
        <w:numPr>
          <w:ilvl w:val="0"/>
          <w:numId w:val="1025"/>
        </w:numPr>
        <w:pStyle w:val="Compact"/>
      </w:pPr>
      <w:r>
        <w:t xml:space="preserve">qualidade ou auditoria de codificação;</w:t>
      </w:r>
    </w:p>
    <w:p>
      <w:pPr>
        <w:numPr>
          <w:ilvl w:val="0"/>
          <w:numId w:val="1025"/>
        </w:numPr>
        <w:pStyle w:val="Compact"/>
      </w:pPr>
      <w:r>
        <w:t xml:space="preserve">apoio à documentação clínica quando as qualificações permitirem;</w:t>
      </w:r>
    </w:p>
    <w:p>
      <w:pPr>
        <w:numPr>
          <w:ilvl w:val="0"/>
          <w:numId w:val="1025"/>
        </w:numPr>
        <w:pStyle w:val="Compact"/>
      </w:pPr>
      <w:r>
        <w:t xml:space="preserve">gestão de informações em saúde;</w:t>
      </w:r>
    </w:p>
    <w:p>
      <w:pPr>
        <w:numPr>
          <w:ilvl w:val="0"/>
          <w:numId w:val="1025"/>
        </w:numPr>
        <w:pStyle w:val="Compact"/>
      </w:pPr>
      <w:r>
        <w:t xml:space="preserve">apoio à conformidade;</w:t>
      </w:r>
    </w:p>
    <w:p>
      <w:pPr>
        <w:numPr>
          <w:ilvl w:val="0"/>
          <w:numId w:val="1025"/>
        </w:numPr>
        <w:pStyle w:val="Compact"/>
      </w:pPr>
      <w:r>
        <w:t xml:space="preserve">operações de pagadores ou prestadores;</w:t>
      </w:r>
    </w:p>
    <w:p>
      <w:pPr>
        <w:numPr>
          <w:ilvl w:val="0"/>
          <w:numId w:val="1025"/>
        </w:numPr>
        <w:pStyle w:val="Compact"/>
      </w:pPr>
      <w:r>
        <w:t xml:space="preserve">treinamento ou educação;</w:t>
      </w:r>
    </w:p>
    <w:p>
      <w:pPr>
        <w:numPr>
          <w:ilvl w:val="0"/>
          <w:numId w:val="1025"/>
        </w:numPr>
        <w:pStyle w:val="Compact"/>
      </w:pPr>
      <w:r>
        <w:t xml:space="preserve">supervisão quando a pessoa estiver qualificada; e</w:t>
      </w:r>
    </w:p>
    <w:p>
      <w:pPr>
        <w:numPr>
          <w:ilvl w:val="0"/>
          <w:numId w:val="1025"/>
        </w:numPr>
        <w:pStyle w:val="Compact"/>
      </w:pPr>
      <w:r>
        <w:t xml:space="preserve">estudos adicionais em informação em saúde, administração de serviços de saúde, análise de dados ou áreas relacionadas.</w:t>
      </w:r>
    </w:p>
    <w:p>
      <w:pPr>
        <w:pStyle w:val="FirstParagraph"/>
      </w:pPr>
      <w:r>
        <w:t xml:space="preserve">Para cada próximo passo, verifique educação, experiência, credencial, conhecimento de software e mudança salarial real exigidos. Mantenha históricos acadêmicos, registros de certificação, registros de educação continuada, avaliações e acordos de reembolso.</w:t>
      </w:r>
    </w:p>
    <w:bookmarkEnd w:id="74"/>
    <w:bookmarkStart w:id="80" w:name="X996db507641bfe2e3266ffa6e0c2b91459a617e"/>
    <w:p>
      <w:pPr>
        <w:pStyle w:val="Heading1"/>
      </w:pPr>
      <w:r>
        <w:t xml:space="preserve">15. Canadá</w:t>
      </w:r>
    </w:p>
    <w:p>
      <w:pPr>
        <w:pStyle w:val="FirstParagraph"/>
      </w:pPr>
      <w:r>
        <w:t xml:space="preserve">O título combinado exato usado nos Estados Unidos não corresponde de forma clara a um único NOC canadense. Use agrupamentos ocupacionais oficiais de acordo com as funções, em vez de forçar uma equivalência falsa.</w:t>
      </w:r>
    </w:p>
    <w:bookmarkStart w:id="76" w:name="X567c416767156bef4642ef3ac5ef64f70658ab1"/>
    <w:p>
      <w:pPr>
        <w:pStyle w:val="Heading2"/>
      </w:pPr>
      <w:r>
        <w:t xml:space="preserve">Health information management occupations — NOC 12111</w:t>
      </w:r>
    </w:p>
    <w:p>
      <w:pPr>
        <w:pStyle w:val="FirstParagraph"/>
      </w:pPr>
      <w:r>
        <w:t xml:space="preserve">Esta é a referência oficial canadense mais forte para trabalhos intensivos em registros e codificação. O Canada Job Bank informa salários nacionais aproximados de: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C$22,00 por hora, nível baixo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C$30,51 por hora, mediana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C$46,19 por hora, nível alto</w:t>
      </w:r>
    </w:p>
    <w:p>
      <w:pPr>
        <w:pStyle w:val="FirstParagraph"/>
      </w:pPr>
      <w:r>
        <w:t xml:space="preserve">A ocupação mais ampla inclui coletar, codificar, registrar, revisar e gerenciar informações em saúde. Não conclua que todo trabalho de faturamento médico pertence ao NOC 12111.</w:t>
      </w:r>
    </w:p>
    <w:p>
      <w:pPr>
        <w:pStyle w:val="BodyText"/>
      </w:pPr>
      <w:r>
        <w:t xml:space="preserve">Fonte:</w:t>
      </w:r>
      <w:r>
        <w:t xml:space="preserve"> </w:t>
      </w:r>
      <w:hyperlink r:id="rId75">
        <w:r>
          <w:rPr>
            <w:rStyle w:val="Hyperlink"/>
          </w:rPr>
          <w:t xml:space="preserve">https://www.jobbank.gc.ca/marketreport/summary-occupation/25614/ca</w:t>
        </w:r>
      </w:hyperlink>
    </w:p>
    <w:bookmarkEnd w:id="76"/>
    <w:bookmarkStart w:id="78" w:name="X56339317471ebb637443e59b792104a79ebffa8"/>
    <w:p>
      <w:pPr>
        <w:pStyle w:val="Heading2"/>
      </w:pPr>
      <w:r>
        <w:t xml:space="preserve">Patient-billing clerk — comparador orientado a faturamento</w:t>
      </w:r>
    </w:p>
    <w:p>
      <w:pPr>
        <w:pStyle w:val="FirstParagraph"/>
      </w:pPr>
      <w:r>
        <w:t xml:space="preserve">O Canada Job Bank informa salários nacionais para patient-billing clerk de: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C$18,46 por hora, nível baixo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C$25,00 por hora, mediana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C$35,71 por hora, nível alto</w:t>
      </w:r>
    </w:p>
    <w:p>
      <w:pPr>
        <w:pStyle w:val="FirstParagraph"/>
      </w:pPr>
      <w:r>
        <w:t xml:space="preserve">A tabela salarial foi atualizada em 19 de novembro de 2025 e usa período de referência 2023–2024. Este é um comparador voltado ao faturamento, não um salário de especialista em codificação.</w:t>
      </w:r>
    </w:p>
    <w:p>
      <w:pPr>
        <w:pStyle w:val="BodyText"/>
      </w:pPr>
      <w:r>
        <w:t xml:space="preserve">Fonte:</w:t>
      </w:r>
      <w:r>
        <w:t xml:space="preserve"> </w:t>
      </w:r>
      <w:hyperlink r:id="rId77">
        <w:r>
          <w:rPr>
            <w:rStyle w:val="Hyperlink"/>
          </w:rPr>
          <w:t xml:space="preserve">https://www.jobbank.gc.ca/marketreport/wages-occupation/14119/ca</w:t>
        </w:r>
      </w:hyperlink>
    </w:p>
    <w:bookmarkEnd w:id="78"/>
    <w:bookmarkStart w:id="79" w:name="regra-para-o-caminho-canadense"/>
    <w:p>
      <w:pPr>
        <w:pStyle w:val="Heading2"/>
      </w:pPr>
      <w:r>
        <w:t xml:space="preserve">Regra para o caminho canadense</w:t>
      </w:r>
    </w:p>
    <w:p>
      <w:pPr>
        <w:pStyle w:val="FirstParagraph"/>
      </w:pPr>
      <w:r>
        <w:t xml:space="preserve">Verifique o título exato, agrupamento NOC, província, empregador e requisitos de treinamento. Não importe pressupostos de credenciais dos Estados Unidos para o Canadá sem evidência.</w:t>
      </w:r>
    </w:p>
    <w:bookmarkEnd w:id="79"/>
    <w:bookmarkEnd w:id="80"/>
    <w:bookmarkStart w:id="84" w:name="Xd3da12722af2038c44c84f9262dabcf59625a4c"/>
    <w:p>
      <w:pPr>
        <w:pStyle w:val="Heading1"/>
      </w:pPr>
      <w:r>
        <w:t xml:space="preserve">16. Colômbia e o restante da América Latina</w:t>
      </w:r>
    </w:p>
    <w:p>
      <w:pPr>
        <w:pStyle w:val="FirstParagraph"/>
      </w:pPr>
      <w:r>
        <w:t xml:space="preserve">Faturamento médico, codificação, registros de saúde e trabalho de ciclo de receita variam significativamente na América Latina. HIPAA dos Estados Unidos, regras de faturamento do Medicare/Medicaid, CPT/HCPCS e credenciais profissionais norte-americanas não regem automaticamente o emprego local na Colômbia.</w:t>
      </w:r>
    </w:p>
    <w:p>
      <w:pPr>
        <w:pStyle w:val="BodyText"/>
      </w:pPr>
      <w:r>
        <w:t xml:space="preserve">Conhecimento de codificação voltado aos Estados Unidos pode ser relevante em funções colombianas ou latino-americanas de outsourcing/BPO que atendem clientes do setor de saúde dos Estados Unidos, mas esse é um caminho específico do empregador ou cliente e deve ser identificado como tal.</w:t>
      </w:r>
    </w:p>
    <w:bookmarkStart w:id="83" w:name="X6ca104a0882865d513fcbc0ee78c754d024dfdd"/>
    <w:p>
      <w:pPr>
        <w:pStyle w:val="Heading2"/>
      </w:pPr>
      <w:r>
        <w:t xml:space="preserve">Colômbia — treinamento público complementar</w:t>
      </w:r>
    </w:p>
    <w:p>
      <w:pPr>
        <w:pStyle w:val="FirstParagraph"/>
      </w:pPr>
      <w:r>
        <w:t xml:space="preserve">O SENA oferece treinamento complementar chamado</w:t>
      </w:r>
      <w:r>
        <w:t xml:space="preserve"> </w:t>
      </w:r>
      <w:r>
        <w:rPr>
          <w:bCs/>
          <w:b/>
        </w:rPr>
        <w:t xml:space="preserve">Facturación de los servicios en salud</w:t>
      </w:r>
      <w:r>
        <w:t xml:space="preserve">, incluindo uma versão virtual de aproximadamente</w:t>
      </w:r>
      <w:r>
        <w:t xml:space="preserve"> </w:t>
      </w:r>
      <w:r>
        <w:rPr>
          <w:bCs/>
          <w:b/>
        </w:rPr>
        <w:t xml:space="preserve">40 horas</w:t>
      </w:r>
      <w:r>
        <w:t xml:space="preserve"> </w:t>
      </w:r>
      <w:r>
        <w:t xml:space="preserve">e uma versão presencial de aproximadamente</w:t>
      </w:r>
      <w:r>
        <w:t xml:space="preserve"> </w:t>
      </w:r>
      <w:r>
        <w:rPr>
          <w:bCs/>
          <w:b/>
        </w:rPr>
        <w:t xml:space="preserve">48 horas</w:t>
      </w:r>
      <w:r>
        <w:t xml:space="preserve">, sujeito à disponibilidade e às condições de admissão atuais. É uma formação complementar útil para faturamento de serviços de saúde na Colômbia. Não equivale a CPC, CCA, CCS ou outra credencial profissional estrangeira.</w:t>
      </w:r>
    </w:p>
    <w:p>
      <w:pPr>
        <w:pStyle w:val="BodyText"/>
      </w:pPr>
      <w:r>
        <w:t xml:space="preserve">Fontes:</w:t>
      </w:r>
    </w:p>
    <w:p>
      <w:pPr>
        <w:numPr>
          <w:ilvl w:val="0"/>
          <w:numId w:val="1028"/>
        </w:numPr>
        <w:pStyle w:val="Compact"/>
      </w:pPr>
      <w:hyperlink r:id="rId81">
        <w:r>
          <w:rPr>
            <w:rStyle w:val="Hyperlink"/>
          </w:rPr>
          <w:t xml:space="preserve">https://betowa.sena.edu.co/oferta/facturacion-de-los-servicios-en-salud?modality=V&amp;programId=110493</w:t>
        </w:r>
      </w:hyperlink>
    </w:p>
    <w:p>
      <w:pPr>
        <w:numPr>
          <w:ilvl w:val="0"/>
          <w:numId w:val="1028"/>
        </w:numPr>
        <w:pStyle w:val="Compact"/>
      </w:pPr>
      <w:hyperlink r:id="rId82">
        <w:r>
          <w:rPr>
            <w:rStyle w:val="Hyperlink"/>
          </w:rPr>
          <w:t xml:space="preserve">https://betowa.sena.edu.co/oferta/facturacion-de-los-servicios-en-salud?programId=110492</w:t>
        </w:r>
      </w:hyperlink>
    </w:p>
    <w:p>
      <w:pPr>
        <w:pStyle w:val="FirstParagraph"/>
      </w:pPr>
      <w:r>
        <w:t xml:space="preserve">Não foi verificada, para esta revisão, uma série salarial nacional oficial colombiana diretamente comparável ao título combinado exato dos Estados Unidos.</w:t>
      </w:r>
      <w:r>
        <w:t xml:space="preserve"> </w:t>
      </w:r>
      <w:r>
        <w:rPr>
          <w:bCs/>
          <w:b/>
        </w:rPr>
        <w:t xml:space="preserve">Não invente uma.</w:t>
      </w:r>
      <w:r>
        <w:t xml:space="preserve"> </w:t>
      </w:r>
      <w:r>
        <w:t xml:space="preserve">Use vagas colombianas atuais e fontes oficiais de emprego ou trabalho para o título local real.</w:t>
      </w:r>
    </w:p>
    <w:p>
      <w:pPr>
        <w:pStyle w:val="BodyText"/>
      </w:pPr>
      <w:r>
        <w:t xml:space="preserve">Para outros países latino-americanos, verifique separadamente a terminologia do sistema de saúde local, regras de faturamento, sistemas de codificação ou classificação, legislação de privacidade, caminhos de treinamento, expectativas de credenciais e requisitos do empregador.</w:t>
      </w:r>
    </w:p>
    <w:bookmarkEnd w:id="83"/>
    <w:bookmarkEnd w:id="84"/>
    <w:bookmarkStart w:id="85" w:name="X29e1aa650f283e1c3f0bfa6ffd9740ddb2d28ee"/>
    <w:p>
      <w:pPr>
        <w:pStyle w:val="Heading1"/>
      </w:pPr>
      <w:r>
        <w:t xml:space="preserve">17. Antes de se matricular ou assinar</w:t>
      </w:r>
    </w:p>
    <w:p>
      <w:pPr>
        <w:pStyle w:val="FirstParagraph"/>
      </w:pPr>
      <w:r>
        <w:t xml:space="preserve">Verifique por escrito:</w:t>
      </w:r>
    </w:p>
    <w:p>
      <w:pPr>
        <w:numPr>
          <w:ilvl w:val="0"/>
          <w:numId w:val="1029"/>
        </w:numPr>
        <w:pStyle w:val="Compact"/>
      </w:pPr>
      <w:r>
        <w:t xml:space="preserve">o cargo exato para o qual está se preparando;</w:t>
      </w:r>
    </w:p>
    <w:p>
      <w:pPr>
        <w:numPr>
          <w:ilvl w:val="0"/>
          <w:numId w:val="1029"/>
        </w:numPr>
        <w:pStyle w:val="Compact"/>
      </w:pPr>
      <w:r>
        <w:t xml:space="preserve">requisitos legais, do pagador ou cliente e do empregador;</w:t>
      </w:r>
    </w:p>
    <w:p>
      <w:pPr>
        <w:numPr>
          <w:ilvl w:val="0"/>
          <w:numId w:val="1029"/>
        </w:numPr>
        <w:pStyle w:val="Compact"/>
      </w:pPr>
      <w:r>
        <w:t xml:space="preserve">mensalidades e taxas completas;</w:t>
      </w:r>
    </w:p>
    <w:p>
      <w:pPr>
        <w:numPr>
          <w:ilvl w:val="0"/>
          <w:numId w:val="1029"/>
        </w:numPr>
        <w:pStyle w:val="Compact"/>
      </w:pPr>
      <w:r>
        <w:t xml:space="preserve">custos de livros, conjuntos de códigos atuais, software, associação e exames;</w:t>
      </w:r>
    </w:p>
    <w:p>
      <w:pPr>
        <w:numPr>
          <w:ilvl w:val="0"/>
          <w:numId w:val="1029"/>
        </w:numPr>
        <w:pStyle w:val="Compact"/>
      </w:pPr>
      <w:r>
        <w:t xml:space="preserve">acreditação ou reconhecimento do programa quando aplicável;</w:t>
      </w:r>
    </w:p>
    <w:p>
      <w:pPr>
        <w:numPr>
          <w:ilvl w:val="0"/>
          <w:numId w:val="1029"/>
        </w:numPr>
        <w:pStyle w:val="Compact"/>
      </w:pPr>
      <w:r>
        <w:t xml:space="preserve">elegibilidade para exame;</w:t>
      </w:r>
    </w:p>
    <w:p>
      <w:pPr>
        <w:numPr>
          <w:ilvl w:val="0"/>
          <w:numId w:val="1029"/>
        </w:numPr>
        <w:pStyle w:val="Compact"/>
      </w:pPr>
      <w:r>
        <w:t xml:space="preserve">se experiência é exigida para a credencial desejada;</w:t>
      </w:r>
    </w:p>
    <w:p>
      <w:pPr>
        <w:numPr>
          <w:ilvl w:val="0"/>
          <w:numId w:val="1029"/>
        </w:numPr>
        <w:pStyle w:val="Compact"/>
      </w:pPr>
      <w:r>
        <w:t xml:space="preserve">transferibilidade de créditos acadêmicos;</w:t>
      </w:r>
    </w:p>
    <w:p>
      <w:pPr>
        <w:numPr>
          <w:ilvl w:val="0"/>
          <w:numId w:val="1029"/>
        </w:numPr>
        <w:pStyle w:val="Compact"/>
      </w:pPr>
      <w:r>
        <w:t xml:space="preserve">condições de colocação profissional e metodologia dos resultados;</w:t>
      </w:r>
    </w:p>
    <w:p>
      <w:pPr>
        <w:numPr>
          <w:ilvl w:val="0"/>
          <w:numId w:val="1029"/>
        </w:numPr>
        <w:pStyle w:val="Compact"/>
      </w:pPr>
      <w:r>
        <w:t xml:space="preserve">procedimentos de reembolso, cancelamento e reclamação;</w:t>
      </w:r>
    </w:p>
    <w:p>
      <w:pPr>
        <w:numPr>
          <w:ilvl w:val="0"/>
          <w:numId w:val="1029"/>
        </w:numPr>
        <w:pStyle w:val="Compact"/>
      </w:pPr>
      <w:r>
        <w:t xml:space="preserve">cobertura do empregador e obrigações de reembolso;</w:t>
      </w:r>
    </w:p>
    <w:p>
      <w:pPr>
        <w:numPr>
          <w:ilvl w:val="0"/>
          <w:numId w:val="1029"/>
        </w:numPr>
        <w:pStyle w:val="Compact"/>
      </w:pPr>
      <w:r>
        <w:t xml:space="preserve">acessibilidade durante treinamento e testes;</w:t>
      </w:r>
    </w:p>
    <w:p>
      <w:pPr>
        <w:numPr>
          <w:ilvl w:val="0"/>
          <w:numId w:val="1029"/>
        </w:numPr>
        <w:pStyle w:val="Compact"/>
      </w:pPr>
      <w:r>
        <w:t xml:space="preserve">impacto do horário, transporte e responsabilidades de cuidado; e</w:t>
      </w:r>
    </w:p>
    <w:p>
      <w:pPr>
        <w:numPr>
          <w:ilvl w:val="0"/>
          <w:numId w:val="1029"/>
        </w:numPr>
        <w:pStyle w:val="Compact"/>
      </w:pPr>
      <w:r>
        <w:t xml:space="preserve">quais registros, créditos e credenciais você mantém se interromper o programa.</w:t>
      </w:r>
    </w:p>
    <w:bookmarkEnd w:id="85"/>
    <w:bookmarkStart w:id="88" w:name="X23d5016a8468d84836890570f53d950f8c861f6"/>
    <w:p>
      <w:pPr>
        <w:pStyle w:val="Heading1"/>
      </w:pPr>
      <w:r>
        <w:t xml:space="preserve">18. Esta carreira é adequada para mim? e plano de ação de doze semanas</w:t>
      </w:r>
    </w:p>
    <w:bookmarkStart w:id="86" w:name="quadro-de-decisão"/>
    <w:p>
      <w:pPr>
        <w:pStyle w:val="Heading2"/>
      </w:pPr>
      <w:r>
        <w:t xml:space="preserve">Quadro de decisão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Ainda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Preocupação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Entendo a diferença entre faturamento, codificação e o trabalho mais amplo de informação em saúde.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Revisei requisitos atuais de empregadores no meu mercado-alvo.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Verifiquei salários locais realistas em vez de depender de publicidade.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caminho completo é financeiramente viável.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Entendo os requisitos de credenciais e exames.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Entendo as condições de reembolso ao empregador, se houver.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 o caminho é acessível.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horário e o impacto familiar são viáveis.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Tenho um plano de avanço e saída.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86"/>
    <w:bookmarkStart w:id="87" w:name="plano-de-ação-de-doze-semanas"/>
    <w:p>
      <w:pPr>
        <w:pStyle w:val="Heading2"/>
      </w:pPr>
      <w:r>
        <w:t xml:space="preserve">Plano de ação de doze semanas</w:t>
      </w:r>
    </w:p>
    <w:p>
      <w:pPr>
        <w:pStyle w:val="FirstParagraph"/>
      </w:pPr>
      <w:r>
        <w:rPr>
          <w:bCs/>
          <w:b/>
        </w:rPr>
        <w:t xml:space="preserve">Semanas 1–2:</w:t>
      </w:r>
      <w:r>
        <w:t xml:space="preserve"> </w:t>
      </w:r>
      <w:r>
        <w:t xml:space="preserve">Defina pontos fortes, restrições, necessidades de acesso, necessidades linguísticas e condições não negociáveis.</w:t>
      </w:r>
    </w:p>
    <w:p>
      <w:pPr>
        <w:pStyle w:val="BodyText"/>
      </w:pPr>
      <w:r>
        <w:rPr>
          <w:bCs/>
          <w:b/>
        </w:rPr>
        <w:t xml:space="preserve">Semanas 3–4:</w:t>
      </w:r>
      <w:r>
        <w:t xml:space="preserve"> </w:t>
      </w:r>
      <w:r>
        <w:t xml:space="preserve">Estude funções de faturamento, codificação, informação em saúde e ciclo de receita; aprenda terminologia básica e limites de privacidade e segurança.</w:t>
      </w:r>
    </w:p>
    <w:p>
      <w:pPr>
        <w:pStyle w:val="BodyText"/>
      </w:pPr>
      <w:r>
        <w:rPr>
          <w:bCs/>
          <w:b/>
        </w:rPr>
        <w:t xml:space="preserve">Semanas 5–6:</w:t>
      </w:r>
      <w:r>
        <w:t xml:space="preserve"> </w:t>
      </w:r>
      <w:r>
        <w:t xml:space="preserve">Revise vagas locais atuais, salários, benefícios, horários e requisitos comuns dos empregadores.</w:t>
      </w:r>
    </w:p>
    <w:p>
      <w:pPr>
        <w:pStyle w:val="BodyText"/>
      </w:pPr>
      <w:r>
        <w:rPr>
          <w:bCs/>
          <w:b/>
        </w:rPr>
        <w:t xml:space="preserve">Semanas 7–8:</w:t>
      </w:r>
      <w:r>
        <w:t xml:space="preserve"> </w:t>
      </w:r>
      <w:r>
        <w:t xml:space="preserve">Compare opções educacionais públicas, apoiadas por empregadores e privadas; verifique caminhos de credenciais e exames.</w:t>
      </w:r>
    </w:p>
    <w:p>
      <w:pPr>
        <w:pStyle w:val="BodyText"/>
      </w:pPr>
      <w:r>
        <w:rPr>
          <w:bCs/>
          <w:b/>
        </w:rPr>
        <w:t xml:space="preserve">Semanas 9–10:</w:t>
      </w:r>
      <w:r>
        <w:t xml:space="preserve"> </w:t>
      </w:r>
      <w:r>
        <w:t xml:space="preserve">Verifique financiamento, custo total, questões tributárias, acordos de reembolso, adaptações e consequências da saída.</w:t>
      </w:r>
    </w:p>
    <w:p>
      <w:pPr>
        <w:pStyle w:val="BodyText"/>
      </w:pPr>
      <w:r>
        <w:rPr>
          <w:bCs/>
          <w:b/>
        </w:rPr>
        <w:t xml:space="preserve">Semanas 11–12:</w:t>
      </w:r>
      <w:r>
        <w:t xml:space="preserve"> </w:t>
      </w:r>
      <w:r>
        <w:t xml:space="preserve">Conclua amostras de trabalho éticas, prepare evidências para o currículo e histórias para entrevistas e decida se deve prosseguir, interromper ou mudar de direção.</w:t>
      </w:r>
    </w:p>
    <w:bookmarkEnd w:id="87"/>
    <w:bookmarkEnd w:id="88"/>
    <w:bookmarkStart w:id="99" w:name="Xb653b2d2e5b97a02d3be227e15cbb9a8d04dca6"/>
    <w:p>
      <w:pPr>
        <w:pStyle w:val="Heading1"/>
      </w:pPr>
      <w:r>
        <w:t xml:space="preserve">19. Planilhas, fontes, versões e manutenção</w:t>
      </w:r>
    </w:p>
    <w:bookmarkStart w:id="89" w:name="planilha-de-custos"/>
    <w:p>
      <w:pPr>
        <w:pStyle w:val="Heading2"/>
      </w:pPr>
      <w:r>
        <w:t xml:space="preserve">Planilha de custos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 de custo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pode pagar?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Fonte/data verificada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Mensalidades e taxas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Livros e conjuntos de códigos atuais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e tecnologia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Exame de certificação e associação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Viagem, estacionamento, hospedagem e refeições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Cuidados infantis ou de idosos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Salários perdidos ou redução de horas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 custos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X3cefe4829e04d6f9c3bb8843fd8c9a34089e483"/>
    <w:p>
      <w:pPr>
        <w:pStyle w:val="Heading2"/>
      </w:pPr>
      <w:r>
        <w:t xml:space="preserve">Planilha de educação financiada pelo empregador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por escrito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está coberto?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Pagamento direto ou reembolso?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Exigência de nota, exame ou desempenho?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Período obrigatório de permanência no emprego?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Fórmula de reembolso proporcional?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Tratamento em caso de demissão e eliminação do cargo?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Tratamento em caso de deficiência, serviço militar, aposentadoria, transferência ou fechamento?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detém os históricos acadêmicos e registros de credenciais?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Descontos em folha/pagamento final são autorizados e legais?</w:t>
            </w:r>
          </w:p>
        </w:tc>
        <w:tc>
          <w:tcPr/>
          <w:p>
            <w:pPr>
              <w:pStyle w:val="Compact"/>
            </w:pPr>
          </w:p>
        </w:tc>
      </w:tr>
    </w:tbl>
    <w:bookmarkEnd w:id="90"/>
    <w:bookmarkStart w:id="97" w:name="fontes-principais"/>
    <w:p>
      <w:pPr>
        <w:pStyle w:val="Heading2"/>
      </w:pPr>
      <w:r>
        <w:t xml:space="preserve">Fontes principais</w:t>
      </w:r>
    </w:p>
    <w:bookmarkStart w:id="94" w:name="estados-unidos-1"/>
    <w:p>
      <w:pPr>
        <w:pStyle w:val="Heading3"/>
      </w:pPr>
      <w:r>
        <w:t xml:space="preserve">Estados Unidos</w:t>
      </w:r>
    </w:p>
    <w:p>
      <w:pPr>
        <w:numPr>
          <w:ilvl w:val="0"/>
          <w:numId w:val="1030"/>
        </w:numPr>
        <w:pStyle w:val="Compact"/>
      </w:pPr>
      <w:r>
        <w:t xml:space="preserve">U.S. Bureau of Labor Statistics — Medical Records Specialists:</w:t>
      </w:r>
      <w:r>
        <w:t xml:space="preserve"> </w:t>
      </w:r>
      <w:hyperlink r:id="rId40">
        <w:r>
          <w:rPr>
            <w:rStyle w:val="Hyperlink"/>
          </w:rPr>
          <w:t xml:space="preserve">https://www.bls.gov/ooh/healthcare/medical-records-and-health-information-technicians.htm</w:t>
        </w:r>
      </w:hyperlink>
    </w:p>
    <w:p>
      <w:pPr>
        <w:numPr>
          <w:ilvl w:val="0"/>
          <w:numId w:val="1030"/>
        </w:numPr>
        <w:pStyle w:val="Compact"/>
      </w:pPr>
      <w:r>
        <w:t xml:space="preserve">CMS — ICD-10:</w:t>
      </w:r>
      <w:r>
        <w:t xml:space="preserve"> </w:t>
      </w:r>
      <w:hyperlink r:id="rId91">
        <w:r>
          <w:rPr>
            <w:rStyle w:val="Hyperlink"/>
          </w:rPr>
          <w:t xml:space="preserve">https://www.cms.gov/medicare/coding-billing/icd-10-codes</w:t>
        </w:r>
      </w:hyperlink>
    </w:p>
    <w:p>
      <w:pPr>
        <w:numPr>
          <w:ilvl w:val="0"/>
          <w:numId w:val="1030"/>
        </w:numPr>
        <w:pStyle w:val="Compact"/>
      </w:pPr>
      <w:r>
        <w:t xml:space="preserve">CMS — HCPCS:</w:t>
      </w:r>
      <w:r>
        <w:t xml:space="preserve"> </w:t>
      </w:r>
      <w:hyperlink r:id="rId92">
        <w:r>
          <w:rPr>
            <w:rStyle w:val="Hyperlink"/>
          </w:rPr>
          <w:t xml:space="preserve">https://www.cms.gov/medicare/coding-billing/healthcare-common-procedure-system</w:t>
        </w:r>
      </w:hyperlink>
    </w:p>
    <w:p>
      <w:pPr>
        <w:numPr>
          <w:ilvl w:val="0"/>
          <w:numId w:val="1030"/>
        </w:numPr>
        <w:pStyle w:val="Compact"/>
      </w:pPr>
      <w:r>
        <w:t xml:space="preserve">HHS Office for Civil Rights — HIPAA Privacy Rule:</w:t>
      </w:r>
      <w:r>
        <w:t xml:space="preserve"> </w:t>
      </w:r>
      <w:hyperlink r:id="rId65">
        <w:r>
          <w:rPr>
            <w:rStyle w:val="Hyperlink"/>
          </w:rPr>
          <w:t xml:space="preserve">https://www.hhs.gov/hipaa/for-professionals/privacy/index.html</w:t>
        </w:r>
      </w:hyperlink>
    </w:p>
    <w:p>
      <w:pPr>
        <w:numPr>
          <w:ilvl w:val="0"/>
          <w:numId w:val="1030"/>
        </w:numPr>
        <w:pStyle w:val="Compact"/>
      </w:pPr>
      <w:r>
        <w:t xml:space="preserve">HHS — Minimum Necessary Requirement:</w:t>
      </w:r>
      <w:r>
        <w:t xml:space="preserve"> </w:t>
      </w:r>
      <w:hyperlink r:id="rId66">
        <w:r>
          <w:rPr>
            <w:rStyle w:val="Hyperlink"/>
          </w:rPr>
          <w:t xml:space="preserve">https://www.hhs.gov/hipaa/for-professionals/privacy/guidance/minimum-necessary-requirement/index.html</w:t>
        </w:r>
      </w:hyperlink>
    </w:p>
    <w:p>
      <w:pPr>
        <w:numPr>
          <w:ilvl w:val="0"/>
          <w:numId w:val="1030"/>
        </w:numPr>
        <w:pStyle w:val="Compact"/>
      </w:pPr>
      <w:r>
        <w:t xml:space="preserve">AHIMA — certificações:</w:t>
      </w:r>
      <w:r>
        <w:t xml:space="preserve"> </w:t>
      </w:r>
      <w:hyperlink r:id="rId93">
        <w:r>
          <w:rPr>
            <w:rStyle w:val="Hyperlink"/>
          </w:rPr>
          <w:t xml:space="preserve">https://www.ahima.org/certification-careers/certifications-overview/</w:t>
        </w:r>
      </w:hyperlink>
    </w:p>
    <w:p>
      <w:pPr>
        <w:numPr>
          <w:ilvl w:val="0"/>
          <w:numId w:val="1030"/>
        </w:numPr>
        <w:pStyle w:val="Compact"/>
      </w:pPr>
      <w:r>
        <w:t xml:space="preserve">AAPC:</w:t>
      </w:r>
      <w:r>
        <w:t xml:space="preserve"> </w:t>
      </w:r>
      <w:hyperlink r:id="rId50">
        <w:r>
          <w:rPr>
            <w:rStyle w:val="Hyperlink"/>
          </w:rPr>
          <w:t xml:space="preserve">https://www.aapc.com/</w:t>
        </w:r>
      </w:hyperlink>
    </w:p>
    <w:p>
      <w:pPr>
        <w:numPr>
          <w:ilvl w:val="0"/>
          <w:numId w:val="1030"/>
        </w:numPr>
        <w:pStyle w:val="Compact"/>
      </w:pPr>
      <w:r>
        <w:t xml:space="preserve">Apprenticeship.gov — saúde:</w:t>
      </w:r>
      <w:r>
        <w:t xml:space="preserve"> </w:t>
      </w:r>
      <w:hyperlink r:id="rId60">
        <w:r>
          <w:rPr>
            <w:rStyle w:val="Hyperlink"/>
          </w:rPr>
          <w:t xml:space="preserve">https://www.apprenticeship.gov/apprenticeship-industries/healthcare</w:t>
        </w:r>
      </w:hyperlink>
    </w:p>
    <w:p>
      <w:pPr>
        <w:numPr>
          <w:ilvl w:val="0"/>
          <w:numId w:val="1030"/>
        </w:numPr>
        <w:pStyle w:val="Compact"/>
      </w:pPr>
      <w:r>
        <w:t xml:space="preserve">U.S. Department of Labor — American Job Centers:</w:t>
      </w:r>
      <w:r>
        <w:t xml:space="preserve"> </w:t>
      </w:r>
      <w:hyperlink r:id="rId56">
        <w:r>
          <w:rPr>
            <w:rStyle w:val="Hyperlink"/>
          </w:rPr>
          <w:t xml:space="preserve">https://www.dol.gov/general/topic/training/onestop</w:t>
        </w:r>
      </w:hyperlink>
    </w:p>
    <w:p>
      <w:pPr>
        <w:numPr>
          <w:ilvl w:val="0"/>
          <w:numId w:val="1030"/>
        </w:numPr>
        <w:pStyle w:val="Compact"/>
      </w:pPr>
      <w:r>
        <w:t xml:space="preserve">U.S. Department of Labor — programas WIOA:</w:t>
      </w:r>
      <w:r>
        <w:t xml:space="preserve"> </w:t>
      </w:r>
      <w:hyperlink r:id="rId57">
        <w:r>
          <w:rPr>
            <w:rStyle w:val="Hyperlink"/>
          </w:rPr>
          <w:t xml:space="preserve">https://www.dol.gov/agencies/eta/wioa/programs</w:t>
        </w:r>
      </w:hyperlink>
    </w:p>
    <w:p>
      <w:pPr>
        <w:numPr>
          <w:ilvl w:val="0"/>
          <w:numId w:val="1030"/>
        </w:numPr>
        <w:pStyle w:val="Compact"/>
      </w:pPr>
      <w:r>
        <w:t xml:space="preserve">CareerOneStop — localizador de treinamento elegível para WIOA:</w:t>
      </w:r>
      <w:r>
        <w:t xml:space="preserve"> </w:t>
      </w:r>
      <w:hyperlink r:id="rId58">
        <w:r>
          <w:rPr>
            <w:rStyle w:val="Hyperlink"/>
          </w:rPr>
          <w:t xml:space="preserve">https://www.careeronestop.org/LocalHelp/EmploymentAndTraining/find-WIOA-training-programs.aspx</w:t>
        </w:r>
      </w:hyperlink>
    </w:p>
    <w:p>
      <w:pPr>
        <w:numPr>
          <w:ilvl w:val="0"/>
          <w:numId w:val="1030"/>
        </w:numPr>
        <w:pStyle w:val="Compact"/>
      </w:pPr>
      <w:r>
        <w:t xml:space="preserve">ZipRecruiter — estimativa de mercado para o título exato:</w:t>
      </w:r>
      <w:r>
        <w:t xml:space="preserve"> </w:t>
      </w:r>
      <w:hyperlink r:id="rId42">
        <w:r>
          <w:rPr>
            <w:rStyle w:val="Hyperlink"/>
          </w:rPr>
          <w:t xml:space="preserve">https://www.ziprecruiter.com/Salaries/Medical-Billing-Coding-Specialist-Salary</w:t>
        </w:r>
      </w:hyperlink>
    </w:p>
    <w:bookmarkEnd w:id="94"/>
    <w:bookmarkStart w:id="95" w:name="canadá"/>
    <w:p>
      <w:pPr>
        <w:pStyle w:val="Heading3"/>
      </w:pPr>
      <w:r>
        <w:t xml:space="preserve">Canadá</w:t>
      </w:r>
    </w:p>
    <w:p>
      <w:pPr>
        <w:numPr>
          <w:ilvl w:val="0"/>
          <w:numId w:val="1031"/>
        </w:numPr>
        <w:pStyle w:val="Compact"/>
      </w:pPr>
      <w:r>
        <w:t xml:space="preserve">Canada Job Bank — Health information management occupations:</w:t>
      </w:r>
      <w:r>
        <w:t xml:space="preserve"> </w:t>
      </w:r>
      <w:hyperlink r:id="rId75">
        <w:r>
          <w:rPr>
            <w:rStyle w:val="Hyperlink"/>
          </w:rPr>
          <w:t xml:space="preserve">https://www.jobbank.gc.ca/marketreport/summary-occupation/25614/ca</w:t>
        </w:r>
      </w:hyperlink>
    </w:p>
    <w:p>
      <w:pPr>
        <w:numPr>
          <w:ilvl w:val="0"/>
          <w:numId w:val="1031"/>
        </w:numPr>
        <w:pStyle w:val="Compact"/>
      </w:pPr>
      <w:r>
        <w:t xml:space="preserve">Canada Job Bank — salários de Patient-billing clerk:</w:t>
      </w:r>
      <w:r>
        <w:t xml:space="preserve"> </w:t>
      </w:r>
      <w:hyperlink r:id="rId77">
        <w:r>
          <w:rPr>
            <w:rStyle w:val="Hyperlink"/>
          </w:rPr>
          <w:t xml:space="preserve">https://www.jobbank.gc.ca/marketreport/wages-occupation/14119/ca</w:t>
        </w:r>
      </w:hyperlink>
    </w:p>
    <w:bookmarkEnd w:id="95"/>
    <w:bookmarkStart w:id="96" w:name="colômbia"/>
    <w:p>
      <w:pPr>
        <w:pStyle w:val="Heading3"/>
      </w:pPr>
      <w:r>
        <w:t xml:space="preserve">Colômbia</w:t>
      </w:r>
    </w:p>
    <w:p>
      <w:pPr>
        <w:numPr>
          <w:ilvl w:val="0"/>
          <w:numId w:val="1032"/>
        </w:numPr>
        <w:pStyle w:val="Compact"/>
      </w:pPr>
      <w:r>
        <w:t xml:space="preserve">SENA — Facturación de los servicios en salud, virtual:</w:t>
      </w:r>
      <w:r>
        <w:t xml:space="preserve"> </w:t>
      </w:r>
      <w:hyperlink r:id="rId81">
        <w:r>
          <w:rPr>
            <w:rStyle w:val="Hyperlink"/>
          </w:rPr>
          <w:t xml:space="preserve">https://betowa.sena.edu.co/oferta/facturacion-de-los-servicios-en-salud?modality=V&amp;programId=110493</w:t>
        </w:r>
      </w:hyperlink>
    </w:p>
    <w:p>
      <w:pPr>
        <w:numPr>
          <w:ilvl w:val="0"/>
          <w:numId w:val="1032"/>
        </w:numPr>
        <w:pStyle w:val="Compact"/>
      </w:pPr>
      <w:r>
        <w:t xml:space="preserve">SENA — Facturación de los servicios en salud, presencial:</w:t>
      </w:r>
      <w:r>
        <w:t xml:space="preserve"> </w:t>
      </w:r>
      <w:hyperlink r:id="rId82">
        <w:r>
          <w:rPr>
            <w:rStyle w:val="Hyperlink"/>
          </w:rPr>
          <w:t xml:space="preserve">https://betowa.sena.edu.co/oferta/facturacion-de-los-servicios-en-salud?programId=110492</w:t>
        </w:r>
      </w:hyperlink>
    </w:p>
    <w:bookmarkEnd w:id="96"/>
    <w:bookmarkEnd w:id="97"/>
    <w:bookmarkStart w:id="98" w:name="política-de-manutenção"/>
    <w:p>
      <w:pPr>
        <w:pStyle w:val="Heading2"/>
      </w:pPr>
      <w:r>
        <w:t xml:space="preserve">Política de manutenção</w:t>
      </w:r>
    </w:p>
    <w:p>
      <w:pPr>
        <w:pStyle w:val="FirstParagraph"/>
      </w:pPr>
      <w:r>
        <w:t xml:space="preserve">Revise informações sobre salários, perspectivas, conjuntos de códigos, privacidade, certificação, educação, apprenticeships, financiamento e links pelo menos uma vez por ano e antes de cada nova publicação. Marque informações incertas ou dependentes da jurisdição para verificação em vez de adivinhar.</w:t>
      </w:r>
    </w:p>
    <w:p>
      <w:pPr>
        <w:pStyle w:val="BodyText"/>
      </w:pPr>
      <w:r>
        <w:rPr>
          <w:bCs/>
          <w:b/>
        </w:rPr>
        <w:t xml:space="preserve">Princípio orientador:</w:t>
      </w:r>
      <w:r>
        <w:t xml:space="preserve"> </w:t>
      </w:r>
      <w:r>
        <w:t xml:space="preserve">Quando rapidez e integridade entrarem em conflito, a integridade vence. Quando confiança e incerteza entrarem em conflito, a incerteza deve ser declarada. Quando o interesse de uma instituição entrar em conflito com a proteção do leitor, o leitor vem em primeiro lugar.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betowa.sena.edu.co/oferta/facturacion-de-los-servicios-en-salud?modality=V&amp;programId=110493" TargetMode="External" /><Relationship Type="http://schemas.openxmlformats.org/officeDocument/2006/relationships/hyperlink" Id="rId82" Target="https://betowa.sena.edu.co/oferta/facturacion-de-los-servicios-en-salud?programId=110492" TargetMode="External" /><Relationship Type="http://schemas.openxmlformats.org/officeDocument/2006/relationships/hyperlink" Id="rId50" Target="https://www.aapc.com/" TargetMode="External" /><Relationship Type="http://schemas.openxmlformats.org/officeDocument/2006/relationships/hyperlink" Id="rId93" Target="https://www.ahima.org/certification-careers/certifications-overview/" TargetMode="External" /><Relationship Type="http://schemas.openxmlformats.org/officeDocument/2006/relationships/hyperlink" Id="rId46" Target="https://www.ahima.org/certification-careers/certifications-overview/cca/" TargetMode="External" /><Relationship Type="http://schemas.openxmlformats.org/officeDocument/2006/relationships/hyperlink" Id="rId48" Target="https://www.ahima.org/certification-careers/certifications-overview/ccs-p/" TargetMode="External" /><Relationship Type="http://schemas.openxmlformats.org/officeDocument/2006/relationships/hyperlink" Id="rId47" Target="https://www.ahima.org/certification-careers/certifications-overview/ccs/" TargetMode="External" /><Relationship Type="http://schemas.openxmlformats.org/officeDocument/2006/relationships/hyperlink" Id="rId60" Target="https://www.apprenticeship.gov/apprenticeship-industries/healthcare" TargetMode="External" /><Relationship Type="http://schemas.openxmlformats.org/officeDocument/2006/relationships/hyperlink" Id="rId40" Target="https://www.bls.gov/ooh/healthcare/medical-records-and-health-information-technicians.htm" TargetMode="External" /><Relationship Type="http://schemas.openxmlformats.org/officeDocument/2006/relationships/hyperlink" Id="rId58" Target="https://www.careeronestop.org/LocalHelp/EmploymentAndTraining/find-WIOA-training-programs.aspx" TargetMode="External" /><Relationship Type="http://schemas.openxmlformats.org/officeDocument/2006/relationships/hyperlink" Id="rId92" Target="https://www.cms.gov/medicare/coding-billing/healthcare-common-procedure-system" TargetMode="External" /><Relationship Type="http://schemas.openxmlformats.org/officeDocument/2006/relationships/hyperlink" Id="rId91" Target="https://www.cms.gov/medicare/coding-billing/icd-10-codes" TargetMode="External" /><Relationship Type="http://schemas.openxmlformats.org/officeDocument/2006/relationships/hyperlink" Id="rId57" Target="https://www.dol.gov/agencies/eta/wioa/programs" TargetMode="External" /><Relationship Type="http://schemas.openxmlformats.org/officeDocument/2006/relationships/hyperlink" Id="rId56" Target="https://www.dol.gov/general/topic/training/onestop" TargetMode="External" /><Relationship Type="http://schemas.openxmlformats.org/officeDocument/2006/relationships/hyperlink" Id="rId66" Target="https://www.hhs.gov/hipaa/for-professionals/privacy/guidance/minimum-necessary-requirement/index.html" TargetMode="External" /><Relationship Type="http://schemas.openxmlformats.org/officeDocument/2006/relationships/hyperlink" Id="rId65" Target="https://www.hhs.gov/hipaa/for-professionals/privacy/index.html" TargetMode="External" /><Relationship Type="http://schemas.openxmlformats.org/officeDocument/2006/relationships/hyperlink" Id="rId75" Target="https://www.jobbank.gc.ca/marketreport/summary-occupation/25614/ca" TargetMode="External" /><Relationship Type="http://schemas.openxmlformats.org/officeDocument/2006/relationships/hyperlink" Id="rId77" Target="https://www.jobbank.gc.ca/marketreport/wages-occupation/14119/ca" TargetMode="External" /><Relationship Type="http://schemas.openxmlformats.org/officeDocument/2006/relationships/hyperlink" Id="rId42" Target="https://www.ziprecruiter.com/Salaries/Medical-Billing-Coding-Specialist-Sala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betowa.sena.edu.co/oferta/facturacion-de-los-servicios-en-salud?modality=V&amp;programId=110493" TargetMode="External" /><Relationship Type="http://schemas.openxmlformats.org/officeDocument/2006/relationships/hyperlink" Id="rId82" Target="https://betowa.sena.edu.co/oferta/facturacion-de-los-servicios-en-salud?programId=110492" TargetMode="External" /><Relationship Type="http://schemas.openxmlformats.org/officeDocument/2006/relationships/hyperlink" Id="rId50" Target="https://www.aapc.com/" TargetMode="External" /><Relationship Type="http://schemas.openxmlformats.org/officeDocument/2006/relationships/hyperlink" Id="rId93" Target="https://www.ahima.org/certification-careers/certifications-overview/" TargetMode="External" /><Relationship Type="http://schemas.openxmlformats.org/officeDocument/2006/relationships/hyperlink" Id="rId46" Target="https://www.ahima.org/certification-careers/certifications-overview/cca/" TargetMode="External" /><Relationship Type="http://schemas.openxmlformats.org/officeDocument/2006/relationships/hyperlink" Id="rId48" Target="https://www.ahima.org/certification-careers/certifications-overview/ccs-p/" TargetMode="External" /><Relationship Type="http://schemas.openxmlformats.org/officeDocument/2006/relationships/hyperlink" Id="rId47" Target="https://www.ahima.org/certification-careers/certifications-overview/ccs/" TargetMode="External" /><Relationship Type="http://schemas.openxmlformats.org/officeDocument/2006/relationships/hyperlink" Id="rId60" Target="https://www.apprenticeship.gov/apprenticeship-industries/healthcare" TargetMode="External" /><Relationship Type="http://schemas.openxmlformats.org/officeDocument/2006/relationships/hyperlink" Id="rId40" Target="https://www.bls.gov/ooh/healthcare/medical-records-and-health-information-technicians.htm" TargetMode="External" /><Relationship Type="http://schemas.openxmlformats.org/officeDocument/2006/relationships/hyperlink" Id="rId58" Target="https://www.careeronestop.org/LocalHelp/EmploymentAndTraining/find-WIOA-training-programs.aspx" TargetMode="External" /><Relationship Type="http://schemas.openxmlformats.org/officeDocument/2006/relationships/hyperlink" Id="rId92" Target="https://www.cms.gov/medicare/coding-billing/healthcare-common-procedure-system" TargetMode="External" /><Relationship Type="http://schemas.openxmlformats.org/officeDocument/2006/relationships/hyperlink" Id="rId91" Target="https://www.cms.gov/medicare/coding-billing/icd-10-codes" TargetMode="External" /><Relationship Type="http://schemas.openxmlformats.org/officeDocument/2006/relationships/hyperlink" Id="rId57" Target="https://www.dol.gov/agencies/eta/wioa/programs" TargetMode="External" /><Relationship Type="http://schemas.openxmlformats.org/officeDocument/2006/relationships/hyperlink" Id="rId56" Target="https://www.dol.gov/general/topic/training/onestop" TargetMode="External" /><Relationship Type="http://schemas.openxmlformats.org/officeDocument/2006/relationships/hyperlink" Id="rId66" Target="https://www.hhs.gov/hipaa/for-professionals/privacy/guidance/minimum-necessary-requirement/index.html" TargetMode="External" /><Relationship Type="http://schemas.openxmlformats.org/officeDocument/2006/relationships/hyperlink" Id="rId65" Target="https://www.hhs.gov/hipaa/for-professionals/privacy/index.html" TargetMode="External" /><Relationship Type="http://schemas.openxmlformats.org/officeDocument/2006/relationships/hyperlink" Id="rId75" Target="https://www.jobbank.gc.ca/marketreport/summary-occupation/25614/ca" TargetMode="External" /><Relationship Type="http://schemas.openxmlformats.org/officeDocument/2006/relationships/hyperlink" Id="rId77" Target="https://www.jobbank.gc.ca/marketreport/wages-occupation/14119/ca" TargetMode="External" /><Relationship Type="http://schemas.openxmlformats.org/officeDocument/2006/relationships/hyperlink" Id="rId42" Target="https://www.ziprecruiter.com/Salaries/Medical-Billing-Coding-Specialist-Sala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2026-08-08T00:31:12Z</dcterms:created>
  <dcterms:modified xsi:type="dcterms:W3CDTF">2026-08-08T00:31:12Z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