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11def517619cf468cc8da56e06cb87ef50e8af0"/>
    <w:p>
      <w:pPr>
        <w:pStyle w:val="Heading1"/>
      </w:pPr>
      <w:r>
        <w:t xml:space="preserve">Lifelong Opportunity Guide 08 — Human Resources Assistant</w:t>
      </w:r>
    </w:p>
    <w:p>
      <w:pPr>
        <w:pStyle w:val="FirstParagraph"/>
      </w:pPr>
      <w:r>
        <w:rPr>
          <w:bCs/>
          <w:b/>
        </w:rPr>
        <w:t xml:space="preserve">Controlled 2026 English publication candidate</w:t>
      </w:r>
      <w:r>
        <w:br/>
      </w:r>
      <w:r>
        <w:t xml:space="preserve">Version 2.0 • August 2026</w:t>
      </w:r>
      <w:r>
        <w:br/>
      </w:r>
      <w:r>
        <w:t xml:space="preserve">Created and directed by Alberto (Al) Leiva</w:t>
      </w:r>
      <w:r>
        <w:br/>
      </w:r>
      <w:r>
        <w:t xml:space="preserve">Research, organization, editing, and document preparation assisted by ChatGPT, OpenAI</w:t>
      </w:r>
    </w:p>
    <w:p>
      <w:pPr>
        <w:pStyle w:val="BlockText"/>
      </w:pPr>
      <w:r>
        <w:rPr>
          <w:bCs/>
          <w:b/>
        </w:rPr>
        <w:t xml:space="preserve">Controlled status:</w:t>
      </w:r>
      <w:r>
        <w:t xml:space="preserve"> </w:t>
      </w:r>
      <w:r>
        <w:t xml:space="preserve">This is the controlled 2026 English publication candidate. It has passed the project’s research, editorial, claim-traceability, source-freeze, localization, parity, technical, DOCX, PDF, metadata, rendering, and publication QA gates documented in the repository. It does not constitute independent human certification, professional translation certification, accessibility certification, accreditation, legal review, or a guarantee of outcomes.</w:t>
      </w:r>
    </w:p>
    <w:bookmarkStart w:id="20" w:name="the-promise-of-this-guide"/>
    <w:p>
      <w:pPr>
        <w:pStyle w:val="Heading2"/>
      </w:pPr>
      <w:r>
        <w:t xml:space="preserve">The promise of this guide</w:t>
      </w:r>
    </w:p>
    <w:p>
      <w:pPr>
        <w:pStyle w:val="FirstParagraph"/>
      </w:pPr>
      <w:r>
        <w:t xml:space="preserve">This guide does not promise that Human Resources Assistant work is right for everyone, that training will be free, that a credential will lead to a job, or that a stated wage will be available in every location. Its purpose is to help readers understand the work, compare affordable learning paths, protect sensitive information, recognize role boundaries, prepare for automation and AI, and verify local requirements before spending money or accepting an employment or repayment obligation.</w:t>
      </w:r>
    </w:p>
    <w:bookmarkEnd w:id="20"/>
    <w:bookmarkStart w:id="21" w:name="why-this-guide-exists"/>
    <w:p>
      <w:pPr>
        <w:pStyle w:val="Heading2"/>
      </w:pPr>
      <w:r>
        <w:t xml:space="preserve">Why this guide exists</w:t>
      </w:r>
    </w:p>
    <w:p>
      <w:pPr>
        <w:pStyle w:val="FirstParagraph"/>
      </w:pPr>
      <w:r>
        <w:t xml:space="preserve">The Lifelong Opportunity Guides are designed to make career exploration more accessible to people who may face barriers related to age, disability, income, geography, language, caregiving, or a nontraditional work history. Human resources support can be an entry point into recruiting, onboarding, employee records, benefits administration, training coordination, HR operations, people analytics support, and related administrative work. The role also carries unusual responsibility because mistakes can affect people’s pay, benefits, privacy, employment records, workplace rights, and trust.</w:t>
      </w:r>
    </w:p>
    <w:bookmarkEnd w:id="21"/>
    <w:bookmarkStart w:id="22" w:name="acknowledgment-of-ai-assistance"/>
    <w:p>
      <w:pPr>
        <w:pStyle w:val="Heading2"/>
      </w:pPr>
      <w:r>
        <w:t xml:space="preserve">Acknowledgment of AI assistance</w:t>
      </w:r>
    </w:p>
    <w:p>
      <w:pPr>
        <w:pStyle w:val="FirstParagraph"/>
      </w:pPr>
      <w:r>
        <w:t xml:space="preserve">Alberto (Al) Leiva conceived and directs this project and remains responsible for the guide. ChatGPT by OpenAI was used as a support tool for research, organization, editing, and document preparation. AI assistance is not independent human certification, professional translation certification, accreditation, legal review, tax advice, employment-law advice, accessibility certification, or a substitute for current official sources and qualified human judgment.</w:t>
      </w:r>
    </w:p>
    <w:bookmarkEnd w:id="22"/>
    <w:bookmarkStart w:id="23" w:name="ethical-and-practical-limits"/>
    <w:p>
      <w:pPr>
        <w:pStyle w:val="Heading2"/>
      </w:pPr>
      <w:r>
        <w:t xml:space="preserve">Ethical and practical limits</w:t>
      </w:r>
    </w:p>
    <w:p>
      <w:pPr>
        <w:pStyle w:val="FirstParagraph"/>
      </w:pPr>
      <w:r>
        <w:t xml:space="preserve">This guide provides general education and career-navigation information. It does not provide individualized legal, tax, benefits, immigration, medical, mental-health, financial, labor-relations, accommodation, payroll, or licensing advice. Human resources duties and authority vary by employer, jurisdiction, sector, union or collective agreement, contract, privacy regime, payroll system, benefit plan, and internal policy. Verify high-impact facts with the current responsible authority or qualified professional before making a financial, educational, employment, or legal commitment.</w:t>
      </w:r>
    </w:p>
    <w:p>
      <w:r>
        <w:pict>
          <v:rect style="width:0;height:1.5pt" o:hralign="center" o:hrstd="t" o:hr="t"/>
        </w:pict>
      </w:r>
    </w:p>
    <w:bookmarkEnd w:id="23"/>
    <w:bookmarkStart w:id="24" w:name="how-to-use-this-guide"/>
    <w:p>
      <w:pPr>
        <w:pStyle w:val="Heading2"/>
      </w:pPr>
      <w:r>
        <w:t xml:space="preserve">1. How to use this guide</w:t>
      </w:r>
    </w:p>
    <w:p>
      <w:pPr>
        <w:pStyle w:val="FirstParagraph"/>
      </w:pPr>
      <w:r>
        <w:t xml:space="preserve">Begin with the work, not with a school or credential vendor.</w:t>
      </w:r>
    </w:p>
    <w:p>
      <w:pPr>
        <w:numPr>
          <w:ilvl w:val="0"/>
          <w:numId w:val="1001"/>
        </w:numPr>
        <w:pStyle w:val="Compact"/>
      </w:pPr>
      <w:r>
        <w:t xml:space="preserve">Identify the exact titles employers use where you live:</w:t>
      </w:r>
      <w:r>
        <w:t xml:space="preserve"> </w:t>
      </w:r>
      <w:r>
        <w:rPr>
          <w:rStyle w:val="VerbatimChar"/>
        </w:rPr>
        <w:t xml:space="preserve">Human Resources Assistant</w:t>
      </w:r>
      <w:r>
        <w:t xml:space="preserve">,</w:t>
      </w:r>
      <w:r>
        <w:t xml:space="preserve"> </w:t>
      </w:r>
      <w:r>
        <w:rPr>
          <w:rStyle w:val="VerbatimChar"/>
        </w:rPr>
        <w:t xml:space="preserve">HR Assistant</w:t>
      </w:r>
      <w:r>
        <w:t xml:space="preserve">,</w:t>
      </w:r>
      <w:r>
        <w:t xml:space="preserve"> </w:t>
      </w:r>
      <w:r>
        <w:rPr>
          <w:rStyle w:val="VerbatimChar"/>
        </w:rPr>
        <w:t xml:space="preserve">Personnel Clerk</w:t>
      </w:r>
      <w:r>
        <w:t xml:space="preserve">,</w:t>
      </w:r>
      <w:r>
        <w:t xml:space="preserve"> </w:t>
      </w:r>
      <w:r>
        <w:rPr>
          <w:rStyle w:val="VerbatimChar"/>
        </w:rPr>
        <w:t xml:space="preserve">HR Coordinator</w:t>
      </w:r>
      <w:r>
        <w:t xml:space="preserve">,</w:t>
      </w:r>
      <w:r>
        <w:t xml:space="preserve"> </w:t>
      </w:r>
      <w:r>
        <w:rPr>
          <w:rStyle w:val="VerbatimChar"/>
        </w:rPr>
        <w:t xml:space="preserve">Recruiting Coordinator</w:t>
      </w:r>
      <w:r>
        <w:t xml:space="preserve">,</w:t>
      </w:r>
      <w:r>
        <w:t xml:space="preserve"> </w:t>
      </w:r>
      <w:r>
        <w:rPr>
          <w:rStyle w:val="VerbatimChar"/>
        </w:rPr>
        <w:t xml:space="preserve">People Operations Assistant</w:t>
      </w:r>
      <w:r>
        <w:t xml:space="preserve">, or local equivalents.</w:t>
      </w:r>
    </w:p>
    <w:p>
      <w:pPr>
        <w:numPr>
          <w:ilvl w:val="0"/>
          <w:numId w:val="1001"/>
        </w:numPr>
        <w:pStyle w:val="Compact"/>
      </w:pPr>
      <w:r>
        <w:t xml:space="preserve">Separate administrative support from work that requires professional judgment, legal interpretation, licensed activity, or delegated authority.</w:t>
      </w:r>
    </w:p>
    <w:p>
      <w:pPr>
        <w:numPr>
          <w:ilvl w:val="0"/>
          <w:numId w:val="1001"/>
        </w:numPr>
        <w:pStyle w:val="Compact"/>
      </w:pPr>
      <w:r>
        <w:t xml:space="preserve">Review current local vacancies before paying for training.</w:t>
      </w:r>
    </w:p>
    <w:p>
      <w:pPr>
        <w:numPr>
          <w:ilvl w:val="0"/>
          <w:numId w:val="1001"/>
        </w:numPr>
        <w:pStyle w:val="Compact"/>
      </w:pPr>
      <w:r>
        <w:t xml:space="preserve">Compare the total pathway cost, not only tuition. Include books, software, exams, transportation, childcare, reduced work hours, internet, equipment, and repayment obligations.</w:t>
      </w:r>
    </w:p>
    <w:p>
      <w:pPr>
        <w:numPr>
          <w:ilvl w:val="0"/>
          <w:numId w:val="1001"/>
        </w:numPr>
        <w:pStyle w:val="Compact"/>
      </w:pPr>
      <w:r>
        <w:t xml:space="preserve">Use free or employer-supported learning first when it genuinely meets the next verified requirement.</w:t>
      </w:r>
    </w:p>
    <w:p>
      <w:pPr>
        <w:numPr>
          <w:ilvl w:val="0"/>
          <w:numId w:val="1001"/>
        </w:numPr>
        <w:pStyle w:val="Compact"/>
      </w:pPr>
      <w:r>
        <w:t xml:space="preserve">Stop when a provider promises employment, hides total cost or refund rules, pressures immediate payment, or presents an optional private credential as legally mandatory when it is not.</w:t>
      </w:r>
    </w:p>
    <w:bookmarkEnd w:id="24"/>
    <w:bookmarkStart w:id="25" w:name="what-the-work-is"/>
    <w:p>
      <w:pPr>
        <w:pStyle w:val="Heading2"/>
      </w:pPr>
      <w:r>
        <w:t xml:space="preserve">2. What the work is</w:t>
      </w:r>
    </w:p>
    <w:p>
      <w:pPr>
        <w:pStyle w:val="FirstParagraph"/>
      </w:pPr>
      <w:r>
        <w:t xml:space="preserve">Human resources assistants and personnel clerks support the administrative side of employment. Depending on the organization, they may:</w:t>
      </w:r>
    </w:p>
    <w:p>
      <w:pPr>
        <w:numPr>
          <w:ilvl w:val="0"/>
          <w:numId w:val="1002"/>
        </w:numPr>
        <w:pStyle w:val="Compact"/>
      </w:pPr>
      <w:r>
        <w:t xml:space="preserve">create, update, and maintain employee and applicant records;</w:t>
      </w:r>
    </w:p>
    <w:p>
      <w:pPr>
        <w:numPr>
          <w:ilvl w:val="0"/>
          <w:numId w:val="1002"/>
        </w:numPr>
        <w:pStyle w:val="Compact"/>
      </w:pPr>
      <w:r>
        <w:t xml:space="preserve">support recruiting, interview scheduling, onboarding, orientation, and offboarding;</w:t>
      </w:r>
    </w:p>
    <w:p>
      <w:pPr>
        <w:numPr>
          <w:ilvl w:val="0"/>
          <w:numId w:val="1002"/>
        </w:numPr>
        <w:pStyle w:val="Compact"/>
      </w:pPr>
      <w:r>
        <w:t xml:space="preserve">prepare routine letters, forms, reports, checklists, and status updates;</w:t>
      </w:r>
    </w:p>
    <w:p>
      <w:pPr>
        <w:numPr>
          <w:ilvl w:val="0"/>
          <w:numId w:val="1002"/>
        </w:numPr>
        <w:pStyle w:val="Compact"/>
      </w:pPr>
      <w:r>
        <w:t xml:space="preserve">route benefits, leave, payroll-change, training, or accommodation documentation to authorized specialists;</w:t>
      </w:r>
    </w:p>
    <w:p>
      <w:pPr>
        <w:numPr>
          <w:ilvl w:val="0"/>
          <w:numId w:val="1002"/>
        </w:numPr>
        <w:pStyle w:val="Compact"/>
      </w:pPr>
      <w:r>
        <w:t xml:space="preserve">answer approved process questions without giving legal or policy interpretations beyond their authority;</w:t>
      </w:r>
    </w:p>
    <w:p>
      <w:pPr>
        <w:numPr>
          <w:ilvl w:val="0"/>
          <w:numId w:val="1002"/>
        </w:numPr>
        <w:pStyle w:val="Compact"/>
      </w:pPr>
      <w:r>
        <w:t xml:space="preserve">support background-check, credential-verification, training, or performance-documentation workflows;</w:t>
      </w:r>
    </w:p>
    <w:p>
      <w:pPr>
        <w:numPr>
          <w:ilvl w:val="0"/>
          <w:numId w:val="1002"/>
        </w:numPr>
        <w:pStyle w:val="Compact"/>
      </w:pPr>
      <w:r>
        <w:t xml:space="preserve">maintain HR information systems and document repositories;</w:t>
      </w:r>
    </w:p>
    <w:p>
      <w:pPr>
        <w:numPr>
          <w:ilvl w:val="0"/>
          <w:numId w:val="1002"/>
        </w:numPr>
        <w:pStyle w:val="Compact"/>
      </w:pPr>
      <w:r>
        <w:t xml:space="preserve">monitor deadlines and missing information; and</w:t>
      </w:r>
    </w:p>
    <w:p>
      <w:pPr>
        <w:numPr>
          <w:ilvl w:val="0"/>
          <w:numId w:val="1002"/>
        </w:numPr>
        <w:pStyle w:val="Compact"/>
      </w:pPr>
      <w:r>
        <w:t xml:space="preserve">escalate sensitive or regulated matters.</w:t>
      </w:r>
    </w:p>
    <w:p>
      <w:pPr>
        <w:pStyle w:val="FirstParagraph"/>
      </w:pPr>
      <w:r>
        <w:t xml:space="preserve">In the United States, the Bureau of Labor Statistics classifies</w:t>
      </w:r>
      <w:r>
        <w:t xml:space="preserve"> </w:t>
      </w:r>
      <w:r>
        <w:rPr>
          <w:bCs/>
          <w:b/>
        </w:rPr>
        <w:t xml:space="preserve">Human Resources Assistants, Except Payroll and Timekeeping</w:t>
      </w:r>
      <w:r>
        <w:t xml:space="preserve"> </w:t>
      </w:r>
      <w:r>
        <w:t xml:space="preserve">under SOC</w:t>
      </w:r>
      <w:r>
        <w:t xml:space="preserve"> </w:t>
      </w:r>
      <w:r>
        <w:rPr>
          <w:bCs/>
          <w:b/>
        </w:rPr>
        <w:t xml:space="preserve">43-4161</w:t>
      </w:r>
      <w:r>
        <w:t xml:space="preserve">. In Canada, Job Bank maps Human Resources Assistant to</w:t>
      </w:r>
      <w:r>
        <w:t xml:space="preserve"> </w:t>
      </w:r>
      <w:r>
        <w:rPr>
          <w:bCs/>
          <w:b/>
        </w:rPr>
        <w:t xml:space="preserve">Personnel clerks, NOC 14102</w:t>
      </w:r>
      <w:r>
        <w:t xml:space="preserve">. Titles are not perfectly equivalent across employers or countries, so compare the duties rather than relying on title alone.</w:t>
      </w:r>
    </w:p>
    <w:bookmarkEnd w:id="25"/>
    <w:bookmarkStart w:id="28" w:name="duties-tools-and-work-cycles"/>
    <w:p>
      <w:pPr>
        <w:pStyle w:val="Heading2"/>
      </w:pPr>
      <w:r>
        <w:t xml:space="preserve">3. Duties, tools, and work cycles</w:t>
      </w:r>
    </w:p>
    <w:bookmarkStart w:id="26" w:name="common-duties"/>
    <w:p>
      <w:pPr>
        <w:pStyle w:val="Heading3"/>
      </w:pPr>
      <w:r>
        <w:t xml:space="preserve">Common duties</w:t>
      </w:r>
    </w:p>
    <w:p>
      <w:pPr>
        <w:pStyle w:val="FirstParagraph"/>
      </w:pPr>
      <w:r>
        <w:t xml:space="preserve">Human resources support work often involves:</w:t>
      </w:r>
    </w:p>
    <w:p>
      <w:pPr>
        <w:numPr>
          <w:ilvl w:val="0"/>
          <w:numId w:val="1003"/>
        </w:numPr>
        <w:pStyle w:val="Compact"/>
      </w:pPr>
      <w:r>
        <w:t xml:space="preserve">applicant tracking systems;</w:t>
      </w:r>
    </w:p>
    <w:p>
      <w:pPr>
        <w:numPr>
          <w:ilvl w:val="0"/>
          <w:numId w:val="1003"/>
        </w:numPr>
        <w:pStyle w:val="Compact"/>
      </w:pPr>
      <w:r>
        <w:t xml:space="preserve">human resources information systems (HRIS);</w:t>
      </w:r>
    </w:p>
    <w:p>
      <w:pPr>
        <w:numPr>
          <w:ilvl w:val="0"/>
          <w:numId w:val="1003"/>
        </w:numPr>
        <w:pStyle w:val="Compact"/>
      </w:pPr>
      <w:r>
        <w:t xml:space="preserve">spreadsheets and document-management tools;</w:t>
      </w:r>
    </w:p>
    <w:p>
      <w:pPr>
        <w:numPr>
          <w:ilvl w:val="0"/>
          <w:numId w:val="1003"/>
        </w:numPr>
        <w:pStyle w:val="Compact"/>
      </w:pPr>
      <w:r>
        <w:t xml:space="preserve">email, calendar, messaging, and ticketing systems;</w:t>
      </w:r>
    </w:p>
    <w:p>
      <w:pPr>
        <w:numPr>
          <w:ilvl w:val="0"/>
          <w:numId w:val="1003"/>
        </w:numPr>
        <w:pStyle w:val="Compact"/>
      </w:pPr>
      <w:r>
        <w:t xml:space="preserve">onboarding and e-signature platforms;</w:t>
      </w:r>
    </w:p>
    <w:p>
      <w:pPr>
        <w:numPr>
          <w:ilvl w:val="0"/>
          <w:numId w:val="1003"/>
        </w:numPr>
        <w:pStyle w:val="Compact"/>
      </w:pPr>
      <w:r>
        <w:t xml:space="preserve">learning-management systems;</w:t>
      </w:r>
    </w:p>
    <w:p>
      <w:pPr>
        <w:numPr>
          <w:ilvl w:val="0"/>
          <w:numId w:val="1003"/>
        </w:numPr>
        <w:pStyle w:val="Compact"/>
      </w:pPr>
      <w:r>
        <w:t xml:space="preserve">benefits and payroll interfaces;</w:t>
      </w:r>
    </w:p>
    <w:p>
      <w:pPr>
        <w:numPr>
          <w:ilvl w:val="0"/>
          <w:numId w:val="1003"/>
        </w:numPr>
        <w:pStyle w:val="Compact"/>
      </w:pPr>
      <w:r>
        <w:t xml:space="preserve">background-check portals;</w:t>
      </w:r>
    </w:p>
    <w:p>
      <w:pPr>
        <w:numPr>
          <w:ilvl w:val="0"/>
          <w:numId w:val="1003"/>
        </w:numPr>
        <w:pStyle w:val="Compact"/>
      </w:pPr>
      <w:r>
        <w:t xml:space="preserve">reporting dashboards; and</w:t>
      </w:r>
    </w:p>
    <w:p>
      <w:pPr>
        <w:numPr>
          <w:ilvl w:val="0"/>
          <w:numId w:val="1003"/>
        </w:numPr>
        <w:pStyle w:val="Compact"/>
      </w:pPr>
      <w:r>
        <w:t xml:space="preserve">approved AI-enabled productivity tools where governance permits them.</w:t>
      </w:r>
    </w:p>
    <w:bookmarkEnd w:id="26"/>
    <w:bookmarkStart w:id="27" w:name="a-realistic-work-cycle"/>
    <w:p>
      <w:pPr>
        <w:pStyle w:val="Heading3"/>
      </w:pPr>
      <w:r>
        <w:t xml:space="preserve">A realistic work cycle</w:t>
      </w:r>
    </w:p>
    <w:p>
      <w:pPr>
        <w:numPr>
          <w:ilvl w:val="0"/>
          <w:numId w:val="1004"/>
        </w:numPr>
        <w:pStyle w:val="Compact"/>
      </w:pPr>
      <w:r>
        <w:t xml:space="preserve">Confirm the request, person, deadline, authority, and sensitivity.</w:t>
      </w:r>
    </w:p>
    <w:p>
      <w:pPr>
        <w:numPr>
          <w:ilvl w:val="0"/>
          <w:numId w:val="1004"/>
        </w:numPr>
        <w:pStyle w:val="Compact"/>
      </w:pPr>
      <w:r>
        <w:t xml:space="preserve">Use the approved policy, form, system, or workflow.</w:t>
      </w:r>
    </w:p>
    <w:p>
      <w:pPr>
        <w:numPr>
          <w:ilvl w:val="0"/>
          <w:numId w:val="1004"/>
        </w:numPr>
        <w:pStyle w:val="Compact"/>
      </w:pPr>
      <w:r>
        <w:t xml:space="preserve">Verify identity, completeness, dates, approvals, and data accuracy.</w:t>
      </w:r>
    </w:p>
    <w:p>
      <w:pPr>
        <w:numPr>
          <w:ilvl w:val="0"/>
          <w:numId w:val="1004"/>
        </w:numPr>
        <w:pStyle w:val="Compact"/>
      </w:pPr>
      <w:r>
        <w:t xml:space="preserve">Route the item to the correct decision-maker when judgment or regulated authority is required.</w:t>
      </w:r>
    </w:p>
    <w:p>
      <w:pPr>
        <w:numPr>
          <w:ilvl w:val="0"/>
          <w:numId w:val="1004"/>
        </w:numPr>
        <w:pStyle w:val="Compact"/>
      </w:pPr>
      <w:r>
        <w:t xml:space="preserve">Communicate status without disclosing restricted information.</w:t>
      </w:r>
    </w:p>
    <w:p>
      <w:pPr>
        <w:numPr>
          <w:ilvl w:val="0"/>
          <w:numId w:val="1004"/>
        </w:numPr>
        <w:pStyle w:val="Compact"/>
      </w:pPr>
      <w:r>
        <w:t xml:space="preserve">Record the action and retain documentation according to policy.</w:t>
      </w:r>
    </w:p>
    <w:p>
      <w:pPr>
        <w:numPr>
          <w:ilvl w:val="0"/>
          <w:numId w:val="1004"/>
        </w:numPr>
        <w:pStyle w:val="Compact"/>
      </w:pPr>
      <w:r>
        <w:t xml:space="preserve">Escalate discrimination, retaliation, harassment, wage, leave, accommodation, safety, fraud, privacy, or employee-relations concerns.</w:t>
      </w:r>
    </w:p>
    <w:p>
      <w:pPr>
        <w:pStyle w:val="FirstParagraph"/>
      </w:pPr>
      <w:r>
        <w:t xml:space="preserve">Actual procedures must follow employer policy, applicable law, system controls, segregation of duties, supervision, and record-retention requirements.</w:t>
      </w:r>
    </w:p>
    <w:bookmarkEnd w:id="27"/>
    <w:bookmarkEnd w:id="28"/>
    <w:bookmarkStart w:id="29" w:name="fit-conditions-and-safety"/>
    <w:p>
      <w:pPr>
        <w:pStyle w:val="Heading2"/>
      </w:pPr>
      <w:r>
        <w:t xml:space="preserve">4. Fit, conditions, and safety</w:t>
      </w:r>
    </w:p>
    <w:p>
      <w:pPr>
        <w:pStyle w:val="FirstParagraph"/>
      </w:pPr>
      <w:r>
        <w:t xml:space="preserve">Ask yourself:</w:t>
      </w:r>
    </w:p>
    <w:p>
      <w:pPr>
        <w:numPr>
          <w:ilvl w:val="0"/>
          <w:numId w:val="1005"/>
        </w:numPr>
        <w:pStyle w:val="Compact"/>
      </w:pPr>
      <w:r>
        <w:t xml:space="preserve">Can I handle repetitive records work without becoming careless?</w:t>
      </w:r>
    </w:p>
    <w:p>
      <w:pPr>
        <w:numPr>
          <w:ilvl w:val="0"/>
          <w:numId w:val="1005"/>
        </w:numPr>
        <w:pStyle w:val="Compact"/>
      </w:pPr>
      <w:r>
        <w:t xml:space="preserve">Can I switch between confidential tasks and frequent employee questions?</w:t>
      </w:r>
    </w:p>
    <w:p>
      <w:pPr>
        <w:numPr>
          <w:ilvl w:val="0"/>
          <w:numId w:val="1005"/>
        </w:numPr>
        <w:pStyle w:val="Compact"/>
      </w:pPr>
      <w:r>
        <w:t xml:space="preserve">Can I remain neutral when someone is upset, embarrassed, angry, or afraid?</w:t>
      </w:r>
    </w:p>
    <w:p>
      <w:pPr>
        <w:numPr>
          <w:ilvl w:val="0"/>
          <w:numId w:val="1005"/>
        </w:numPr>
        <w:pStyle w:val="Compact"/>
      </w:pPr>
      <w:r>
        <w:t xml:space="preserve">Can I protect information even when a manager pressures me for access?</w:t>
      </w:r>
    </w:p>
    <w:p>
      <w:pPr>
        <w:numPr>
          <w:ilvl w:val="0"/>
          <w:numId w:val="1005"/>
        </w:numPr>
        <w:pStyle w:val="Compact"/>
      </w:pPr>
      <w:r>
        <w:t xml:space="preserve">Can I follow process without pretending to know an answer I do not know?</w:t>
      </w:r>
    </w:p>
    <w:p>
      <w:pPr>
        <w:numPr>
          <w:ilvl w:val="0"/>
          <w:numId w:val="1005"/>
        </w:numPr>
        <w:pStyle w:val="Compact"/>
      </w:pPr>
      <w:r>
        <w:t xml:space="preserve">Can I work with changing software and automation while retaining the underlying business logic?</w:t>
      </w:r>
    </w:p>
    <w:p>
      <w:pPr>
        <w:numPr>
          <w:ilvl w:val="0"/>
          <w:numId w:val="1005"/>
        </w:numPr>
        <w:pStyle w:val="Compact"/>
      </w:pPr>
      <w:r>
        <w:t xml:space="preserve">Does the schedule work with transportation, caregiving, disability, health, or family responsibilities?</w:t>
      </w:r>
    </w:p>
    <w:p>
      <w:pPr>
        <w:numPr>
          <w:ilvl w:val="0"/>
          <w:numId w:val="1005"/>
        </w:numPr>
        <w:pStyle w:val="Compact"/>
      </w:pPr>
      <w:r>
        <w:t xml:space="preserve">What accommodations, assistive technology, predictable scheduling, ergonomic changes, or alternative training formats would make the pathway sustainable?</w:t>
      </w:r>
    </w:p>
    <w:p>
      <w:pPr>
        <w:pStyle w:val="FirstParagraph"/>
      </w:pPr>
      <w:r>
        <w:t xml:space="preserve">Pause if an employer expects you to perform investigations, legal interpretation, compensation decisions, accommodation determinations, payroll release, immigration decisions, or other regulated work without proper authority and supervision.</w:t>
      </w:r>
    </w:p>
    <w:bookmarkEnd w:id="29"/>
    <w:bookmarkStart w:id="30" w:name="ethics-boundaries-and-escalation"/>
    <w:p>
      <w:pPr>
        <w:pStyle w:val="Heading2"/>
      </w:pPr>
      <w:r>
        <w:t xml:space="preserve">5. Ethics, boundaries, and escalation</w:t>
      </w:r>
    </w:p>
    <w:p>
      <w:pPr>
        <w:pStyle w:val="FirstParagraph"/>
      </w:pPr>
      <w:r>
        <w:t xml:space="preserve">Human resources assistants often see information that other employees should not see. Access is not permission to use or share it.</w:t>
      </w:r>
    </w:p>
    <w:p>
      <w:pPr>
        <w:pStyle w:val="BodyText"/>
      </w:pPr>
      <w:r>
        <w:t xml:space="preserve">Do not:</w:t>
      </w:r>
    </w:p>
    <w:p>
      <w:pPr>
        <w:numPr>
          <w:ilvl w:val="0"/>
          <w:numId w:val="1006"/>
        </w:numPr>
        <w:pStyle w:val="Compact"/>
      </w:pPr>
      <w:r>
        <w:t xml:space="preserve">access personnel records out of curiosity;</w:t>
      </w:r>
    </w:p>
    <w:p>
      <w:pPr>
        <w:numPr>
          <w:ilvl w:val="0"/>
          <w:numId w:val="1006"/>
        </w:numPr>
        <w:pStyle w:val="Compact"/>
      </w:pPr>
      <w:r>
        <w:t xml:space="preserve">disclose medical, disability, identity, compensation, complaint, disciplinary, background-check, immigration, or banking information without authorization;</w:t>
      </w:r>
    </w:p>
    <w:p>
      <w:pPr>
        <w:numPr>
          <w:ilvl w:val="0"/>
          <w:numId w:val="1006"/>
        </w:numPr>
        <w:pStyle w:val="Compact"/>
      </w:pPr>
      <w:r>
        <w:t xml:space="preserve">promise confidentiality when policy or law does not permit that promise;</w:t>
      </w:r>
    </w:p>
    <w:p>
      <w:pPr>
        <w:numPr>
          <w:ilvl w:val="0"/>
          <w:numId w:val="1006"/>
        </w:numPr>
        <w:pStyle w:val="Compact"/>
      </w:pPr>
      <w:r>
        <w:t xml:space="preserve">alter records to make an issue disappear;</w:t>
      </w:r>
    </w:p>
    <w:p>
      <w:pPr>
        <w:numPr>
          <w:ilvl w:val="0"/>
          <w:numId w:val="1006"/>
        </w:numPr>
        <w:pStyle w:val="Compact"/>
      </w:pPr>
      <w:r>
        <w:t xml:space="preserve">backdate approvals or fabricate signatures;</w:t>
      </w:r>
    </w:p>
    <w:p>
      <w:pPr>
        <w:numPr>
          <w:ilvl w:val="0"/>
          <w:numId w:val="1006"/>
        </w:numPr>
        <w:pStyle w:val="Compact"/>
      </w:pPr>
      <w:r>
        <w:t xml:space="preserve">give legal, tax, benefits, immigration, or labor-relations advice beyond your role;</w:t>
      </w:r>
    </w:p>
    <w:p>
      <w:pPr>
        <w:numPr>
          <w:ilvl w:val="0"/>
          <w:numId w:val="1006"/>
        </w:numPr>
        <w:pStyle w:val="Compact"/>
      </w:pPr>
      <w:r>
        <w:t xml:space="preserve">decide whether a person is disabled or entitled to an accommodation;</w:t>
      </w:r>
    </w:p>
    <w:p>
      <w:pPr>
        <w:numPr>
          <w:ilvl w:val="0"/>
          <w:numId w:val="1006"/>
        </w:numPr>
        <w:pStyle w:val="Compact"/>
      </w:pPr>
      <w:r>
        <w:t xml:space="preserve">investigate serious complaints alone when policy requires trained investigators; or</w:t>
      </w:r>
    </w:p>
    <w:p>
      <w:pPr>
        <w:numPr>
          <w:ilvl w:val="0"/>
          <w:numId w:val="1006"/>
        </w:numPr>
        <w:pStyle w:val="Compact"/>
      </w:pPr>
      <w:r>
        <w:t xml:space="preserve">use AI to make or conceal a regulated employment decision without approved governance and accountable human review.</w:t>
      </w:r>
    </w:p>
    <w:p>
      <w:pPr>
        <w:pStyle w:val="FirstParagraph"/>
      </w:pPr>
      <w:r>
        <w:t xml:space="preserve">Stop and escalate when evidence is missing, authority is unclear, a conflict of interest exists, a complaint involves retaliation or harassment, a background-check issue is disputed, an accommodation matter requires specialist review, or someone asks you to bypass a control.</w:t>
      </w:r>
    </w:p>
    <w:bookmarkEnd w:id="30"/>
    <w:bookmarkStart w:id="35" w:name="income-benefits-and-outlook-research"/>
    <w:p>
      <w:pPr>
        <w:pStyle w:val="Heading2"/>
      </w:pPr>
      <w:r>
        <w:t xml:space="preserve">6. Income, benefits, and outlook research</w:t>
      </w:r>
    </w:p>
    <w:p>
      <w:pPr>
        <w:pStyle w:val="FirstParagraph"/>
      </w:pPr>
      <w:r>
        <w:t xml:space="preserve">Human Resources Assistant pay varies by geography, employer, industry, union status, experience, schedule, and duties. Keep official occupational statistics separate from current market estimates.</w:t>
      </w:r>
    </w:p>
    <w:bookmarkStart w:id="31" w:name="united-states-official-bls-data"/>
    <w:p>
      <w:pPr>
        <w:pStyle w:val="Heading3"/>
      </w:pPr>
      <w:r>
        <w:t xml:space="preserve">United States — official BLS data</w:t>
      </w:r>
    </w:p>
    <w:p>
      <w:pPr>
        <w:pStyle w:val="FirstParagraph"/>
      </w:pPr>
      <w:r>
        <w:t xml:space="preserve">The Bureau of Labor Statistics reports May 2025 national Occupational Employment and Wage Statistics for</w:t>
      </w:r>
      <w:r>
        <w:t xml:space="preserve"> </w:t>
      </w:r>
      <w:r>
        <w:rPr>
          <w:bCs/>
          <w:b/>
        </w:rPr>
        <w:t xml:space="preserve">Human Resources Assistants, Except Payroll and Timekeeping (SOC 43-4161)</w:t>
      </w:r>
      <w:r>
        <w:t xml:space="preserve">:</w:t>
      </w:r>
    </w:p>
    <w:p>
      <w:pPr>
        <w:numPr>
          <w:ilvl w:val="0"/>
          <w:numId w:val="1007"/>
        </w:numPr>
        <w:pStyle w:val="Compact"/>
      </w:pPr>
      <w:r>
        <w:t xml:space="preserve">employment:</w:t>
      </w:r>
      <w:r>
        <w:t xml:space="preserve"> </w:t>
      </w:r>
      <w:r>
        <w:rPr>
          <w:bCs/>
          <w:b/>
        </w:rPr>
        <w:t xml:space="preserve">90,220</w:t>
      </w:r>
      <w:r>
        <w:t xml:space="preserve">;</w:t>
      </w:r>
    </w:p>
    <w:p>
      <w:pPr>
        <w:numPr>
          <w:ilvl w:val="0"/>
          <w:numId w:val="1007"/>
        </w:numPr>
        <w:pStyle w:val="Compact"/>
      </w:pPr>
      <w:r>
        <w:t xml:space="preserve">mean hourly wage:</w:t>
      </w:r>
      <w:r>
        <w:t xml:space="preserve"> </w:t>
      </w:r>
      <w:r>
        <w:rPr>
          <w:bCs/>
          <w:b/>
        </w:rPr>
        <w:t xml:space="preserve">$25.12</w:t>
      </w:r>
      <w:r>
        <w:t xml:space="preserve">;</w:t>
      </w:r>
    </w:p>
    <w:p>
      <w:pPr>
        <w:numPr>
          <w:ilvl w:val="0"/>
          <w:numId w:val="1007"/>
        </w:numPr>
        <w:pStyle w:val="Compact"/>
      </w:pPr>
      <w:r>
        <w:t xml:space="preserve">mean annual wage:</w:t>
      </w:r>
      <w:r>
        <w:t xml:space="preserve"> </w:t>
      </w:r>
      <w:r>
        <w:rPr>
          <w:bCs/>
          <w:b/>
        </w:rPr>
        <w:t xml:space="preserve">$52,250</w:t>
      </w:r>
      <w:r>
        <w:t xml:space="preserve">; and</w:t>
      </w:r>
    </w:p>
    <w:p>
      <w:pPr>
        <w:numPr>
          <w:ilvl w:val="0"/>
          <w:numId w:val="1007"/>
        </w:numPr>
        <w:pStyle w:val="Compact"/>
      </w:pPr>
      <w:r>
        <w:t xml:space="preserve">median hourly wage:</w:t>
      </w:r>
      <w:r>
        <w:t xml:space="preserve"> </w:t>
      </w:r>
      <w:r>
        <w:rPr>
          <w:bCs/>
          <w:b/>
        </w:rPr>
        <w:t xml:space="preserve">$24.33</w:t>
      </w:r>
      <w:r>
        <w:t xml:space="preserve">.</w:t>
      </w:r>
    </w:p>
    <w:p>
      <w:pPr>
        <w:pStyle w:val="FirstParagraph"/>
      </w:pPr>
      <w:r>
        <w:t xml:space="preserve">The BLS Occupational Outlook Handbook reports a</w:t>
      </w:r>
      <w:r>
        <w:t xml:space="preserve"> </w:t>
      </w:r>
      <w:r>
        <w:rPr>
          <w:bCs/>
          <w:b/>
        </w:rPr>
        <w:t xml:space="preserve">May 2024 median annual wage of $49,440</w:t>
      </w:r>
      <w:r>
        <w:t xml:space="preserve"> </w:t>
      </w:r>
      <w:r>
        <w:t xml:space="preserve">for this occupation. BLS employment projections show about</w:t>
      </w:r>
      <w:r>
        <w:t xml:space="preserve"> </w:t>
      </w:r>
      <w:r>
        <w:rPr>
          <w:bCs/>
          <w:b/>
        </w:rPr>
        <w:t xml:space="preserve">95,200 jobs in 2024</w:t>
      </w:r>
      <w:r>
        <w:t xml:space="preserve"> </w:t>
      </w:r>
      <w:r>
        <w:t xml:space="preserve">and</w:t>
      </w:r>
      <w:r>
        <w:t xml:space="preserve"> </w:t>
      </w:r>
      <w:r>
        <w:rPr>
          <w:bCs/>
          <w:b/>
        </w:rPr>
        <w:t xml:space="preserve">88,400 in 2034</w:t>
      </w:r>
      <w:r>
        <w:t xml:space="preserve">, a projected decline of about</w:t>
      </w:r>
      <w:r>
        <w:t xml:space="preserve"> </w:t>
      </w:r>
      <w:r>
        <w:rPr>
          <w:bCs/>
          <w:b/>
        </w:rPr>
        <w:t xml:space="preserve">7%</w:t>
      </w:r>
      <w:r>
        <w:t xml:space="preserve">. Do not mix May 2025 wage estimates with May 2024 median-wage data without labeling the reference year.</w:t>
      </w:r>
    </w:p>
    <w:bookmarkEnd w:id="31"/>
    <w:bookmarkStart w:id="32" w:name="X3b489b2f9f1f210fa713cec4072a6a138fae300"/>
    <w:p>
      <w:pPr>
        <w:pStyle w:val="Heading3"/>
      </w:pPr>
      <w:r>
        <w:t xml:space="preserve">United States — current non-government market estimate</w:t>
      </w:r>
    </w:p>
    <w:p>
      <w:pPr>
        <w:pStyle w:val="FirstParagraph"/>
      </w:pPr>
      <w:r>
        <w:t xml:space="preserve">Indeed’s Human Resources Assistant salary page, updated</w:t>
      </w:r>
      <w:r>
        <w:t xml:space="preserve"> </w:t>
      </w:r>
      <w:r>
        <w:rPr>
          <w:bCs/>
          <w:b/>
        </w:rPr>
        <w:t xml:space="preserve">July 20, 2026</w:t>
      </w:r>
      <w:r>
        <w:t xml:space="preserve">, reports an average base salary of</w:t>
      </w:r>
      <w:r>
        <w:t xml:space="preserve"> </w:t>
      </w:r>
      <w:r>
        <w:rPr>
          <w:bCs/>
          <w:b/>
        </w:rPr>
        <w:t xml:space="preserve">$21.76 per hour</w:t>
      </w:r>
      <w:r>
        <w:t xml:space="preserve"> </w:t>
      </w:r>
      <w:r>
        <w:t xml:space="preserve">in the United States, with a displayed low of</w:t>
      </w:r>
      <w:r>
        <w:t xml:space="preserve"> </w:t>
      </w:r>
      <w:r>
        <w:rPr>
          <w:bCs/>
          <w:b/>
        </w:rPr>
        <w:t xml:space="preserve">$16.09</w:t>
      </w:r>
      <w:r>
        <w:t xml:space="preserve"> </w:t>
      </w:r>
      <w:r>
        <w:t xml:space="preserve">and high of</w:t>
      </w:r>
      <w:r>
        <w:t xml:space="preserve"> </w:t>
      </w:r>
      <w:r>
        <w:rPr>
          <w:bCs/>
          <w:b/>
        </w:rPr>
        <w:t xml:space="preserve">$29.42</w:t>
      </w:r>
      <w:r>
        <w:t xml:space="preserve"> </w:t>
      </w:r>
      <w:r>
        <w:t xml:space="preserve">per hour, based on 7.8k salaries from job postings over the prior 36 months.</w:t>
      </w:r>
    </w:p>
    <w:p>
      <w:pPr>
        <w:pStyle w:val="BodyText"/>
      </w:pPr>
      <w:r>
        <w:t xml:space="preserve">This is a non-government market estimate. It is not an official statistic, a guaranteed wage, or a substitute for local vacancy research.</w:t>
      </w:r>
    </w:p>
    <w:bookmarkEnd w:id="32"/>
    <w:bookmarkStart w:id="33" w:name="canada-official-job-bank-data"/>
    <w:p>
      <w:pPr>
        <w:pStyle w:val="Heading3"/>
      </w:pPr>
      <w:r>
        <w:t xml:space="preserve">Canada — official Job Bank data</w:t>
      </w:r>
    </w:p>
    <w:p>
      <w:pPr>
        <w:pStyle w:val="FirstParagraph"/>
      </w:pPr>
      <w:r>
        <w:t xml:space="preserve">Government of Canada Job Bank maps Human Resources Assistant to</w:t>
      </w:r>
      <w:r>
        <w:t xml:space="preserve"> </w:t>
      </w:r>
      <w:r>
        <w:rPr>
          <w:bCs/>
          <w:b/>
        </w:rPr>
        <w:t xml:space="preserve">Personnel clerks, NOC 14102</w:t>
      </w:r>
      <w:r>
        <w:t xml:space="preserve">. National wages updated</w:t>
      </w:r>
      <w:r>
        <w:t xml:space="preserve"> </w:t>
      </w:r>
      <w:r>
        <w:rPr>
          <w:bCs/>
          <w:b/>
        </w:rPr>
        <w:t xml:space="preserve">November 19, 2025</w:t>
      </w:r>
      <w:r>
        <w:t xml:space="preserve"> </w:t>
      </w:r>
      <w:r>
        <w:t xml:space="preserve">are:</w:t>
      </w:r>
    </w:p>
    <w:p>
      <w:pPr>
        <w:numPr>
          <w:ilvl w:val="0"/>
          <w:numId w:val="1008"/>
        </w:numPr>
        <w:pStyle w:val="Compact"/>
      </w:pPr>
      <w:r>
        <w:t xml:space="preserve">low:</w:t>
      </w:r>
      <w:r>
        <w:t xml:space="preserve"> </w:t>
      </w:r>
      <w:r>
        <w:rPr>
          <w:bCs/>
          <w:b/>
        </w:rPr>
        <w:t xml:space="preserve">C$21.75/hour</w:t>
      </w:r>
      <w:r>
        <w:t xml:space="preserve">;</w:t>
      </w:r>
    </w:p>
    <w:p>
      <w:pPr>
        <w:numPr>
          <w:ilvl w:val="0"/>
          <w:numId w:val="1008"/>
        </w:numPr>
        <w:pStyle w:val="Compact"/>
      </w:pPr>
      <w:r>
        <w:t xml:space="preserve">median:</w:t>
      </w:r>
      <w:r>
        <w:t xml:space="preserve"> </w:t>
      </w:r>
      <w:r>
        <w:rPr>
          <w:bCs/>
          <w:b/>
        </w:rPr>
        <w:t xml:space="preserve">C$27.88/hour</w:t>
      </w:r>
      <w:r>
        <w:t xml:space="preserve">; and</w:t>
      </w:r>
    </w:p>
    <w:p>
      <w:pPr>
        <w:numPr>
          <w:ilvl w:val="0"/>
          <w:numId w:val="1008"/>
        </w:numPr>
        <w:pStyle w:val="Compact"/>
      </w:pPr>
      <w:r>
        <w:t xml:space="preserve">high:</w:t>
      </w:r>
      <w:r>
        <w:t xml:space="preserve"> </w:t>
      </w:r>
      <w:r>
        <w:rPr>
          <w:bCs/>
          <w:b/>
        </w:rPr>
        <w:t xml:space="preserve">C$38.46/hour</w:t>
      </w:r>
      <w:r>
        <w:t xml:space="preserve">.</w:t>
      </w:r>
    </w:p>
    <w:p>
      <w:pPr>
        <w:pStyle w:val="FirstParagraph"/>
      </w:pPr>
      <w:r>
        <w:t xml:space="preserve">Job Bank identifies the reference period as</w:t>
      </w:r>
      <w:r>
        <w:t xml:space="preserve"> </w:t>
      </w:r>
      <w:r>
        <w:rPr>
          <w:bCs/>
          <w:b/>
        </w:rPr>
        <w:t xml:space="preserve">2023–2024</w:t>
      </w:r>
      <w:r>
        <w:t xml:space="preserve"> </w:t>
      </w:r>
      <w:r>
        <w:t xml:space="preserve">and reports the Labour Force Survey, Statistics Canada, as the source.</w:t>
      </w:r>
    </w:p>
    <w:bookmarkEnd w:id="33"/>
    <w:bookmarkStart w:id="34" w:name="colombia-and-latin-america"/>
    <w:p>
      <w:pPr>
        <w:pStyle w:val="Heading3"/>
      </w:pPr>
      <w:r>
        <w:t xml:space="preserve">Colombia and Latin America</w:t>
      </w:r>
    </w:p>
    <w:p>
      <w:pPr>
        <w:pStyle w:val="FirstParagraph"/>
      </w:pPr>
      <w:r>
        <w:t xml:space="preserve">Do not invent a national salary for</w:t>
      </w:r>
      <w:r>
        <w:t xml:space="preserve"> </w:t>
      </w:r>
      <w:r>
        <w:rPr>
          <w:rStyle w:val="VerbatimChar"/>
        </w:rPr>
        <w:t xml:space="preserve">auxiliar de recursos humanos</w:t>
      </w:r>
      <w:r>
        <w:t xml:space="preserve"> </w:t>
      </w:r>
      <w:r>
        <w:t xml:space="preserve">or</w:t>
      </w:r>
      <w:r>
        <w:t xml:space="preserve"> </w:t>
      </w:r>
      <w:r>
        <w:rPr>
          <w:rStyle w:val="VerbatimChar"/>
        </w:rPr>
        <w:t xml:space="preserve">auxiliar de talento humano</w:t>
      </w:r>
      <w:r>
        <w:t xml:space="preserve"> </w:t>
      </w:r>
      <w:r>
        <w:t xml:space="preserve">when no directly comparable official series has been verified. In Colombia, use current vacancies from the Servicio Público de Empleo, SENA Agencia Pública de Empleo, employers, and reputable local sources. Record the title, city, monthly salary, benefits, contract type, education, experience, software, and duties.</w:t>
      </w:r>
    </w:p>
    <w:p>
      <w:pPr>
        <w:pStyle w:val="BodyText"/>
      </w:pPr>
      <w:r>
        <w:t xml:space="preserve">Across Latin America, payroll, social-security, labor, privacy, benefits, and hiring processes vary significantly by country. Compare local titles and actual duties rather than translating a U.S. title literally.</w:t>
      </w:r>
    </w:p>
    <w:bookmarkEnd w:id="34"/>
    <w:bookmarkEnd w:id="35"/>
    <w:bookmarkStart w:id="36" w:name="Xf6984683946ab73e73c4b909fbf0ce1f2d3b18d"/>
    <w:p>
      <w:pPr>
        <w:pStyle w:val="Heading2"/>
      </w:pPr>
      <w:r>
        <w:t xml:space="preserve">7. Education, credentials, and free-first learning</w:t>
      </w:r>
    </w:p>
    <w:p>
      <w:pPr>
        <w:pStyle w:val="FirstParagraph"/>
      </w:pPr>
      <w:r>
        <w:t xml:space="preserve">Human resources assistant requirements vary. Some employers accept secondary education plus administrative experience; others prefer a technical credential, associate degree, college coursework, or bachelor’s degree.</w:t>
      </w:r>
    </w:p>
    <w:p>
      <w:pPr>
        <w:pStyle w:val="BodyText"/>
      </w:pPr>
      <w:r>
        <w:t xml:space="preserve">Government of Canada Job Bank states that Personnel clerks usually require a secondary-school diploma or several weeks of on-the-job training. In Colombia, SENA currently lists a</w:t>
      </w:r>
      <w:r>
        <w:t xml:space="preserve"> </w:t>
      </w:r>
      <w:r>
        <w:rPr>
          <w:bCs/>
          <w:b/>
        </w:rPr>
        <w:t xml:space="preserve">Técnico en Talento Humano</w:t>
      </w:r>
      <w:r>
        <w:t xml:space="preserve"> </w:t>
      </w:r>
      <w:r>
        <w:t xml:space="preserve">program with</w:t>
      </w:r>
      <w:r>
        <w:t xml:space="preserve"> </w:t>
      </w:r>
      <w:r>
        <w:rPr>
          <w:bCs/>
          <w:b/>
        </w:rPr>
        <w:t xml:space="preserve">2,208 hours</w:t>
      </w:r>
      <w:r>
        <w:t xml:space="preserve"> </w:t>
      </w:r>
      <w:r>
        <w:t xml:space="preserve">and competencies relevant to HR support, documentation, digital tools, customer service, workplace rights, and a practical stage. SENA also lists shorter complementary offerings such as</w:t>
      </w:r>
      <w:r>
        <w:t xml:space="preserve"> </w:t>
      </w:r>
      <w:r>
        <w:rPr>
          <w:bCs/>
          <w:b/>
        </w:rPr>
        <w:t xml:space="preserve">Herramientas para la Gestión del Talento Humano</w:t>
      </w:r>
      <w:r>
        <w:t xml:space="preserve">, a 48-hour virtual course.</w:t>
      </w:r>
    </w:p>
    <w:p>
      <w:pPr>
        <w:pStyle w:val="BodyText"/>
      </w:pPr>
      <w:r>
        <w:t xml:space="preserve">A free-first sequence can include:</w:t>
      </w:r>
    </w:p>
    <w:p>
      <w:pPr>
        <w:numPr>
          <w:ilvl w:val="0"/>
          <w:numId w:val="1009"/>
        </w:numPr>
        <w:pStyle w:val="Compact"/>
      </w:pPr>
      <w:r>
        <w:t xml:space="preserve">public libraries and digital-skills programs;</w:t>
      </w:r>
    </w:p>
    <w:p>
      <w:pPr>
        <w:numPr>
          <w:ilvl w:val="0"/>
          <w:numId w:val="1009"/>
        </w:numPr>
        <w:pStyle w:val="Compact"/>
      </w:pPr>
      <w:r>
        <w:t xml:space="preserve">spreadsheet and document-management practice;</w:t>
      </w:r>
    </w:p>
    <w:p>
      <w:pPr>
        <w:numPr>
          <w:ilvl w:val="0"/>
          <w:numId w:val="1009"/>
        </w:numPr>
        <w:pStyle w:val="Compact"/>
      </w:pPr>
      <w:r>
        <w:t xml:space="preserve">privacy and cybersecurity awareness;</w:t>
      </w:r>
    </w:p>
    <w:p>
      <w:pPr>
        <w:numPr>
          <w:ilvl w:val="0"/>
          <w:numId w:val="1009"/>
        </w:numPr>
        <w:pStyle w:val="Compact"/>
      </w:pPr>
      <w:r>
        <w:t xml:space="preserve">public workforce-system workshops;</w:t>
      </w:r>
    </w:p>
    <w:p>
      <w:pPr>
        <w:numPr>
          <w:ilvl w:val="0"/>
          <w:numId w:val="1009"/>
        </w:numPr>
        <w:pStyle w:val="Compact"/>
      </w:pPr>
      <w:r>
        <w:t xml:space="preserve">SENA or other public technical-education offerings where available;</w:t>
      </w:r>
    </w:p>
    <w:p>
      <w:pPr>
        <w:numPr>
          <w:ilvl w:val="0"/>
          <w:numId w:val="1009"/>
        </w:numPr>
        <w:pStyle w:val="Compact"/>
      </w:pPr>
      <w:r>
        <w:t xml:space="preserve">employer onboarding and internal learning platforms;</w:t>
      </w:r>
    </w:p>
    <w:p>
      <w:pPr>
        <w:numPr>
          <w:ilvl w:val="0"/>
          <w:numId w:val="1009"/>
        </w:numPr>
        <w:pStyle w:val="Compact"/>
      </w:pPr>
      <w:r>
        <w:t xml:space="preserve">open courses in communication, records management, business writing, and data literacy; and</w:t>
      </w:r>
    </w:p>
    <w:p>
      <w:pPr>
        <w:numPr>
          <w:ilvl w:val="0"/>
          <w:numId w:val="1009"/>
        </w:numPr>
        <w:pStyle w:val="Compact"/>
      </w:pPr>
      <w:r>
        <w:t xml:space="preserve">supervised internal cross-training.</w:t>
      </w:r>
    </w:p>
    <w:p>
      <w:pPr>
        <w:pStyle w:val="FirstParagraph"/>
      </w:pPr>
      <w:r>
        <w:t xml:space="preserve">Pay for a credential only when you can identify the specific employer, promotion, exam, credit, or skill requirement it satisfies.</w:t>
      </w:r>
    </w:p>
    <w:bookmarkEnd w:id="36"/>
    <w:bookmarkStart w:id="40" w:name="X88ae2f8223ff5807e5819d93d670a0b41827368"/>
    <w:p>
      <w:pPr>
        <w:pStyle w:val="Heading2"/>
      </w:pPr>
      <w:r>
        <w:t xml:space="preserve">8. Funding, scholarships, employer support, and apprenticeships</w:t>
      </w:r>
    </w:p>
    <w:bookmarkStart w:id="37" w:name="scholarships-grants-and-public-aid"/>
    <w:p>
      <w:pPr>
        <w:pStyle w:val="Heading3"/>
      </w:pPr>
      <w:r>
        <w:t xml:space="preserve">Scholarships, grants, and public aid</w:t>
      </w:r>
    </w:p>
    <w:p>
      <w:pPr>
        <w:pStyle w:val="FirstParagraph"/>
      </w:pPr>
      <w:r>
        <w:t xml:space="preserve">Check eligibility for public grants, community-college aid, adult-learner programs, disability-related training support, workforce-development funding, union education benefits, veteran benefits, and local scholarships before borrowing. Rules differ by country and jurisdiction.</w:t>
      </w:r>
    </w:p>
    <w:bookmarkEnd w:id="37"/>
    <w:bookmarkStart w:id="38" w:name="employer-supported-education"/>
    <w:p>
      <w:pPr>
        <w:pStyle w:val="Heading3"/>
      </w:pPr>
      <w:r>
        <w:t xml:space="preserve">Employer-supported education</w:t>
      </w:r>
    </w:p>
    <w:p>
      <w:pPr>
        <w:pStyle w:val="FirstParagraph"/>
      </w:pPr>
      <w:r>
        <w:t xml:space="preserve">Employers may offer direct tuition payment, reimbursement, certification fees, scholarships, paid study time, internal academies, or forgivable education loans. Obtain the terms in writing.</w:t>
      </w:r>
    </w:p>
    <w:p>
      <w:pPr>
        <w:pStyle w:val="BodyText"/>
      </w:pPr>
      <w:r>
        <w:t xml:space="preserve">In the United States, IRS guidance updated in April 2026 states that qualifying benefits under a Section 127 educational assistance program may be excluded from gross income up to</w:t>
      </w:r>
      <w:r>
        <w:t xml:space="preserve"> </w:t>
      </w:r>
      <w:r>
        <w:rPr>
          <w:bCs/>
          <w:b/>
        </w:rPr>
        <w:t xml:space="preserve">$5,250 per calendar year for 2025 and 2026</w:t>
      </w:r>
      <w:r>
        <w:t xml:space="preserve">. The amount is subject to cost-of-living adjustment for taxable years beginning after 2026. Not every employer offers a Section 127 plan, and not every education expense qualifies.</w:t>
      </w:r>
    </w:p>
    <w:p>
      <w:pPr>
        <w:pStyle w:val="BodyText"/>
      </w:pPr>
      <w:r>
        <w:t xml:space="preserve">Before accepting employer-funded education, verify:</w:t>
      </w:r>
    </w:p>
    <w:p>
      <w:pPr>
        <w:numPr>
          <w:ilvl w:val="0"/>
          <w:numId w:val="1010"/>
        </w:numPr>
        <w:pStyle w:val="Compact"/>
      </w:pPr>
      <w:r>
        <w:t xml:space="preserve">what is covered;</w:t>
      </w:r>
    </w:p>
    <w:p>
      <w:pPr>
        <w:numPr>
          <w:ilvl w:val="0"/>
          <w:numId w:val="1010"/>
        </w:numPr>
        <w:pStyle w:val="Compact"/>
      </w:pPr>
      <w:r>
        <w:t xml:space="preserve">whether payment is direct or reimbursed;</w:t>
      </w:r>
    </w:p>
    <w:p>
      <w:pPr>
        <w:numPr>
          <w:ilvl w:val="0"/>
          <w:numId w:val="1010"/>
        </w:numPr>
        <w:pStyle w:val="Compact"/>
      </w:pPr>
      <w:r>
        <w:t xml:space="preserve">grade or completion requirements;</w:t>
      </w:r>
    </w:p>
    <w:p>
      <w:pPr>
        <w:numPr>
          <w:ilvl w:val="0"/>
          <w:numId w:val="1010"/>
        </w:numPr>
        <w:pStyle w:val="Compact"/>
      </w:pPr>
      <w:r>
        <w:t xml:space="preserve">whether taxes may apply;</w:t>
      </w:r>
    </w:p>
    <w:p>
      <w:pPr>
        <w:numPr>
          <w:ilvl w:val="0"/>
          <w:numId w:val="1010"/>
        </w:numPr>
        <w:pStyle w:val="Compact"/>
      </w:pPr>
      <w:r>
        <w:t xml:space="preserve">the service-commitment start date;</w:t>
      </w:r>
    </w:p>
    <w:p>
      <w:pPr>
        <w:numPr>
          <w:ilvl w:val="0"/>
          <w:numId w:val="1010"/>
        </w:numPr>
        <w:pStyle w:val="Compact"/>
      </w:pPr>
      <w:r>
        <w:t xml:space="preserve">the repayment formula;</w:t>
      </w:r>
    </w:p>
    <w:p>
      <w:pPr>
        <w:numPr>
          <w:ilvl w:val="0"/>
          <w:numId w:val="1010"/>
        </w:numPr>
        <w:pStyle w:val="Compact"/>
      </w:pPr>
      <w:r>
        <w:t xml:space="preserve">treatment of layoff, restructuring, disability, military activation, retirement, transfer, or employer-directed separation; and</w:t>
      </w:r>
    </w:p>
    <w:p>
      <w:pPr>
        <w:numPr>
          <w:ilvl w:val="0"/>
          <w:numId w:val="1010"/>
        </w:numPr>
        <w:pStyle w:val="Compact"/>
      </w:pPr>
      <w:r>
        <w:t xml:space="preserve">whether final-wage deductions are permitted where you work.</w:t>
      </w:r>
    </w:p>
    <w:bookmarkEnd w:id="38"/>
    <w:bookmarkStart w:id="39" w:name="apprenticeships-and-work-based-learning"/>
    <w:p>
      <w:pPr>
        <w:pStyle w:val="Heading3"/>
      </w:pPr>
      <w:r>
        <w:t xml:space="preserve">Apprenticeships and work-based learning</w:t>
      </w:r>
    </w:p>
    <w:p>
      <w:pPr>
        <w:pStyle w:val="FirstParagraph"/>
      </w:pPr>
      <w:r>
        <w:t xml:space="preserve">Search current Registered Apprenticeship opportunities at Apprenticeship.gov in the United States, but do not assume an HR-assistant apprenticeship exists in every area. Also consider internships, cooperative education, paid traineeships, job shadowing, rotational assignments, and supervised internal mobility.</w:t>
      </w:r>
    </w:p>
    <w:p>
      <w:pPr>
        <w:pStyle w:val="BodyText"/>
      </w:pPr>
      <w:r>
        <w:t xml:space="preserve">In Canada, check provincial or territorial employment and training systems in addition to Job Bank. In Colombia, SENA combines public training with an employment-service ecosystem, and some technical programs include practical stages.</w:t>
      </w:r>
    </w:p>
    <w:bookmarkEnd w:id="39"/>
    <w:bookmarkEnd w:id="40"/>
    <w:bookmarkStart w:id="41" w:name="accessibility-and-inclusion"/>
    <w:p>
      <w:pPr>
        <w:pStyle w:val="Heading2"/>
      </w:pPr>
      <w:r>
        <w:t xml:space="preserve">9. Accessibility and inclusion</w:t>
      </w:r>
    </w:p>
    <w:p>
      <w:pPr>
        <w:pStyle w:val="FirstParagraph"/>
      </w:pPr>
      <w:r>
        <w:t xml:space="preserve">Accessibility must be checked across the entire pathway, not only during classroom admission.</w:t>
      </w:r>
    </w:p>
    <w:p>
      <w:pPr>
        <w:pStyle w:val="BodyText"/>
      </w:pPr>
      <w:r>
        <w:t xml:space="preserve">Ask about:</w:t>
      </w:r>
    </w:p>
    <w:p>
      <w:pPr>
        <w:numPr>
          <w:ilvl w:val="0"/>
          <w:numId w:val="1011"/>
        </w:numPr>
        <w:pStyle w:val="Compact"/>
      </w:pPr>
      <w:r>
        <w:t xml:space="preserve">accessible applications and learning platforms;</w:t>
      </w:r>
    </w:p>
    <w:p>
      <w:pPr>
        <w:numPr>
          <w:ilvl w:val="0"/>
          <w:numId w:val="1011"/>
        </w:numPr>
        <w:pStyle w:val="Compact"/>
      </w:pPr>
      <w:r>
        <w:t xml:space="preserve">screen-reader and keyboard compatibility;</w:t>
      </w:r>
    </w:p>
    <w:p>
      <w:pPr>
        <w:numPr>
          <w:ilvl w:val="0"/>
          <w:numId w:val="1011"/>
        </w:numPr>
        <w:pStyle w:val="Compact"/>
      </w:pPr>
      <w:r>
        <w:t xml:space="preserve">captioning and interpretation;</w:t>
      </w:r>
    </w:p>
    <w:p>
      <w:pPr>
        <w:numPr>
          <w:ilvl w:val="0"/>
          <w:numId w:val="1011"/>
        </w:numPr>
        <w:pStyle w:val="Compact"/>
      </w:pPr>
      <w:r>
        <w:t xml:space="preserve">accessible documents;</w:t>
      </w:r>
    </w:p>
    <w:p>
      <w:pPr>
        <w:numPr>
          <w:ilvl w:val="0"/>
          <w:numId w:val="1011"/>
        </w:numPr>
        <w:pStyle w:val="Compact"/>
      </w:pPr>
      <w:r>
        <w:t xml:space="preserve">quiet or reduced-distraction testing;</w:t>
      </w:r>
    </w:p>
    <w:p>
      <w:pPr>
        <w:numPr>
          <w:ilvl w:val="0"/>
          <w:numId w:val="1011"/>
        </w:numPr>
        <w:pStyle w:val="Compact"/>
      </w:pPr>
      <w:r>
        <w:t xml:space="preserve">ergonomic workstations;</w:t>
      </w:r>
    </w:p>
    <w:p>
      <w:pPr>
        <w:numPr>
          <w:ilvl w:val="0"/>
          <w:numId w:val="1011"/>
        </w:numPr>
        <w:pStyle w:val="Compact"/>
      </w:pPr>
      <w:r>
        <w:t xml:space="preserve">flexible scheduling;</w:t>
      </w:r>
    </w:p>
    <w:p>
      <w:pPr>
        <w:numPr>
          <w:ilvl w:val="0"/>
          <w:numId w:val="1011"/>
        </w:numPr>
        <w:pStyle w:val="Compact"/>
      </w:pPr>
      <w:r>
        <w:t xml:space="preserve">transportation and practicum access;</w:t>
      </w:r>
    </w:p>
    <w:p>
      <w:pPr>
        <w:numPr>
          <w:ilvl w:val="0"/>
          <w:numId w:val="1011"/>
        </w:numPr>
        <w:pStyle w:val="Compact"/>
      </w:pPr>
      <w:r>
        <w:t xml:space="preserve">alternative ways to demonstrate competence; and</w:t>
      </w:r>
    </w:p>
    <w:p>
      <w:pPr>
        <w:numPr>
          <w:ilvl w:val="0"/>
          <w:numId w:val="1011"/>
        </w:numPr>
        <w:pStyle w:val="Compact"/>
      </w:pPr>
      <w:r>
        <w:t xml:space="preserve">separate accommodation procedures for school, employer, apprenticeship sponsor, practicum site, and testing body.</w:t>
      </w:r>
    </w:p>
    <w:p>
      <w:pPr>
        <w:pStyle w:val="FirstParagraph"/>
      </w:pPr>
      <w:r>
        <w:t xml:space="preserve">Do not assume that admission to a program guarantees that every placement, system, or employer site is accessible.</w:t>
      </w:r>
    </w:p>
    <w:bookmarkEnd w:id="41"/>
    <w:bookmarkStart w:id="42" w:name="X6ac89ad34cc61518caf5afeeeb6a7aa42d56a75"/>
    <w:p>
      <w:pPr>
        <w:pStyle w:val="Heading2"/>
      </w:pPr>
      <w:r>
        <w:t xml:space="preserve">10. Privacy, cybersecurity, records integrity, and ethical AI</w:t>
      </w:r>
    </w:p>
    <w:p>
      <w:pPr>
        <w:pStyle w:val="FirstParagraph"/>
      </w:pPr>
      <w:r>
        <w:t xml:space="preserve">HR support work is a high-trust information role.</w:t>
      </w:r>
    </w:p>
    <w:p>
      <w:pPr>
        <w:numPr>
          <w:ilvl w:val="0"/>
          <w:numId w:val="1012"/>
        </w:numPr>
        <w:pStyle w:val="Compact"/>
      </w:pPr>
      <w:r>
        <w:t xml:space="preserve">Use only approved systems, accounts, devices, and storage locations.</w:t>
      </w:r>
    </w:p>
    <w:p>
      <w:pPr>
        <w:numPr>
          <w:ilvl w:val="0"/>
          <w:numId w:val="1012"/>
        </w:numPr>
        <w:pStyle w:val="Compact"/>
      </w:pPr>
      <w:r>
        <w:t xml:space="preserve">Use multifactor authentication where provided.</w:t>
      </w:r>
    </w:p>
    <w:p>
      <w:pPr>
        <w:numPr>
          <w:ilvl w:val="0"/>
          <w:numId w:val="1012"/>
        </w:numPr>
        <w:pStyle w:val="Compact"/>
      </w:pPr>
      <w:r>
        <w:t xml:space="preserve">Verify unusual requests to change employee banking, identity, benefit, or payroll-related information.</w:t>
      </w:r>
    </w:p>
    <w:p>
      <w:pPr>
        <w:numPr>
          <w:ilvl w:val="0"/>
          <w:numId w:val="1012"/>
        </w:numPr>
        <w:pStyle w:val="Compact"/>
      </w:pPr>
      <w:r>
        <w:t xml:space="preserve">Follow least-privilege access and clean-desk practices.</w:t>
      </w:r>
    </w:p>
    <w:p>
      <w:pPr>
        <w:numPr>
          <w:ilvl w:val="0"/>
          <w:numId w:val="1012"/>
        </w:numPr>
        <w:pStyle w:val="Compact"/>
      </w:pPr>
      <w:r>
        <w:t xml:space="preserve">Do not forward employee records to personal email or cloud storage.</w:t>
      </w:r>
    </w:p>
    <w:p>
      <w:pPr>
        <w:numPr>
          <w:ilvl w:val="0"/>
          <w:numId w:val="1012"/>
        </w:numPr>
        <w:pStyle w:val="Compact"/>
      </w:pPr>
      <w:r>
        <w:t xml:space="preserve">Do not paste confidential applicant or employee information into public AI tools.</w:t>
      </w:r>
    </w:p>
    <w:p>
      <w:pPr>
        <w:numPr>
          <w:ilvl w:val="0"/>
          <w:numId w:val="1012"/>
        </w:numPr>
        <w:pStyle w:val="Compact"/>
      </w:pPr>
      <w:r>
        <w:t xml:space="preserve">Verify AI-generated summaries, letters, classifications, or policy explanations before use.</w:t>
      </w:r>
    </w:p>
    <w:p>
      <w:pPr>
        <w:numPr>
          <w:ilvl w:val="0"/>
          <w:numId w:val="1012"/>
        </w:numPr>
        <w:pStyle w:val="Compact"/>
      </w:pPr>
      <w:r>
        <w:t xml:space="preserve">Preserve required records and do not delete material because it is inconvenient.</w:t>
      </w:r>
    </w:p>
    <w:p>
      <w:pPr>
        <w:numPr>
          <w:ilvl w:val="0"/>
          <w:numId w:val="1012"/>
        </w:numPr>
        <w:pStyle w:val="Compact"/>
      </w:pPr>
      <w:r>
        <w:t xml:space="preserve">Escalate suspected phishing, impersonation, payroll diversion, identity theft, unauthorized access, or data leakage.</w:t>
      </w:r>
    </w:p>
    <w:p>
      <w:pPr>
        <w:pStyle w:val="FirstParagraph"/>
      </w:pPr>
      <w:r>
        <w:t xml:space="preserve">AI may help draft routine communications, summarize approved material, classify non-sensitive administrative work, or assist with scheduling where governance permits. It should not be treated as the accountable decision-maker for hiring, promotion, discipline, accommodation, compensation, termination, or other consequential employment decisions.</w:t>
      </w:r>
    </w:p>
    <w:bookmarkEnd w:id="42"/>
    <w:bookmarkStart w:id="43" w:name="build-evidence-of-ability"/>
    <w:p>
      <w:pPr>
        <w:pStyle w:val="Heading2"/>
      </w:pPr>
      <w:r>
        <w:t xml:space="preserve">11. Build evidence of ability</w:t>
      </w:r>
    </w:p>
    <w:p>
      <w:pPr>
        <w:pStyle w:val="FirstParagraph"/>
      </w:pPr>
      <w:r>
        <w:t xml:space="preserve">You can demonstrate useful skills without exposing real employee information.</w:t>
      </w:r>
    </w:p>
    <w:p>
      <w:pPr>
        <w:pStyle w:val="BodyText"/>
      </w:pPr>
      <w:r>
        <w:t xml:space="preserve">Create fictional or fully sanitized examples such as:</w:t>
      </w:r>
    </w:p>
    <w:p>
      <w:pPr>
        <w:numPr>
          <w:ilvl w:val="0"/>
          <w:numId w:val="1013"/>
        </w:numPr>
        <w:pStyle w:val="Compact"/>
      </w:pPr>
      <w:r>
        <w:t xml:space="preserve">an onboarding checklist;</w:t>
      </w:r>
    </w:p>
    <w:p>
      <w:pPr>
        <w:numPr>
          <w:ilvl w:val="0"/>
          <w:numId w:val="1013"/>
        </w:numPr>
        <w:pStyle w:val="Compact"/>
      </w:pPr>
      <w:r>
        <w:t xml:space="preserve">an interview-scheduling tracker;</w:t>
      </w:r>
    </w:p>
    <w:p>
      <w:pPr>
        <w:numPr>
          <w:ilvl w:val="0"/>
          <w:numId w:val="1013"/>
        </w:numPr>
        <w:pStyle w:val="Compact"/>
      </w:pPr>
      <w:r>
        <w:t xml:space="preserve">a personnel-file quality checklist;</w:t>
      </w:r>
    </w:p>
    <w:p>
      <w:pPr>
        <w:numPr>
          <w:ilvl w:val="0"/>
          <w:numId w:val="1013"/>
        </w:numPr>
        <w:pStyle w:val="Compact"/>
      </w:pPr>
      <w:r>
        <w:t xml:space="preserve">a training attendance tracker;</w:t>
      </w:r>
    </w:p>
    <w:p>
      <w:pPr>
        <w:numPr>
          <w:ilvl w:val="0"/>
          <w:numId w:val="1013"/>
        </w:numPr>
        <w:pStyle w:val="Compact"/>
      </w:pPr>
      <w:r>
        <w:t xml:space="preserve">an accommodation-request routing map that avoids medical judgment;</w:t>
      </w:r>
    </w:p>
    <w:p>
      <w:pPr>
        <w:numPr>
          <w:ilvl w:val="0"/>
          <w:numId w:val="1013"/>
        </w:numPr>
        <w:pStyle w:val="Compact"/>
      </w:pPr>
      <w:r>
        <w:t xml:space="preserve">a recruiting tracker that separates job-related criteria from prohibited or irrelevant information;</w:t>
      </w:r>
    </w:p>
    <w:p>
      <w:pPr>
        <w:numPr>
          <w:ilvl w:val="0"/>
          <w:numId w:val="1013"/>
        </w:numPr>
        <w:pStyle w:val="Compact"/>
      </w:pPr>
      <w:r>
        <w:t xml:space="preserve">a records-retention checklist based on a fictional policy; or</w:t>
      </w:r>
    </w:p>
    <w:p>
      <w:pPr>
        <w:numPr>
          <w:ilvl w:val="0"/>
          <w:numId w:val="1013"/>
        </w:numPr>
        <w:pStyle w:val="Compact"/>
      </w:pPr>
      <w:r>
        <w:t xml:space="preserve">a dashboard showing missing documents and deadlines using invented data.</w:t>
      </w:r>
    </w:p>
    <w:p>
      <w:pPr>
        <w:pStyle w:val="FirstParagraph"/>
      </w:pPr>
      <w:r>
        <w:t xml:space="preserve">For each project, explain the problem, your role, the process, the control, the result, and what you learned. Do not use proprietary forms, real employee data, or confidential screenshots.</w:t>
      </w:r>
    </w:p>
    <w:bookmarkEnd w:id="43"/>
    <w:bookmarkStart w:id="44" w:name="interview-preparation"/>
    <w:p>
      <w:pPr>
        <w:pStyle w:val="Heading2"/>
      </w:pPr>
      <w:r>
        <w:t xml:space="preserve">12. Interview preparation</w:t>
      </w:r>
    </w:p>
    <w:p>
      <w:pPr>
        <w:pStyle w:val="FirstParagraph"/>
      </w:pPr>
      <w:r>
        <w:t xml:space="preserve">Practice questions such as:</w:t>
      </w:r>
    </w:p>
    <w:p>
      <w:pPr>
        <w:numPr>
          <w:ilvl w:val="0"/>
          <w:numId w:val="1014"/>
        </w:numPr>
        <w:pStyle w:val="Compact"/>
      </w:pPr>
      <w:r>
        <w:t xml:space="preserve">What would you do if a manager asks you for an employee’s medical details?</w:t>
      </w:r>
    </w:p>
    <w:p>
      <w:pPr>
        <w:numPr>
          <w:ilvl w:val="0"/>
          <w:numId w:val="1014"/>
        </w:numPr>
        <w:pStyle w:val="Compact"/>
      </w:pPr>
      <w:r>
        <w:t xml:space="preserve">How would you handle an incomplete or disputed background-check record?</w:t>
      </w:r>
    </w:p>
    <w:p>
      <w:pPr>
        <w:numPr>
          <w:ilvl w:val="0"/>
          <w:numId w:val="1014"/>
        </w:numPr>
        <w:pStyle w:val="Compact"/>
      </w:pPr>
      <w:r>
        <w:t xml:space="preserve">What would you do if an employee asks you to interpret a law or benefit rule you are not authorized to interpret?</w:t>
      </w:r>
    </w:p>
    <w:p>
      <w:pPr>
        <w:numPr>
          <w:ilvl w:val="0"/>
          <w:numId w:val="1014"/>
        </w:numPr>
        <w:pStyle w:val="Compact"/>
      </w:pPr>
      <w:r>
        <w:t xml:space="preserve">How do you protect confidential information while still being helpful?</w:t>
      </w:r>
    </w:p>
    <w:p>
      <w:pPr>
        <w:numPr>
          <w:ilvl w:val="0"/>
          <w:numId w:val="1014"/>
        </w:numPr>
        <w:pStyle w:val="Compact"/>
      </w:pPr>
      <w:r>
        <w:t xml:space="preserve">How do you prioritize multiple onboarding deadlines?</w:t>
      </w:r>
    </w:p>
    <w:p>
      <w:pPr>
        <w:numPr>
          <w:ilvl w:val="0"/>
          <w:numId w:val="1014"/>
        </w:numPr>
        <w:pStyle w:val="Compact"/>
      </w:pPr>
      <w:r>
        <w:t xml:space="preserve">What would you do if an AI-generated draft contains a statement you cannot verify?</w:t>
      </w:r>
    </w:p>
    <w:p>
      <w:pPr>
        <w:pStyle w:val="FirstParagraph"/>
      </w:pPr>
      <w:r>
        <w:t xml:space="preserve">Strong answers show situation, responsibility, action, evidence, boundary, escalation, and result. Avoid pretending that speed is more important than accuracy or lawful treatment.</w:t>
      </w:r>
    </w:p>
    <w:bookmarkEnd w:id="44"/>
    <w:bookmarkStart w:id="48" w:name="first-30-60-and-90-days"/>
    <w:p>
      <w:pPr>
        <w:pStyle w:val="Heading2"/>
      </w:pPr>
      <w:r>
        <w:t xml:space="preserve">13. First 30, 60, and 90 days</w:t>
      </w:r>
    </w:p>
    <w:bookmarkStart w:id="45" w:name="first-30-days"/>
    <w:p>
      <w:pPr>
        <w:pStyle w:val="Heading3"/>
      </w:pPr>
      <w:r>
        <w:t xml:space="preserve">First 30 days</w:t>
      </w:r>
    </w:p>
    <w:p>
      <w:pPr>
        <w:pStyle w:val="FirstParagraph"/>
      </w:pPr>
      <w:r>
        <w:t xml:space="preserve">Learn policies, systems, terminology, privacy expectations, role boundaries, record standards, escalation paths, accommodation procedures, and cybersecurity requirements.</w:t>
      </w:r>
    </w:p>
    <w:bookmarkEnd w:id="45"/>
    <w:bookmarkStart w:id="46" w:name="days-3160"/>
    <w:p>
      <w:pPr>
        <w:pStyle w:val="Heading3"/>
      </w:pPr>
      <w:r>
        <w:t xml:space="preserve">Days 31–60</w:t>
      </w:r>
    </w:p>
    <w:p>
      <w:pPr>
        <w:pStyle w:val="FirstParagraph"/>
      </w:pPr>
      <w:r>
        <w:t xml:space="preserve">Perform routine work with review. Strengthen data accuracy, document decisions, request feedback, learn recurring exceptions, and build reliable checklists.</w:t>
      </w:r>
    </w:p>
    <w:bookmarkEnd w:id="46"/>
    <w:bookmarkStart w:id="47" w:name="days-6190"/>
    <w:p>
      <w:pPr>
        <w:pStyle w:val="Heading3"/>
      </w:pPr>
      <w:r>
        <w:t xml:space="preserve">Days 61–90</w:t>
      </w:r>
    </w:p>
    <w:p>
      <w:pPr>
        <w:pStyle w:val="FirstParagraph"/>
      </w:pPr>
      <w:r>
        <w:t xml:space="preserve">Handle a broader workload within authority. Propose one evidence-based process improvement, document development goals, and identify the next skill or credential that has a verified workplace value.</w:t>
      </w:r>
    </w:p>
    <w:bookmarkEnd w:id="47"/>
    <w:bookmarkEnd w:id="48"/>
    <w:bookmarkStart w:id="49" w:name="Xd5a9d02891527b27da64056f7aa662da0171ad3"/>
    <w:p>
      <w:pPr>
        <w:pStyle w:val="Heading2"/>
      </w:pPr>
      <w:r>
        <w:t xml:space="preserve">14. Advancement, portability, and exit planning</w:t>
      </w:r>
    </w:p>
    <w:p>
      <w:pPr>
        <w:pStyle w:val="FirstParagraph"/>
      </w:pPr>
      <w:r>
        <w:t xml:space="preserve">Human resources support can lead toward roles such as:</w:t>
      </w:r>
    </w:p>
    <w:p>
      <w:pPr>
        <w:numPr>
          <w:ilvl w:val="0"/>
          <w:numId w:val="1015"/>
        </w:numPr>
        <w:pStyle w:val="Compact"/>
      </w:pPr>
      <w:r>
        <w:t xml:space="preserve">HR coordinator;</w:t>
      </w:r>
    </w:p>
    <w:p>
      <w:pPr>
        <w:numPr>
          <w:ilvl w:val="0"/>
          <w:numId w:val="1015"/>
        </w:numPr>
        <w:pStyle w:val="Compact"/>
      </w:pPr>
      <w:r>
        <w:t xml:space="preserve">recruiting coordinator;</w:t>
      </w:r>
    </w:p>
    <w:p>
      <w:pPr>
        <w:numPr>
          <w:ilvl w:val="0"/>
          <w:numId w:val="1015"/>
        </w:numPr>
        <w:pStyle w:val="Compact"/>
      </w:pPr>
      <w:r>
        <w:t xml:space="preserve">benefits or leave coordinator;</w:t>
      </w:r>
    </w:p>
    <w:p>
      <w:pPr>
        <w:numPr>
          <w:ilvl w:val="0"/>
          <w:numId w:val="1015"/>
        </w:numPr>
        <w:pStyle w:val="Compact"/>
      </w:pPr>
      <w:r>
        <w:t xml:space="preserve">learning and development coordinator;</w:t>
      </w:r>
    </w:p>
    <w:p>
      <w:pPr>
        <w:numPr>
          <w:ilvl w:val="0"/>
          <w:numId w:val="1015"/>
        </w:numPr>
        <w:pStyle w:val="Compact"/>
      </w:pPr>
      <w:r>
        <w:t xml:space="preserve">HRIS support;</w:t>
      </w:r>
    </w:p>
    <w:p>
      <w:pPr>
        <w:numPr>
          <w:ilvl w:val="0"/>
          <w:numId w:val="1015"/>
        </w:numPr>
        <w:pStyle w:val="Compact"/>
      </w:pPr>
      <w:r>
        <w:t xml:space="preserve">people operations coordinator;</w:t>
      </w:r>
    </w:p>
    <w:p>
      <w:pPr>
        <w:numPr>
          <w:ilvl w:val="0"/>
          <w:numId w:val="1015"/>
        </w:numPr>
        <w:pStyle w:val="Compact"/>
      </w:pPr>
      <w:r>
        <w:t xml:space="preserve">payroll support;</w:t>
      </w:r>
    </w:p>
    <w:p>
      <w:pPr>
        <w:numPr>
          <w:ilvl w:val="0"/>
          <w:numId w:val="1015"/>
        </w:numPr>
        <w:pStyle w:val="Compact"/>
      </w:pPr>
      <w:r>
        <w:t xml:space="preserve">employee-relations support; or</w:t>
      </w:r>
    </w:p>
    <w:p>
      <w:pPr>
        <w:numPr>
          <w:ilvl w:val="0"/>
          <w:numId w:val="1015"/>
        </w:numPr>
        <w:pStyle w:val="Compact"/>
      </w:pPr>
      <w:r>
        <w:t xml:space="preserve">human resources specialist after additional education, experience, and role-specific development.</w:t>
      </w:r>
    </w:p>
    <w:p>
      <w:pPr>
        <w:pStyle w:val="FirstParagraph"/>
      </w:pPr>
      <w:r>
        <w:t xml:space="preserve">Portable skills include records integrity, confidentiality, scheduling, business writing, spreadsheet use, workflow documentation, customer service, policy navigation, data quality, and escalation judgment.</w:t>
      </w:r>
    </w:p>
    <w:p>
      <w:pPr>
        <w:pStyle w:val="BodyText"/>
      </w:pPr>
      <w:r>
        <w:t xml:space="preserve">A good career path also has an exit plan. If the role becomes too repetitive, automated, inaccessible, stressful, or poorly compensated, retain evidence of your transferable skills and move before sunk costs trap you.</w:t>
      </w:r>
    </w:p>
    <w:bookmarkEnd w:id="49"/>
    <w:bookmarkStart w:id="50" w:name="Xfe32025be3c558531a3b1a7544bfe5ffa565dfc"/>
    <w:p>
      <w:pPr>
        <w:pStyle w:val="Heading2"/>
      </w:pPr>
      <w:r>
        <w:t xml:space="preserve">15. Before you enroll, borrow, relocate, or sign</w:t>
      </w:r>
    </w:p>
    <w:p>
      <w:pPr>
        <w:pStyle w:val="FirstParagraph"/>
      </w:pPr>
      <w:r>
        <w:t xml:space="preserve">Verify:</w:t>
      </w:r>
    </w:p>
    <w:p>
      <w:pPr>
        <w:numPr>
          <w:ilvl w:val="0"/>
          <w:numId w:val="1016"/>
        </w:numPr>
        <w:pStyle w:val="Compact"/>
      </w:pPr>
      <w:r>
        <w:t xml:space="preserve">the exact job title and duties in your target market;</w:t>
      </w:r>
    </w:p>
    <w:p>
      <w:pPr>
        <w:numPr>
          <w:ilvl w:val="0"/>
          <w:numId w:val="1016"/>
        </w:numPr>
        <w:pStyle w:val="Compact"/>
      </w:pPr>
      <w:r>
        <w:t xml:space="preserve">current local pay and contract type;</w:t>
      </w:r>
    </w:p>
    <w:p>
      <w:pPr>
        <w:numPr>
          <w:ilvl w:val="0"/>
          <w:numId w:val="1016"/>
        </w:numPr>
        <w:pStyle w:val="Compact"/>
      </w:pPr>
      <w:r>
        <w:t xml:space="preserve">minimum education and experience;</w:t>
      </w:r>
    </w:p>
    <w:p>
      <w:pPr>
        <w:numPr>
          <w:ilvl w:val="0"/>
          <w:numId w:val="1016"/>
        </w:numPr>
        <w:pStyle w:val="Compact"/>
      </w:pPr>
      <w:r>
        <w:t xml:space="preserve">whether a credential is legally required, preferred, or optional;</w:t>
      </w:r>
    </w:p>
    <w:p>
      <w:pPr>
        <w:numPr>
          <w:ilvl w:val="0"/>
          <w:numId w:val="1016"/>
        </w:numPr>
        <w:pStyle w:val="Compact"/>
      </w:pPr>
      <w:r>
        <w:t xml:space="preserve">total training cost;</w:t>
      </w:r>
    </w:p>
    <w:p>
      <w:pPr>
        <w:numPr>
          <w:ilvl w:val="0"/>
          <w:numId w:val="1016"/>
        </w:numPr>
        <w:pStyle w:val="Compact"/>
      </w:pPr>
      <w:r>
        <w:t xml:space="preserve">refund and withdrawal rules;</w:t>
      </w:r>
    </w:p>
    <w:p>
      <w:pPr>
        <w:numPr>
          <w:ilvl w:val="0"/>
          <w:numId w:val="1016"/>
        </w:numPr>
        <w:pStyle w:val="Compact"/>
      </w:pPr>
      <w:r>
        <w:t xml:space="preserve">accreditation or public recognition where relevant;</w:t>
      </w:r>
    </w:p>
    <w:p>
      <w:pPr>
        <w:numPr>
          <w:ilvl w:val="0"/>
          <w:numId w:val="1016"/>
        </w:numPr>
        <w:pStyle w:val="Compact"/>
      </w:pPr>
      <w:r>
        <w:t xml:space="preserve">whether credits transfer;</w:t>
      </w:r>
    </w:p>
    <w:p>
      <w:pPr>
        <w:numPr>
          <w:ilvl w:val="0"/>
          <w:numId w:val="1016"/>
        </w:numPr>
        <w:pStyle w:val="Compact"/>
      </w:pPr>
      <w:r>
        <w:t xml:space="preserve">apprenticeship or practical-stage availability;</w:t>
      </w:r>
    </w:p>
    <w:p>
      <w:pPr>
        <w:numPr>
          <w:ilvl w:val="0"/>
          <w:numId w:val="1016"/>
        </w:numPr>
        <w:pStyle w:val="Compact"/>
      </w:pPr>
      <w:r>
        <w:t xml:space="preserve">accessibility across the full pathway;</w:t>
      </w:r>
    </w:p>
    <w:p>
      <w:pPr>
        <w:numPr>
          <w:ilvl w:val="0"/>
          <w:numId w:val="1016"/>
        </w:numPr>
        <w:pStyle w:val="Compact"/>
      </w:pPr>
      <w:r>
        <w:t xml:space="preserve">employer tuition terms and repayment conditions;</w:t>
      </w:r>
    </w:p>
    <w:p>
      <w:pPr>
        <w:numPr>
          <w:ilvl w:val="0"/>
          <w:numId w:val="1016"/>
        </w:numPr>
        <w:pStyle w:val="Compact"/>
      </w:pPr>
      <w:r>
        <w:t xml:space="preserve">unpaid placement requirements;</w:t>
      </w:r>
    </w:p>
    <w:p>
      <w:pPr>
        <w:numPr>
          <w:ilvl w:val="0"/>
          <w:numId w:val="1016"/>
        </w:numPr>
        <w:pStyle w:val="Compact"/>
      </w:pPr>
      <w:r>
        <w:t xml:space="preserve">work-authorization requirements; and</w:t>
      </w:r>
    </w:p>
    <w:p>
      <w:pPr>
        <w:numPr>
          <w:ilvl w:val="0"/>
          <w:numId w:val="1016"/>
        </w:numPr>
        <w:pStyle w:val="Compact"/>
      </w:pPr>
      <w:r>
        <w:t xml:space="preserve">whether the pathway still makes sense under a realistic low-pay scenario.</w:t>
      </w:r>
    </w:p>
    <w:bookmarkEnd w:id="50"/>
    <w:bookmarkStart w:id="51" w:name="is-this-career-right-for-me"/>
    <w:p>
      <w:pPr>
        <w:pStyle w:val="Heading2"/>
      </w:pPr>
      <w:r>
        <w:t xml:space="preserve">16. Is this career right for me?</w:t>
      </w:r>
    </w:p>
    <w:p>
      <w:pPr>
        <w:pStyle w:val="FirstParagraph"/>
      </w:pPr>
      <w:r>
        <w:t xml:space="preserve">Mark each item</w:t>
      </w:r>
      <w:r>
        <w:t xml:space="preserve"> </w:t>
      </w:r>
      <w:r>
        <w:rPr>
          <w:bCs/>
          <w:b/>
        </w:rPr>
        <w:t xml:space="preserve">Yes</w:t>
      </w:r>
      <w:r>
        <w:t xml:space="preserve">,</w:t>
      </w:r>
      <w:r>
        <w:t xml:space="preserve"> </w:t>
      </w:r>
      <w:r>
        <w:rPr>
          <w:bCs/>
          <w:b/>
        </w:rPr>
        <w:t xml:space="preserve">Not yet</w:t>
      </w:r>
      <w:r>
        <w:t xml:space="preserve">, or</w:t>
      </w:r>
      <w:r>
        <w:t xml:space="preserve"> </w:t>
      </w:r>
      <w:r>
        <w:rPr>
          <w:bCs/>
          <w:b/>
        </w:rPr>
        <w:t xml:space="preserve">Major concern</w:t>
      </w:r>
      <w:r>
        <w:t xml:space="preserve">:</w:t>
      </w:r>
    </w:p>
    <w:p>
      <w:pPr>
        <w:numPr>
          <w:ilvl w:val="0"/>
          <w:numId w:val="1017"/>
        </w:numPr>
        <w:pStyle w:val="Compact"/>
      </w:pPr>
      <w:r>
        <w:t xml:space="preserve">I understand the real work and tested my interest.</w:t>
      </w:r>
    </w:p>
    <w:p>
      <w:pPr>
        <w:numPr>
          <w:ilvl w:val="0"/>
          <w:numId w:val="1017"/>
        </w:numPr>
        <w:pStyle w:val="Compact"/>
      </w:pPr>
      <w:r>
        <w:t xml:space="preserve">I can protect sensitive information without cutting corners.</w:t>
      </w:r>
    </w:p>
    <w:p>
      <w:pPr>
        <w:numPr>
          <w:ilvl w:val="0"/>
          <w:numId w:val="1017"/>
        </w:numPr>
        <w:pStyle w:val="Compact"/>
      </w:pPr>
      <w:r>
        <w:t xml:space="preserve">I verified current local requirements and wages.</w:t>
      </w:r>
    </w:p>
    <w:p>
      <w:pPr>
        <w:numPr>
          <w:ilvl w:val="0"/>
          <w:numId w:val="1017"/>
        </w:numPr>
        <w:pStyle w:val="Compact"/>
      </w:pPr>
      <w:r>
        <w:t xml:space="preserve">I can enter without unsustainable debt.</w:t>
      </w:r>
    </w:p>
    <w:p>
      <w:pPr>
        <w:numPr>
          <w:ilvl w:val="0"/>
          <w:numId w:val="1017"/>
        </w:numPr>
        <w:pStyle w:val="Compact"/>
      </w:pPr>
      <w:r>
        <w:t xml:space="preserve">I understand any employer repayment obligation.</w:t>
      </w:r>
    </w:p>
    <w:p>
      <w:pPr>
        <w:numPr>
          <w:ilvl w:val="0"/>
          <w:numId w:val="1017"/>
        </w:numPr>
        <w:pStyle w:val="Compact"/>
      </w:pPr>
      <w:r>
        <w:t xml:space="preserve">I have checked accessibility for training and work.</w:t>
      </w:r>
    </w:p>
    <w:p>
      <w:pPr>
        <w:numPr>
          <w:ilvl w:val="0"/>
          <w:numId w:val="1017"/>
        </w:numPr>
        <w:pStyle w:val="Compact"/>
      </w:pPr>
      <w:r>
        <w:t xml:space="preserve">The schedule and family impact are workable.</w:t>
      </w:r>
    </w:p>
    <w:p>
      <w:pPr>
        <w:numPr>
          <w:ilvl w:val="0"/>
          <w:numId w:val="1017"/>
        </w:numPr>
        <w:pStyle w:val="Compact"/>
      </w:pPr>
      <w:r>
        <w:t xml:space="preserve">I can work within role boundaries and escalate appropriately.</w:t>
      </w:r>
    </w:p>
    <w:p>
      <w:pPr>
        <w:numPr>
          <w:ilvl w:val="0"/>
          <w:numId w:val="1017"/>
        </w:numPr>
        <w:pStyle w:val="Compact"/>
      </w:pPr>
      <w:r>
        <w:t xml:space="preserve">I have a realistic advancement or exit plan.</w:t>
      </w:r>
    </w:p>
    <w:p>
      <w:pPr>
        <w:pStyle w:val="FirstParagraph"/>
      </w:pPr>
      <w:r>
        <w:t xml:space="preserve">A</w:t>
      </w:r>
      <w:r>
        <w:t xml:space="preserve"> </w:t>
      </w:r>
      <w:r>
        <w:t xml:space="preserve">“</w:t>
      </w:r>
      <w:r>
        <w:t xml:space="preserve">Not yet</w:t>
      </w:r>
      <w:r>
        <w:t xml:space="preserve">”</w:t>
      </w:r>
      <w:r>
        <w:t xml:space="preserve"> </w:t>
      </w:r>
      <w:r>
        <w:t xml:space="preserve">can become an action item. A</w:t>
      </w:r>
      <w:r>
        <w:t xml:space="preserve"> </w:t>
      </w:r>
      <w:r>
        <w:t xml:space="preserve">“</w:t>
      </w:r>
      <w:r>
        <w:t xml:space="preserve">Major concern</w:t>
      </w:r>
      <w:r>
        <w:t xml:space="preserve">”</w:t>
      </w:r>
      <w:r>
        <w:t xml:space="preserve"> </w:t>
      </w:r>
      <w:r>
        <w:t xml:space="preserve">should be resolved before you spend significant money or make an irreversible commitment.</w:t>
      </w:r>
    </w:p>
    <w:bookmarkEnd w:id="51"/>
    <w:bookmarkStart w:id="52" w:name="twelve-week-action-plan"/>
    <w:p>
      <w:pPr>
        <w:pStyle w:val="Heading2"/>
      </w:pPr>
      <w:r>
        <w:t xml:space="preserve">17. Twelve-week action plan</w:t>
      </w:r>
    </w:p>
    <w:p>
      <w:pPr>
        <w:numPr>
          <w:ilvl w:val="0"/>
          <w:numId w:val="1018"/>
        </w:numPr>
        <w:pStyle w:val="Compact"/>
      </w:pPr>
      <w:r>
        <w:rPr>
          <w:bCs/>
          <w:b/>
        </w:rPr>
        <w:t xml:space="preserve">Week 1:</w:t>
      </w:r>
      <w:r>
        <w:t xml:space="preserve"> </w:t>
      </w:r>
      <w:r>
        <w:t xml:space="preserve">collect 10–20 current local vacancies and record titles, pay, education, experience, and software.</w:t>
      </w:r>
    </w:p>
    <w:p>
      <w:pPr>
        <w:numPr>
          <w:ilvl w:val="0"/>
          <w:numId w:val="1018"/>
        </w:numPr>
        <w:pStyle w:val="Compact"/>
      </w:pPr>
      <w:r>
        <w:rPr>
          <w:bCs/>
          <w:b/>
        </w:rPr>
        <w:t xml:space="preserve">Week 2:</w:t>
      </w:r>
      <w:r>
        <w:t xml:space="preserve"> </w:t>
      </w:r>
      <w:r>
        <w:t xml:space="preserve">identify the duties that appear most often.</w:t>
      </w:r>
    </w:p>
    <w:p>
      <w:pPr>
        <w:numPr>
          <w:ilvl w:val="0"/>
          <w:numId w:val="1018"/>
        </w:numPr>
        <w:pStyle w:val="Compact"/>
      </w:pPr>
      <w:r>
        <w:rPr>
          <w:bCs/>
          <w:b/>
        </w:rPr>
        <w:t xml:space="preserve">Week 3:</w:t>
      </w:r>
      <w:r>
        <w:t xml:space="preserve"> </w:t>
      </w:r>
      <w:r>
        <w:t xml:space="preserve">test those duties with free practice using fictional data.</w:t>
      </w:r>
    </w:p>
    <w:p>
      <w:pPr>
        <w:numPr>
          <w:ilvl w:val="0"/>
          <w:numId w:val="1018"/>
        </w:numPr>
        <w:pStyle w:val="Compact"/>
      </w:pPr>
      <w:r>
        <w:rPr>
          <w:bCs/>
          <w:b/>
        </w:rPr>
        <w:t xml:space="preserve">Week 4:</w:t>
      </w:r>
      <w:r>
        <w:t xml:space="preserve"> </w:t>
      </w:r>
      <w:r>
        <w:t xml:space="preserve">compare your current skills against the vacancy evidence.</w:t>
      </w:r>
    </w:p>
    <w:p>
      <w:pPr>
        <w:numPr>
          <w:ilvl w:val="0"/>
          <w:numId w:val="1018"/>
        </w:numPr>
        <w:pStyle w:val="Compact"/>
      </w:pPr>
      <w:r>
        <w:rPr>
          <w:bCs/>
          <w:b/>
        </w:rPr>
        <w:t xml:space="preserve">Week 5:</w:t>
      </w:r>
      <w:r>
        <w:t xml:space="preserve"> </w:t>
      </w:r>
      <w:r>
        <w:t xml:space="preserve">identify free, public, or employer-supported learning that closes the most important gaps.</w:t>
      </w:r>
    </w:p>
    <w:p>
      <w:pPr>
        <w:numPr>
          <w:ilvl w:val="0"/>
          <w:numId w:val="1018"/>
        </w:numPr>
        <w:pStyle w:val="Compact"/>
      </w:pPr>
      <w:r>
        <w:rPr>
          <w:bCs/>
          <w:b/>
        </w:rPr>
        <w:t xml:space="preserve">Week 6:</w:t>
      </w:r>
      <w:r>
        <w:t xml:space="preserve"> </w:t>
      </w:r>
      <w:r>
        <w:t xml:space="preserve">verify funding, scholarship, apprenticeship, or employer-tuition options.</w:t>
      </w:r>
    </w:p>
    <w:p>
      <w:pPr>
        <w:numPr>
          <w:ilvl w:val="0"/>
          <w:numId w:val="1018"/>
        </w:numPr>
        <w:pStyle w:val="Compact"/>
      </w:pPr>
      <w:r>
        <w:rPr>
          <w:bCs/>
          <w:b/>
        </w:rPr>
        <w:t xml:space="preserve">Week 7:</w:t>
      </w:r>
      <w:r>
        <w:t xml:space="preserve"> </w:t>
      </w:r>
      <w:r>
        <w:t xml:space="preserve">create one privacy-safe portfolio project.</w:t>
      </w:r>
    </w:p>
    <w:p>
      <w:pPr>
        <w:numPr>
          <w:ilvl w:val="0"/>
          <w:numId w:val="1018"/>
        </w:numPr>
        <w:pStyle w:val="Compact"/>
      </w:pPr>
      <w:r>
        <w:rPr>
          <w:bCs/>
          <w:b/>
        </w:rPr>
        <w:t xml:space="preserve">Week 8:</w:t>
      </w:r>
      <w:r>
        <w:t xml:space="preserve"> </w:t>
      </w:r>
      <w:r>
        <w:t xml:space="preserve">create a second project focused on records accuracy or workflow control.</w:t>
      </w:r>
    </w:p>
    <w:p>
      <w:pPr>
        <w:numPr>
          <w:ilvl w:val="0"/>
          <w:numId w:val="1018"/>
        </w:numPr>
        <w:pStyle w:val="Compact"/>
      </w:pPr>
      <w:r>
        <w:rPr>
          <w:bCs/>
          <w:b/>
        </w:rPr>
        <w:t xml:space="preserve">Week 9:</w:t>
      </w:r>
      <w:r>
        <w:t xml:space="preserve"> </w:t>
      </w:r>
      <w:r>
        <w:t xml:space="preserve">revise your résumé using truthful evidence from prior work and new practice.</w:t>
      </w:r>
    </w:p>
    <w:p>
      <w:pPr>
        <w:numPr>
          <w:ilvl w:val="0"/>
          <w:numId w:val="1018"/>
        </w:numPr>
        <w:pStyle w:val="Compact"/>
      </w:pPr>
      <w:r>
        <w:rPr>
          <w:bCs/>
          <w:b/>
        </w:rPr>
        <w:t xml:space="preserve">Week 10:</w:t>
      </w:r>
      <w:r>
        <w:t xml:space="preserve"> </w:t>
      </w:r>
      <w:r>
        <w:t xml:space="preserve">practice interviews and escalation scenarios.</w:t>
      </w:r>
    </w:p>
    <w:p>
      <w:pPr>
        <w:numPr>
          <w:ilvl w:val="0"/>
          <w:numId w:val="1018"/>
        </w:numPr>
        <w:pStyle w:val="Compact"/>
      </w:pPr>
      <w:r>
        <w:rPr>
          <w:bCs/>
          <w:b/>
        </w:rPr>
        <w:t xml:space="preserve">Week 11:</w:t>
      </w:r>
      <w:r>
        <w:t xml:space="preserve"> </w:t>
      </w:r>
      <w:r>
        <w:t xml:space="preserve">apply selectively to roles that match your verified capabilities.</w:t>
      </w:r>
    </w:p>
    <w:p>
      <w:pPr>
        <w:numPr>
          <w:ilvl w:val="0"/>
          <w:numId w:val="1018"/>
        </w:numPr>
        <w:pStyle w:val="Compact"/>
      </w:pPr>
      <w:r>
        <w:rPr>
          <w:bCs/>
          <w:b/>
        </w:rPr>
        <w:t xml:space="preserve">Week 12:</w:t>
      </w:r>
      <w:r>
        <w:t xml:space="preserve"> </w:t>
      </w:r>
      <w:r>
        <w:t xml:space="preserve">review results and decide whether to continue, change the target title, or pursue additional training.</w:t>
      </w:r>
    </w:p>
    <w:bookmarkEnd w:id="52"/>
    <w:bookmarkStart w:id="56" w:name="worksheets"/>
    <w:p>
      <w:pPr>
        <w:pStyle w:val="Heading2"/>
      </w:pPr>
      <w:r>
        <w:t xml:space="preserve">18. Worksheets</w:t>
      </w:r>
    </w:p>
    <w:bookmarkStart w:id="53" w:name="local-vacancy-comparison"/>
    <w:p>
      <w:pPr>
        <w:pStyle w:val="Heading3"/>
      </w:pPr>
      <w:r>
        <w:t xml:space="preserve">Local vacancy comparison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Vacancy 1</w:t>
            </w:r>
          </w:p>
        </w:tc>
        <w:tc>
          <w:tcPr/>
          <w:p>
            <w:pPr>
              <w:pStyle w:val="Compact"/>
              <w:jc w:val="left"/>
            </w:pPr>
            <w:r>
              <w:t xml:space="preserve">Vacancy 2</w:t>
            </w:r>
          </w:p>
        </w:tc>
        <w:tc>
          <w:tcPr/>
          <w:p>
            <w:pPr>
              <w:pStyle w:val="Compact"/>
              <w:jc w:val="left"/>
            </w:pPr>
            <w:r>
              <w:t xml:space="preserve">Vacancy 3</w:t>
            </w:r>
          </w:p>
        </w:tc>
      </w:tr>
      <w:tr>
        <w:tc>
          <w:tcPr/>
          <w:p>
            <w:pPr>
              <w:pStyle w:val="Compact"/>
              <w:jc w:val="left"/>
            </w:pPr>
            <w:r>
              <w:t xml:space="preserve">Exact title</w:t>
            </w:r>
          </w:p>
        </w:tc>
        <w:tc>
          <w:tcPr/>
          <w:p>
            <w:pPr>
              <w:pStyle w:val="Compact"/>
            </w:pPr>
          </w:p>
        </w:tc>
        <w:tc>
          <w:tcPr/>
          <w:p>
            <w:pPr>
              <w:pStyle w:val="Compact"/>
            </w:pPr>
          </w:p>
        </w:tc>
        <w:tc>
          <w:tcPr/>
          <w:p>
            <w:pPr>
              <w:pStyle w:val="Compact"/>
            </w:pPr>
          </w:p>
        </w:tc>
      </w:tr>
      <w:tr>
        <w:tc>
          <w:tcPr/>
          <w:p>
            <w:pPr>
              <w:pStyle w:val="Compact"/>
              <w:jc w:val="left"/>
            </w:pPr>
            <w:r>
              <w:t xml:space="preserve">Location</w:t>
            </w:r>
          </w:p>
        </w:tc>
        <w:tc>
          <w:tcPr/>
          <w:p>
            <w:pPr>
              <w:pStyle w:val="Compact"/>
            </w:pPr>
          </w:p>
        </w:tc>
        <w:tc>
          <w:tcPr/>
          <w:p>
            <w:pPr>
              <w:pStyle w:val="Compact"/>
            </w:pPr>
          </w:p>
        </w:tc>
        <w:tc>
          <w:tcPr/>
          <w:p>
            <w:pPr>
              <w:pStyle w:val="Compact"/>
            </w:pPr>
          </w:p>
        </w:tc>
      </w:tr>
      <w:tr>
        <w:tc>
          <w:tcPr/>
          <w:p>
            <w:pPr>
              <w:pStyle w:val="Compact"/>
              <w:jc w:val="left"/>
            </w:pPr>
            <w:r>
              <w:t xml:space="preserve">Pay</w:t>
            </w:r>
          </w:p>
        </w:tc>
        <w:tc>
          <w:tcPr/>
          <w:p>
            <w:pPr>
              <w:pStyle w:val="Compact"/>
            </w:pPr>
          </w:p>
        </w:tc>
        <w:tc>
          <w:tcPr/>
          <w:p>
            <w:pPr>
              <w:pStyle w:val="Compact"/>
            </w:pPr>
          </w:p>
        </w:tc>
        <w:tc>
          <w:tcPr/>
          <w:p>
            <w:pPr>
              <w:pStyle w:val="Compact"/>
            </w:pPr>
          </w:p>
        </w:tc>
      </w:tr>
      <w:tr>
        <w:tc>
          <w:tcPr/>
          <w:p>
            <w:pPr>
              <w:pStyle w:val="Compact"/>
              <w:jc w:val="left"/>
            </w:pPr>
            <w:r>
              <w:t xml:space="preserve">Contract type</w:t>
            </w:r>
          </w:p>
        </w:tc>
        <w:tc>
          <w:tcPr/>
          <w:p>
            <w:pPr>
              <w:pStyle w:val="Compact"/>
            </w:pPr>
          </w:p>
        </w:tc>
        <w:tc>
          <w:tcPr/>
          <w:p>
            <w:pPr>
              <w:pStyle w:val="Compact"/>
            </w:pPr>
          </w:p>
        </w:tc>
        <w:tc>
          <w:tcPr/>
          <w:p>
            <w:pPr>
              <w:pStyle w:val="Compact"/>
            </w:pPr>
          </w:p>
        </w:tc>
      </w:tr>
      <w:tr>
        <w:tc>
          <w:tcPr/>
          <w:p>
            <w:pPr>
              <w:pStyle w:val="Compact"/>
              <w:jc w:val="left"/>
            </w:pPr>
            <w:r>
              <w:t xml:space="preserve">Education</w:t>
            </w:r>
          </w:p>
        </w:tc>
        <w:tc>
          <w:tcPr/>
          <w:p>
            <w:pPr>
              <w:pStyle w:val="Compact"/>
            </w:pPr>
          </w:p>
        </w:tc>
        <w:tc>
          <w:tcPr/>
          <w:p>
            <w:pPr>
              <w:pStyle w:val="Compact"/>
            </w:pPr>
          </w:p>
        </w:tc>
        <w:tc>
          <w:tcPr/>
          <w:p>
            <w:pPr>
              <w:pStyle w:val="Compact"/>
            </w:pPr>
          </w:p>
        </w:tc>
      </w:tr>
      <w:tr>
        <w:tc>
          <w:tcPr/>
          <w:p>
            <w:pPr>
              <w:pStyle w:val="Compact"/>
              <w:jc w:val="left"/>
            </w:pPr>
            <w:r>
              <w:t xml:space="preserve">Experience</w:t>
            </w:r>
          </w:p>
        </w:tc>
        <w:tc>
          <w:tcPr/>
          <w:p>
            <w:pPr>
              <w:pStyle w:val="Compact"/>
            </w:pPr>
          </w:p>
        </w:tc>
        <w:tc>
          <w:tcPr/>
          <w:p>
            <w:pPr>
              <w:pStyle w:val="Compact"/>
            </w:pPr>
          </w:p>
        </w:tc>
        <w:tc>
          <w:tcPr/>
          <w:p>
            <w:pPr>
              <w:pStyle w:val="Compact"/>
            </w:pPr>
          </w:p>
        </w:tc>
      </w:tr>
      <w:tr>
        <w:tc>
          <w:tcPr/>
          <w:p>
            <w:pPr>
              <w:pStyle w:val="Compact"/>
              <w:jc w:val="left"/>
            </w:pPr>
            <w:r>
              <w:t xml:space="preserve">Required software</w:t>
            </w:r>
          </w:p>
        </w:tc>
        <w:tc>
          <w:tcPr/>
          <w:p>
            <w:pPr>
              <w:pStyle w:val="Compact"/>
            </w:pPr>
          </w:p>
        </w:tc>
        <w:tc>
          <w:tcPr/>
          <w:p>
            <w:pPr>
              <w:pStyle w:val="Compact"/>
            </w:pPr>
          </w:p>
        </w:tc>
        <w:tc>
          <w:tcPr/>
          <w:p>
            <w:pPr>
              <w:pStyle w:val="Compact"/>
            </w:pPr>
          </w:p>
        </w:tc>
      </w:tr>
      <w:tr>
        <w:tc>
          <w:tcPr/>
          <w:p>
            <w:pPr>
              <w:pStyle w:val="Compact"/>
              <w:jc w:val="left"/>
            </w:pPr>
            <w:r>
              <w:t xml:space="preserve">Key duties</w:t>
            </w:r>
          </w:p>
        </w:tc>
        <w:tc>
          <w:tcPr/>
          <w:p>
            <w:pPr>
              <w:pStyle w:val="Compact"/>
            </w:pPr>
          </w:p>
        </w:tc>
        <w:tc>
          <w:tcPr/>
          <w:p>
            <w:pPr>
              <w:pStyle w:val="Compact"/>
            </w:pPr>
          </w:p>
        </w:tc>
        <w:tc>
          <w:tcPr/>
          <w:p>
            <w:pPr>
              <w:pStyle w:val="Compact"/>
            </w:pPr>
          </w:p>
        </w:tc>
      </w:tr>
      <w:tr>
        <w:tc>
          <w:tcPr/>
          <w:p>
            <w:pPr>
              <w:pStyle w:val="Compact"/>
              <w:jc w:val="left"/>
            </w:pPr>
            <w:r>
              <w:t xml:space="preserve">Benefits</w:t>
            </w:r>
          </w:p>
        </w:tc>
        <w:tc>
          <w:tcPr/>
          <w:p>
            <w:pPr>
              <w:pStyle w:val="Compact"/>
            </w:pPr>
          </w:p>
        </w:tc>
        <w:tc>
          <w:tcPr/>
          <w:p>
            <w:pPr>
              <w:pStyle w:val="Compact"/>
            </w:pPr>
          </w:p>
        </w:tc>
        <w:tc>
          <w:tcPr/>
          <w:p>
            <w:pPr>
              <w:pStyle w:val="Compact"/>
            </w:pPr>
          </w:p>
        </w:tc>
      </w:tr>
      <w:tr>
        <w:tc>
          <w:tcPr/>
          <w:p>
            <w:pPr>
              <w:pStyle w:val="Compact"/>
              <w:jc w:val="left"/>
            </w:pPr>
            <w:r>
              <w:t xml:space="preserve">Posting date</w:t>
            </w:r>
          </w:p>
        </w:tc>
        <w:tc>
          <w:tcPr/>
          <w:p>
            <w:pPr>
              <w:pStyle w:val="Compact"/>
            </w:pPr>
          </w:p>
        </w:tc>
        <w:tc>
          <w:tcPr/>
          <w:p>
            <w:pPr>
              <w:pStyle w:val="Compact"/>
            </w:pPr>
          </w:p>
        </w:tc>
        <w:tc>
          <w:tcPr/>
          <w:p>
            <w:pPr>
              <w:pStyle w:val="Compact"/>
            </w:pPr>
          </w:p>
        </w:tc>
      </w:tr>
    </w:tbl>
    <w:bookmarkEnd w:id="53"/>
    <w:bookmarkStart w:id="54" w:name="training-cost-worksheet"/>
    <w:p>
      <w:pPr>
        <w:pStyle w:val="Heading3"/>
      </w:pPr>
      <w:r>
        <w:t xml:space="preserve">Training-cost worksheet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Cost category</w:t>
            </w:r>
          </w:p>
        </w:tc>
        <w:tc>
          <w:tcPr/>
          <w:p>
            <w:pPr>
              <w:pStyle w:val="Compact"/>
              <w:jc w:val="right"/>
            </w:pPr>
            <w:r>
              <w:t xml:space="preserve">Estimate</w:t>
            </w:r>
          </w:p>
        </w:tc>
        <w:tc>
          <w:tcPr/>
          <w:p>
            <w:pPr>
              <w:pStyle w:val="Compact"/>
              <w:jc w:val="left"/>
            </w:pPr>
            <w:r>
              <w:t xml:space="preserve">Who may pay?</w:t>
            </w:r>
          </w:p>
        </w:tc>
        <w:tc>
          <w:tcPr/>
          <w:p>
            <w:pPr>
              <w:pStyle w:val="Compact"/>
              <w:jc w:val="left"/>
            </w:pPr>
            <w:r>
              <w:t xml:space="preserve">Verified source/date</w:t>
            </w:r>
          </w:p>
        </w:tc>
      </w:tr>
      <w:tr>
        <w:tc>
          <w:tcPr/>
          <w:p>
            <w:pPr>
              <w:pStyle w:val="Compact"/>
              <w:jc w:val="left"/>
            </w:pPr>
            <w:r>
              <w:t xml:space="preserve">Tuition and fees</w:t>
            </w:r>
          </w:p>
        </w:tc>
        <w:tc>
          <w:tcPr/>
          <w:p>
            <w:pPr>
              <w:pStyle w:val="Compact"/>
            </w:pPr>
          </w:p>
        </w:tc>
        <w:tc>
          <w:tcPr/>
          <w:p>
            <w:pPr>
              <w:pStyle w:val="Compact"/>
            </w:pPr>
          </w:p>
        </w:tc>
        <w:tc>
          <w:tcPr/>
          <w:p>
            <w:pPr>
              <w:pStyle w:val="Compact"/>
            </w:pPr>
          </w:p>
        </w:tc>
      </w:tr>
      <w:tr>
        <w:tc>
          <w:tcPr/>
          <w:p>
            <w:pPr>
              <w:pStyle w:val="Compact"/>
              <w:jc w:val="left"/>
            </w:pPr>
            <w:r>
              <w:t xml:space="preserve">Books and software</w:t>
            </w:r>
          </w:p>
        </w:tc>
        <w:tc>
          <w:tcPr/>
          <w:p>
            <w:pPr>
              <w:pStyle w:val="Compact"/>
            </w:pPr>
          </w:p>
        </w:tc>
        <w:tc>
          <w:tcPr/>
          <w:p>
            <w:pPr>
              <w:pStyle w:val="Compact"/>
            </w:pPr>
          </w:p>
        </w:tc>
        <w:tc>
          <w:tcPr/>
          <w:p>
            <w:pPr>
              <w:pStyle w:val="Compact"/>
            </w:pPr>
          </w:p>
        </w:tc>
      </w:tr>
      <w:tr>
        <w:tc>
          <w:tcPr/>
          <w:p>
            <w:pPr>
              <w:pStyle w:val="Compact"/>
              <w:jc w:val="left"/>
            </w:pPr>
            <w:r>
              <w:t xml:space="preserve">Exams or credentials</w:t>
            </w:r>
          </w:p>
        </w:tc>
        <w:tc>
          <w:tcPr/>
          <w:p>
            <w:pPr>
              <w:pStyle w:val="Compact"/>
            </w:pPr>
          </w:p>
        </w:tc>
        <w:tc>
          <w:tcPr/>
          <w:p>
            <w:pPr>
              <w:pStyle w:val="Compact"/>
            </w:pPr>
          </w:p>
        </w:tc>
        <w:tc>
          <w:tcPr/>
          <w:p>
            <w:pPr>
              <w:pStyle w:val="Compact"/>
            </w:pPr>
          </w:p>
        </w:tc>
      </w:tr>
      <w:tr>
        <w:tc>
          <w:tcPr/>
          <w:p>
            <w:pPr>
              <w:pStyle w:val="Compact"/>
              <w:jc w:val="left"/>
            </w:pPr>
            <w:r>
              <w:t xml:space="preserve">Equipment and internet</w:t>
            </w:r>
          </w:p>
        </w:tc>
        <w:tc>
          <w:tcPr/>
          <w:p>
            <w:pPr>
              <w:pStyle w:val="Compact"/>
            </w:pPr>
          </w:p>
        </w:tc>
        <w:tc>
          <w:tcPr/>
          <w:p>
            <w:pPr>
              <w:pStyle w:val="Compact"/>
            </w:pPr>
          </w:p>
        </w:tc>
        <w:tc>
          <w:tcPr/>
          <w:p>
            <w:pPr>
              <w:pStyle w:val="Compact"/>
            </w:pPr>
          </w:p>
        </w:tc>
      </w:tr>
      <w:tr>
        <w:tc>
          <w:tcPr/>
          <w:p>
            <w:pPr>
              <w:pStyle w:val="Compact"/>
              <w:jc w:val="left"/>
            </w:pPr>
            <w:r>
              <w:t xml:space="preserve">Transportation</w:t>
            </w:r>
          </w:p>
        </w:tc>
        <w:tc>
          <w:tcPr/>
          <w:p>
            <w:pPr>
              <w:pStyle w:val="Compact"/>
            </w:pPr>
          </w:p>
        </w:tc>
        <w:tc>
          <w:tcPr/>
          <w:p>
            <w:pPr>
              <w:pStyle w:val="Compact"/>
            </w:pPr>
          </w:p>
        </w:tc>
        <w:tc>
          <w:tcPr/>
          <w:p>
            <w:pPr>
              <w:pStyle w:val="Compact"/>
            </w:pPr>
          </w:p>
        </w:tc>
      </w:tr>
      <w:tr>
        <w:tc>
          <w:tcPr/>
          <w:p>
            <w:pPr>
              <w:pStyle w:val="Compact"/>
              <w:jc w:val="left"/>
            </w:pPr>
            <w:r>
              <w:t xml:space="preserve">Childcare or eldercare</w:t>
            </w:r>
          </w:p>
        </w:tc>
        <w:tc>
          <w:tcPr/>
          <w:p>
            <w:pPr>
              <w:pStyle w:val="Compact"/>
            </w:pPr>
          </w:p>
        </w:tc>
        <w:tc>
          <w:tcPr/>
          <w:p>
            <w:pPr>
              <w:pStyle w:val="Compact"/>
            </w:pPr>
          </w:p>
        </w:tc>
        <w:tc>
          <w:tcPr/>
          <w:p>
            <w:pPr>
              <w:pStyle w:val="Compact"/>
            </w:pPr>
          </w:p>
        </w:tc>
      </w:tr>
      <w:tr>
        <w:tc>
          <w:tcPr/>
          <w:p>
            <w:pPr>
              <w:pStyle w:val="Compact"/>
              <w:jc w:val="left"/>
            </w:pPr>
            <w:r>
              <w:t xml:space="preserve">Lost wages</w:t>
            </w:r>
          </w:p>
        </w:tc>
        <w:tc>
          <w:tcPr/>
          <w:p>
            <w:pPr>
              <w:pStyle w:val="Compact"/>
            </w:pPr>
          </w:p>
        </w:tc>
        <w:tc>
          <w:tcPr/>
          <w:p>
            <w:pPr>
              <w:pStyle w:val="Compact"/>
            </w:pPr>
          </w:p>
        </w:tc>
        <w:tc>
          <w:tcPr/>
          <w:p>
            <w:pPr>
              <w:pStyle w:val="Compact"/>
            </w:pPr>
          </w:p>
        </w:tc>
      </w:tr>
      <w:tr>
        <w:tc>
          <w:tcPr/>
          <w:p>
            <w:pPr>
              <w:pStyle w:val="Compact"/>
              <w:jc w:val="left"/>
            </w:pPr>
            <w:r>
              <w:t xml:space="preserve">Other costs</w:t>
            </w:r>
          </w:p>
        </w:tc>
        <w:tc>
          <w:tcPr/>
          <w:p>
            <w:pPr>
              <w:pStyle w:val="Compact"/>
            </w:pPr>
          </w:p>
        </w:tc>
        <w:tc>
          <w:tcPr/>
          <w:p>
            <w:pPr>
              <w:pStyle w:val="Compact"/>
            </w:pPr>
          </w:p>
        </w:tc>
        <w:tc>
          <w:tcPr/>
          <w:p>
            <w:pPr>
              <w:pStyle w:val="Compact"/>
            </w:pPr>
          </w:p>
        </w:tc>
      </w:tr>
    </w:tbl>
    <w:bookmarkEnd w:id="54"/>
    <w:bookmarkStart w:id="55" w:name="employer-education-worksheet"/>
    <w:p>
      <w:pPr>
        <w:pStyle w:val="Heading3"/>
      </w:pPr>
      <w:r>
        <w:t xml:space="preserve">Employer education worksheet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Question</w:t>
            </w:r>
          </w:p>
        </w:tc>
        <w:tc>
          <w:tcPr/>
          <w:p>
            <w:pPr>
              <w:pStyle w:val="Compact"/>
              <w:jc w:val="left"/>
            </w:pPr>
            <w:r>
              <w:t xml:space="preserve">Written answer</w:t>
            </w:r>
          </w:p>
        </w:tc>
      </w:tr>
      <w:tr>
        <w:tc>
          <w:tcPr/>
          <w:p>
            <w:pPr>
              <w:pStyle w:val="Compact"/>
              <w:jc w:val="left"/>
            </w:pPr>
            <w:r>
              <w:t xml:space="preserve">What is covered?</w:t>
            </w:r>
          </w:p>
        </w:tc>
        <w:tc>
          <w:tcPr/>
          <w:p>
            <w:pPr>
              <w:pStyle w:val="Compact"/>
            </w:pPr>
          </w:p>
        </w:tc>
      </w:tr>
      <w:tr>
        <w:tc>
          <w:tcPr/>
          <w:p>
            <w:pPr>
              <w:pStyle w:val="Compact"/>
              <w:jc w:val="left"/>
            </w:pPr>
            <w:r>
              <w:t xml:space="preserve">Direct payment or reimbursement?</w:t>
            </w:r>
          </w:p>
        </w:tc>
        <w:tc>
          <w:tcPr/>
          <w:p>
            <w:pPr>
              <w:pStyle w:val="Compact"/>
            </w:pPr>
          </w:p>
        </w:tc>
      </w:tr>
      <w:tr>
        <w:tc>
          <w:tcPr/>
          <w:p>
            <w:pPr>
              <w:pStyle w:val="Compact"/>
              <w:jc w:val="left"/>
            </w:pPr>
            <w:r>
              <w:t xml:space="preserve">Grade or completion requirement?</w:t>
            </w:r>
          </w:p>
        </w:tc>
        <w:tc>
          <w:tcPr/>
          <w:p>
            <w:pPr>
              <w:pStyle w:val="Compact"/>
            </w:pPr>
          </w:p>
        </w:tc>
      </w:tr>
      <w:tr>
        <w:tc>
          <w:tcPr/>
          <w:p>
            <w:pPr>
              <w:pStyle w:val="Compact"/>
              <w:jc w:val="left"/>
            </w:pPr>
            <w:r>
              <w:t xml:space="preserve">Required employment period?</w:t>
            </w:r>
          </w:p>
        </w:tc>
        <w:tc>
          <w:tcPr/>
          <w:p>
            <w:pPr>
              <w:pStyle w:val="Compact"/>
            </w:pPr>
          </w:p>
        </w:tc>
      </w:tr>
      <w:tr>
        <w:tc>
          <w:tcPr/>
          <w:p>
            <w:pPr>
              <w:pStyle w:val="Compact"/>
              <w:jc w:val="left"/>
            </w:pPr>
            <w:r>
              <w:t xml:space="preserve">Prorated repayment formula?</w:t>
            </w:r>
          </w:p>
        </w:tc>
        <w:tc>
          <w:tcPr/>
          <w:p>
            <w:pPr>
              <w:pStyle w:val="Compact"/>
            </w:pPr>
          </w:p>
        </w:tc>
      </w:tr>
      <w:tr>
        <w:tc>
          <w:tcPr/>
          <w:p>
            <w:pPr>
              <w:pStyle w:val="Compact"/>
              <w:jc w:val="left"/>
            </w:pPr>
            <w:r>
              <w:t xml:space="preserve">Layoff/position-elimination treatment?</w:t>
            </w:r>
          </w:p>
        </w:tc>
        <w:tc>
          <w:tcPr/>
          <w:p>
            <w:pPr>
              <w:pStyle w:val="Compact"/>
            </w:pPr>
          </w:p>
        </w:tc>
      </w:tr>
      <w:tr>
        <w:tc>
          <w:tcPr/>
          <w:p>
            <w:pPr>
              <w:pStyle w:val="Compact"/>
              <w:jc w:val="left"/>
            </w:pPr>
            <w:r>
              <w:t xml:space="preserve">Disability/military/retirement/transfer treatment?</w:t>
            </w:r>
          </w:p>
        </w:tc>
        <w:tc>
          <w:tcPr/>
          <w:p>
            <w:pPr>
              <w:pStyle w:val="Compact"/>
            </w:pPr>
          </w:p>
        </w:tc>
      </w:tr>
      <w:tr>
        <w:tc>
          <w:tcPr/>
          <w:p>
            <w:pPr>
              <w:pStyle w:val="Compact"/>
              <w:jc w:val="left"/>
            </w:pPr>
            <w:r>
              <w:t xml:space="preserve">Final-wage deduction authority?</w:t>
            </w:r>
          </w:p>
        </w:tc>
        <w:tc>
          <w:tcPr/>
          <w:p>
            <w:pPr>
              <w:pStyle w:val="Compact"/>
            </w:pPr>
          </w:p>
        </w:tc>
      </w:tr>
      <w:tr>
        <w:tc>
          <w:tcPr/>
          <w:p>
            <w:pPr>
              <w:pStyle w:val="Compact"/>
              <w:jc w:val="left"/>
            </w:pPr>
            <w:r>
              <w:t xml:space="preserve">Who owns the credential and records?</w:t>
            </w:r>
          </w:p>
        </w:tc>
        <w:tc>
          <w:tcPr/>
          <w:p>
            <w:pPr>
              <w:pStyle w:val="Compact"/>
            </w:pPr>
          </w:p>
        </w:tc>
      </w:tr>
    </w:tbl>
    <w:bookmarkEnd w:id="55"/>
    <w:bookmarkEnd w:id="56"/>
    <w:bookmarkStart w:id="60" w:name="sources-versioning-and-maintenance"/>
    <w:p>
      <w:pPr>
        <w:pStyle w:val="Heading2"/>
      </w:pPr>
      <w:r>
        <w:t xml:space="preserve">19. Sources, versioning, and maintenance</w:t>
      </w:r>
    </w:p>
    <w:bookmarkStart w:id="57" w:name="official-and-primary-public-sources"/>
    <w:p>
      <w:pPr>
        <w:pStyle w:val="Heading3"/>
      </w:pPr>
      <w:r>
        <w:t xml:space="preserve">Official and primary public sources</w:t>
      </w:r>
    </w:p>
    <w:p>
      <w:pPr>
        <w:numPr>
          <w:ilvl w:val="0"/>
          <w:numId w:val="1019"/>
        </w:numPr>
        <w:pStyle w:val="Compact"/>
      </w:pPr>
      <w:r>
        <w:t xml:space="preserve">U.S. Bureau of Labor Statistics, May 2025 national occupational wage data: https://www.bls.gov/news.release/ocwage.t01.htm</w:t>
      </w:r>
    </w:p>
    <w:p>
      <w:pPr>
        <w:numPr>
          <w:ilvl w:val="0"/>
          <w:numId w:val="1019"/>
        </w:numPr>
        <w:pStyle w:val="Compact"/>
      </w:pPr>
      <w:r>
        <w:t xml:space="preserve">U.S. Bureau of Labor Statistics, Information Clerks Occupational Outlook Handbook: https://www.bls.gov/ooh/office-and-administrative-support/information-clerks.htm</w:t>
      </w:r>
    </w:p>
    <w:p>
      <w:pPr>
        <w:numPr>
          <w:ilvl w:val="0"/>
          <w:numId w:val="1019"/>
        </w:numPr>
        <w:pStyle w:val="Compact"/>
      </w:pPr>
      <w:r>
        <w:t xml:space="preserve">U.S. Bureau of Labor Statistics, Occupational Projections and Worker Characteristics: https://www.bls.gov/emp/tables/occupational-projections-and-characteristics.htm</w:t>
      </w:r>
    </w:p>
    <w:p>
      <w:pPr>
        <w:numPr>
          <w:ilvl w:val="0"/>
          <w:numId w:val="1019"/>
        </w:numPr>
        <w:pStyle w:val="Compact"/>
      </w:pPr>
      <w:r>
        <w:t xml:space="preserve">Government of Canada Job Bank, Human Resources Assistant summary: https://www.jobbank.gc.ca/marketreport/summary-occupation/26969/ca</w:t>
      </w:r>
    </w:p>
    <w:p>
      <w:pPr>
        <w:numPr>
          <w:ilvl w:val="0"/>
          <w:numId w:val="1019"/>
        </w:numPr>
        <w:pStyle w:val="Compact"/>
      </w:pPr>
      <w:r>
        <w:t xml:space="preserve">Government of Canada Job Bank, Personnel Clerk wages: https://www.jobbank.gc.ca/marketreport/wages-occupation/26972/ca</w:t>
      </w:r>
    </w:p>
    <w:p>
      <w:pPr>
        <w:numPr>
          <w:ilvl w:val="0"/>
          <w:numId w:val="1019"/>
        </w:numPr>
        <w:pStyle w:val="Compact"/>
      </w:pPr>
      <w:r>
        <w:t xml:space="preserve">SENA Betowa, Técnico en Talento Humano: https://betowa.sena.edu.co/oferta/talento-humano?programId=224441</w:t>
      </w:r>
    </w:p>
    <w:p>
      <w:pPr>
        <w:numPr>
          <w:ilvl w:val="0"/>
          <w:numId w:val="1019"/>
        </w:numPr>
        <w:pStyle w:val="Compact"/>
      </w:pPr>
      <w:r>
        <w:t xml:space="preserve">SENA Betowa, Herramientas para la Gestión del Talento Humano: https://betowa.sena.edu.co/oferta/herramientas-para-la-gestion-del-talento-humano?programId=148534</w:t>
      </w:r>
    </w:p>
    <w:p>
      <w:pPr>
        <w:numPr>
          <w:ilvl w:val="0"/>
          <w:numId w:val="1019"/>
        </w:numPr>
        <w:pStyle w:val="Compact"/>
      </w:pPr>
      <w:r>
        <w:t xml:space="preserve">SENA Agencia Pública de Empleo: https://www.sena.edu.co/es-co/trabajo/Paginas/busqueEmpleo.aspx</w:t>
      </w:r>
    </w:p>
    <w:p>
      <w:pPr>
        <w:numPr>
          <w:ilvl w:val="0"/>
          <w:numId w:val="1019"/>
        </w:numPr>
        <w:pStyle w:val="Compact"/>
      </w:pPr>
      <w:r>
        <w:t xml:space="preserve">IRS, Section 127 educational assistance FAQs updated April 2026: https://www.irs.gov/newsroom/irs-updates-frequently-asked-questions-about-section-127-educational-assistance-programs</w:t>
      </w:r>
    </w:p>
    <w:p>
      <w:pPr>
        <w:numPr>
          <w:ilvl w:val="0"/>
          <w:numId w:val="1019"/>
        </w:numPr>
        <w:pStyle w:val="Compact"/>
      </w:pPr>
      <w:r>
        <w:t xml:space="preserve">Apprenticeship.gov: https://www.apprenticeship.gov/</w:t>
      </w:r>
    </w:p>
    <w:p>
      <w:pPr>
        <w:numPr>
          <w:ilvl w:val="0"/>
          <w:numId w:val="1019"/>
        </w:numPr>
        <w:pStyle w:val="Compact"/>
      </w:pPr>
      <w:r>
        <w:t xml:space="preserve">U.S. Department of Education accreditation information: https://www.ed.gov/accreditation</w:t>
      </w:r>
    </w:p>
    <w:p>
      <w:pPr>
        <w:numPr>
          <w:ilvl w:val="0"/>
          <w:numId w:val="1019"/>
        </w:numPr>
        <w:pStyle w:val="Compact"/>
      </w:pPr>
      <w:r>
        <w:t xml:space="preserve">U.S. Equal Employment Opportunity Commission disability discrimination guidance: https://www.eeoc.gov/disability-discrimination</w:t>
      </w:r>
    </w:p>
    <w:bookmarkEnd w:id="57"/>
    <w:bookmarkStart w:id="58" w:name="current-non-government-market-source"/>
    <w:p>
      <w:pPr>
        <w:pStyle w:val="Heading3"/>
      </w:pPr>
      <w:r>
        <w:t xml:space="preserve">Current non-government market source</w:t>
      </w:r>
    </w:p>
    <w:p>
      <w:pPr>
        <w:numPr>
          <w:ilvl w:val="0"/>
          <w:numId w:val="1020"/>
        </w:numPr>
        <w:pStyle w:val="Compact"/>
      </w:pPr>
      <w:r>
        <w:t xml:space="preserve">Indeed, Human Resources Assistant salary in the United States, updated July 20, 2026: https://www.indeed.com/career/human-resources-assistant/salaries</w:t>
      </w:r>
    </w:p>
    <w:bookmarkEnd w:id="58"/>
    <w:bookmarkStart w:id="59" w:name="maintenance-rules"/>
    <w:p>
      <w:pPr>
        <w:pStyle w:val="Heading3"/>
      </w:pPr>
      <w:r>
        <w:t xml:space="preserve">Maintenance rules</w:t>
      </w:r>
    </w:p>
    <w:p>
      <w:pPr>
        <w:numPr>
          <w:ilvl w:val="0"/>
          <w:numId w:val="1021"/>
        </w:numPr>
        <w:pStyle w:val="Compact"/>
      </w:pPr>
      <w:r>
        <w:t xml:space="preserve">Recheck wage, outlook, tax, training, apprenticeship, and link information before publication and at least annually thereafter.</w:t>
      </w:r>
    </w:p>
    <w:p>
      <w:pPr>
        <w:numPr>
          <w:ilvl w:val="0"/>
          <w:numId w:val="1021"/>
        </w:numPr>
        <w:pStyle w:val="Compact"/>
      </w:pPr>
      <w:r>
        <w:t xml:space="preserve">Keep official statistics separate from non-government market estimates.</w:t>
      </w:r>
    </w:p>
    <w:p>
      <w:pPr>
        <w:numPr>
          <w:ilvl w:val="0"/>
          <w:numId w:val="1021"/>
        </w:numPr>
        <w:pStyle w:val="Compact"/>
      </w:pPr>
      <w:r>
        <w:t xml:space="preserve">Record reference periods and update dates where available.</w:t>
      </w:r>
    </w:p>
    <w:p>
      <w:pPr>
        <w:numPr>
          <w:ilvl w:val="0"/>
          <w:numId w:val="1021"/>
        </w:numPr>
        <w:pStyle w:val="Compact"/>
      </w:pPr>
      <w:r>
        <w:t xml:space="preserve">Mark jurisdiction-dependent information for local verification instead of guessing.</w:t>
      </w:r>
    </w:p>
    <w:p>
      <w:pPr>
        <w:numPr>
          <w:ilvl w:val="0"/>
          <w:numId w:val="1021"/>
        </w:numPr>
        <w:pStyle w:val="Compact"/>
      </w:pPr>
      <w:r>
        <w:t xml:space="preserve">Correct broken links, accessibility barriers, factual errors, or outdated pathways through the project’s correction process.</w:t>
      </w:r>
    </w:p>
    <w:p>
      <w:pPr>
        <w:pStyle w:val="FirstParagraph"/>
      </w:pPr>
      <w:r>
        <w:rPr>
          <w:bCs/>
          <w:b/>
        </w:rPr>
        <w:t xml:space="preserve">Governing principle:</w:t>
      </w:r>
      <w:r>
        <w:t xml:space="preserve"> </w:t>
      </w:r>
      <w:r>
        <w:t xml:space="preserve">when speed and completeness conflict, completeness wins. When confidence and uncertainty conflict, disclose the uncertainty. When an institution’s interest conflicts with protecting the reader, protect the reader.</w:t>
      </w:r>
    </w:p>
    <w:bookmarkEnd w:id="59"/>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2026-08-08T17:03:12Z</dcterms:created>
  <dcterms:modified xsi:type="dcterms:W3CDTF">2026-08-08T17:03:12Z</dcterms:modified>
</cp:coreProperties>
</file>

<file path=docProps/custom.xml><?xml version="1.0" encoding="utf-8"?>
<Properties xmlns="http://schemas.openxmlformats.org/officeDocument/2006/custom-properties" xmlns:vt="http://schemas.openxmlformats.org/officeDocument/2006/docPropsVTypes"/>
</file>