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c1e0ecd4da3e62c75cb4bed9e6016361dad0b55"/>
    <w:p>
      <w:pPr>
        <w:pStyle w:val="Heading1"/>
      </w:pPr>
      <w:r>
        <w:t xml:space="preserve">Guía de Oportunidades para Toda la Vida 08 — Asistente de Recursos Humanos</w:t>
      </w:r>
    </w:p>
    <w:p>
      <w:pPr>
        <w:pStyle w:val="FirstParagraph"/>
      </w:pPr>
      <w:r>
        <w:rPr>
          <w:bCs/>
          <w:b/>
        </w:rPr>
        <w:t xml:space="preserve">Candidata controlada de publicación es-419 de la revisión 2026</w:t>
      </w:r>
      <w:r>
        <w:br/>
      </w:r>
      <w:r>
        <w:t xml:space="preserve">Versión 2.0 • agosto de 2026</w:t>
      </w:r>
      <w:r>
        <w:br/>
      </w:r>
      <w:r>
        <w:t xml:space="preserve">Creada y dirigida por Alberto (Al) Leiva</w:t>
      </w:r>
      <w:r>
        <w:br/>
      </w:r>
      <w:r>
        <w:t xml:space="preserve">Investigación, organización, edición y preparación documental asistidas por ChatGPT, OpenAI</w:t>
      </w:r>
    </w:p>
    <w:p>
      <w:pPr>
        <w:pStyle w:val="BlockText"/>
      </w:pPr>
      <w:r>
        <w:rPr>
          <w:bCs/>
          <w:b/>
        </w:rPr>
        <w:t xml:space="preserve">Estado controlado:</w:t>
      </w:r>
      <w:r>
        <w:t xml:space="preserve"> </w:t>
      </w:r>
      <w:r>
        <w:t xml:space="preserve">Esta es la candidata controlada de publicación es-419 de 2026, localizada con asistencia de IA desde la fuente inglesa congelada. Ha superado las puertas de investigación, edición, trazabilidad de afirmaciones, congelación de fuente, localización, paridad, QA técnica, DOCX, PDF, metadatos, renderizado y QA de publicación documentadas en el repositorio. No constituye certificación humana independiente, certificación profesional de traducción, certificación de accesibilidad, acreditación, revisión legal ni garantía de resultados.</w:t>
      </w:r>
    </w:p>
    <w:bookmarkStart w:id="20" w:name="la-promesa-de-esta-guía"/>
    <w:p>
      <w:pPr>
        <w:pStyle w:val="Heading2"/>
      </w:pPr>
      <w:r>
        <w:t xml:space="preserve">La promesa de esta guía</w:t>
      </w:r>
    </w:p>
    <w:p>
      <w:pPr>
        <w:pStyle w:val="FirstParagraph"/>
      </w:pPr>
      <w:r>
        <w:t xml:space="preserve">Esta guía no promete que el trabajo de Asistente de Recursos Humanos sea adecuado para todas las personas, que la capacitación sea gratuita, que una credencial conduzca a un empleo ni que un salario indicado esté disponible en todas las ubicaciones. Su propósito es ayudar a comprender el trabajo, comparar rutas de aprendizaje asequibles, proteger información sensible, reconocer los límites de la función, prepararse para la automatización y la IA, y verificar los requisitos locales antes de gastar dinero o aceptar una obligación laboral o de reembolso.</w:t>
      </w:r>
    </w:p>
    <w:bookmarkEnd w:id="20"/>
    <w:bookmarkStart w:id="21" w:name="por-qué-existe-esta-guía"/>
    <w:p>
      <w:pPr>
        <w:pStyle w:val="Heading2"/>
      </w:pPr>
      <w:r>
        <w:t xml:space="preserve">Por qué existe esta guía</w:t>
      </w:r>
    </w:p>
    <w:p>
      <w:pPr>
        <w:pStyle w:val="FirstParagraph"/>
      </w:pPr>
      <w:r>
        <w:t xml:space="preserve">Las Guías de Oportunidades para Toda la Vida buscan hacer la exploración profesional más accesible para personas que pueden enfrentar barreras relacionadas con edad, discapacidad, ingresos, geografía, idioma, responsabilidades de cuidado o una trayectoria laboral no tradicional. El apoyo de recursos humanos puede servir como puerta de entrada a reclutamiento, incorporación, expedientes de personal, administración de beneficios, coordinación de capacitación, operaciones de RR. HH., apoyo a analítica de personas y otras funciones administrativas. También es una función de alta responsabilidad porque los errores pueden afectar el pago, los beneficios, la privacidad, los registros laborales, los derechos en el trabajo y la confianza de las personas.</w:t>
      </w:r>
    </w:p>
    <w:bookmarkEnd w:id="21"/>
    <w:bookmarkStart w:id="22" w:name="reconocimiento-de-la-asistencia-de-ia"/>
    <w:p>
      <w:pPr>
        <w:pStyle w:val="Heading2"/>
      </w:pPr>
      <w:r>
        <w:t xml:space="preserve">Reconocimiento de la asistencia de IA</w:t>
      </w:r>
    </w:p>
    <w:p>
      <w:pPr>
        <w:pStyle w:val="FirstParagraph"/>
      </w:pPr>
      <w:r>
        <w:t xml:space="preserve">Alberto (Al) Leiva concibió y dirige este proyecto y conserva la responsabilidad sobre la guía. ChatGPT de OpenAI se utilizó como herramienta de apoyo para investigación, organización, edición y preparación documental. La asistencia de IA no es certificación humana independiente, certificación profesional de traducción, acreditación, revisión legal, asesoría tributaria, asesoría de derecho laboral, certificación de accesibilidad ni sustituto de fuentes oficiales actuales y juicio humano calificado.</w:t>
      </w:r>
    </w:p>
    <w:bookmarkEnd w:id="22"/>
    <w:bookmarkStart w:id="23" w:name="límites-éticos-y-prácticos"/>
    <w:p>
      <w:pPr>
        <w:pStyle w:val="Heading2"/>
      </w:pPr>
      <w:r>
        <w:t xml:space="preserve">Límites éticos y prácticos</w:t>
      </w:r>
    </w:p>
    <w:p>
      <w:pPr>
        <w:pStyle w:val="FirstParagraph"/>
      </w:pPr>
      <w:r>
        <w:t xml:space="preserve">Esta guía ofrece información educativa general y de navegación profesional. No brinda asesoría individualizada legal, tributaria, de beneficios, migratoria, médica, de salud mental, financiera, de relaciones laborales, adaptaciones, nómina ni licenciamiento. Las funciones y la autoridad de recursos humanos varían según empleador, jurisdicción, sector, sindicato o convenio colectivo, contrato, régimen de privacidad, sistema de nómina, plan de beneficios y política interna. Verifique los hechos de alto impacto con la autoridad responsable vigente o un profesional calificado antes de asumir un compromiso financiero, educativo, laboral o legal.</w:t>
      </w:r>
    </w:p>
    <w:p>
      <w:r>
        <w:pict>
          <v:rect style="width:0;height:1.5pt" o:hralign="center" o:hrstd="t" o:hr="t"/>
        </w:pict>
      </w:r>
    </w:p>
    <w:bookmarkEnd w:id="23"/>
    <w:bookmarkStart w:id="24" w:name="cómo-usar-esta-guía"/>
    <w:p>
      <w:pPr>
        <w:pStyle w:val="Heading2"/>
      </w:pPr>
      <w:r>
        <w:t xml:space="preserve">1. Cómo usar esta guía</w:t>
      </w:r>
    </w:p>
    <w:p>
      <w:pPr>
        <w:pStyle w:val="FirstParagraph"/>
      </w:pPr>
      <w:r>
        <w:t xml:space="preserve">Comience por el trabajo, no por una escuela ni por un proveedor de credenciales.</w:t>
      </w:r>
    </w:p>
    <w:p>
      <w:pPr>
        <w:numPr>
          <w:ilvl w:val="0"/>
          <w:numId w:val="1001"/>
        </w:numPr>
        <w:pStyle w:val="Compact"/>
      </w:pPr>
      <w:r>
        <w:t xml:space="preserve">Identifique los títulos exactos que usan los empleadores donde vive:</w:t>
      </w:r>
      <w:r>
        <w:t xml:space="preserve"> </w:t>
      </w:r>
      <w:r>
        <w:rPr>
          <w:rStyle w:val="VerbatimChar"/>
        </w:rPr>
        <w:t xml:space="preserve">Human Resources Assistant</w:t>
      </w:r>
      <w:r>
        <w:t xml:space="preserve">,</w:t>
      </w:r>
      <w:r>
        <w:t xml:space="preserve"> </w:t>
      </w:r>
      <w:r>
        <w:rPr>
          <w:rStyle w:val="VerbatimChar"/>
        </w:rPr>
        <w:t xml:space="preserve">HR Assistant</w:t>
      </w:r>
      <w:r>
        <w:t xml:space="preserve">,</w:t>
      </w:r>
      <w:r>
        <w:t xml:space="preserve"> </w:t>
      </w:r>
      <w:r>
        <w:rPr>
          <w:rStyle w:val="VerbatimChar"/>
        </w:rPr>
        <w:t xml:space="preserve">Personnel Clerk</w:t>
      </w:r>
      <w:r>
        <w:t xml:space="preserve">,</w:t>
      </w:r>
      <w:r>
        <w:t xml:space="preserve"> </w:t>
      </w:r>
      <w:r>
        <w:rPr>
          <w:rStyle w:val="VerbatimChar"/>
        </w:rPr>
        <w:t xml:space="preserve">HR Coordinator</w:t>
      </w:r>
      <w:r>
        <w:t xml:space="preserve">,</w:t>
      </w:r>
      <w:r>
        <w:t xml:space="preserve"> </w:t>
      </w:r>
      <w:r>
        <w:rPr>
          <w:rStyle w:val="VerbatimChar"/>
        </w:rPr>
        <w:t xml:space="preserve">Recruiting Coordinator</w:t>
      </w:r>
      <w:r>
        <w:t xml:space="preserve">,</w:t>
      </w:r>
      <w:r>
        <w:t xml:space="preserve"> </w:t>
      </w:r>
      <w:r>
        <w:rPr>
          <w:rStyle w:val="VerbatimChar"/>
        </w:rPr>
        <w:t xml:space="preserve">People Operations Assistant</w:t>
      </w:r>
      <w:r>
        <w:t xml:space="preserve">,</w:t>
      </w:r>
      <w:r>
        <w:t xml:space="preserve"> </w:t>
      </w:r>
      <w:r>
        <w:rPr>
          <w:rStyle w:val="VerbatimChar"/>
        </w:rPr>
        <w:t xml:space="preserve">auxiliar de recursos humanos</w:t>
      </w:r>
      <w:r>
        <w:t xml:space="preserve">,</w:t>
      </w:r>
      <w:r>
        <w:t xml:space="preserve"> </w:t>
      </w:r>
      <w:r>
        <w:rPr>
          <w:rStyle w:val="VerbatimChar"/>
        </w:rPr>
        <w:t xml:space="preserve">auxiliar de talento humano</w:t>
      </w:r>
      <w:r>
        <w:t xml:space="preserve"> </w:t>
      </w:r>
      <w:r>
        <w:t xml:space="preserve">u otros equivalentes locales.</w:t>
      </w:r>
    </w:p>
    <w:p>
      <w:pPr>
        <w:numPr>
          <w:ilvl w:val="0"/>
          <w:numId w:val="1001"/>
        </w:numPr>
        <w:pStyle w:val="Compact"/>
      </w:pPr>
      <w:r>
        <w:t xml:space="preserve">Separe el apoyo administrativo del trabajo que requiere criterio profesional, interpretación legal, actividad licenciada o autoridad delegada.</w:t>
      </w:r>
    </w:p>
    <w:p>
      <w:pPr>
        <w:numPr>
          <w:ilvl w:val="0"/>
          <w:numId w:val="1001"/>
        </w:numPr>
        <w:pStyle w:val="Compact"/>
      </w:pPr>
      <w:r>
        <w:t xml:space="preserve">Revise vacantes locales actuales antes de pagar por capacitación.</w:t>
      </w:r>
    </w:p>
    <w:p>
      <w:pPr>
        <w:numPr>
          <w:ilvl w:val="0"/>
          <w:numId w:val="1001"/>
        </w:numPr>
        <w:pStyle w:val="Compact"/>
      </w:pPr>
      <w:r>
        <w:t xml:space="preserve">Compare el costo total de la ruta, no solo la matrícula. Incluya libros, software, exámenes, transporte, cuidado infantil, reducción de horas de trabajo, internet, equipos y obligaciones de reembolso.</w:t>
      </w:r>
    </w:p>
    <w:p>
      <w:pPr>
        <w:numPr>
          <w:ilvl w:val="0"/>
          <w:numId w:val="1001"/>
        </w:numPr>
        <w:pStyle w:val="Compact"/>
      </w:pPr>
      <w:r>
        <w:t xml:space="preserve">Priorice aprendizaje gratuito o financiado por el empleador cuando realmente cumpla el siguiente requisito verificado.</w:t>
      </w:r>
    </w:p>
    <w:p>
      <w:pPr>
        <w:numPr>
          <w:ilvl w:val="0"/>
          <w:numId w:val="1001"/>
        </w:numPr>
        <w:pStyle w:val="Compact"/>
      </w:pPr>
      <w:r>
        <w:t xml:space="preserve">Deténgase cuando un proveedor prometa empleo, oculte el costo total o las reglas de reembolso, presione para pagar inmediatamente o presente una credencial privada opcional como legalmente obligatoria cuando no lo es.</w:t>
      </w:r>
    </w:p>
    <w:bookmarkEnd w:id="24"/>
    <w:bookmarkStart w:id="25" w:name="en-qué-consiste-el-trabajo"/>
    <w:p>
      <w:pPr>
        <w:pStyle w:val="Heading2"/>
      </w:pPr>
      <w:r>
        <w:t xml:space="preserve">2. En qué consiste el trabajo</w:t>
      </w:r>
    </w:p>
    <w:p>
      <w:pPr>
        <w:pStyle w:val="FirstParagraph"/>
      </w:pPr>
      <w:r>
        <w:t xml:space="preserve">Los asistentes de recursos humanos y empleados de personal apoyan el aspecto administrativo del empleo. Según la organización, pueden:</w:t>
      </w:r>
    </w:p>
    <w:p>
      <w:pPr>
        <w:numPr>
          <w:ilvl w:val="0"/>
          <w:numId w:val="1002"/>
        </w:numPr>
        <w:pStyle w:val="Compact"/>
      </w:pPr>
      <w:r>
        <w:t xml:space="preserve">crear, actualizar y mantener registros de empleados y candidatos;</w:t>
      </w:r>
    </w:p>
    <w:p>
      <w:pPr>
        <w:numPr>
          <w:ilvl w:val="0"/>
          <w:numId w:val="1002"/>
        </w:numPr>
        <w:pStyle w:val="Compact"/>
      </w:pPr>
      <w:r>
        <w:t xml:space="preserve">apoyar reclutamiento, programación de entrevistas, incorporación, orientación y salida;</w:t>
      </w:r>
    </w:p>
    <w:p>
      <w:pPr>
        <w:numPr>
          <w:ilvl w:val="0"/>
          <w:numId w:val="1002"/>
        </w:numPr>
        <w:pStyle w:val="Compact"/>
      </w:pPr>
      <w:r>
        <w:t xml:space="preserve">preparar cartas, formularios, informes, listas de verificación y actualizaciones rutinarias;</w:t>
      </w:r>
    </w:p>
    <w:p>
      <w:pPr>
        <w:numPr>
          <w:ilvl w:val="0"/>
          <w:numId w:val="1002"/>
        </w:numPr>
        <w:pStyle w:val="Compact"/>
      </w:pPr>
      <w:r>
        <w:t xml:space="preserve">remitir documentos de beneficios, licencias, cambios de nómina, capacitación o adaptaciones a especialistas autorizados;</w:t>
      </w:r>
    </w:p>
    <w:p>
      <w:pPr>
        <w:numPr>
          <w:ilvl w:val="0"/>
          <w:numId w:val="1002"/>
        </w:numPr>
        <w:pStyle w:val="Compact"/>
      </w:pPr>
      <w:r>
        <w:t xml:space="preserve">responder preguntas aprobadas sobre procesos sin realizar interpretaciones legales o de política fuera de su autoridad;</w:t>
      </w:r>
    </w:p>
    <w:p>
      <w:pPr>
        <w:numPr>
          <w:ilvl w:val="0"/>
          <w:numId w:val="1002"/>
        </w:numPr>
        <w:pStyle w:val="Compact"/>
      </w:pPr>
      <w:r>
        <w:t xml:space="preserve">apoyar verificaciones de antecedentes, credenciales, capacitación o documentación de desempeño;</w:t>
      </w:r>
    </w:p>
    <w:p>
      <w:pPr>
        <w:numPr>
          <w:ilvl w:val="0"/>
          <w:numId w:val="1002"/>
        </w:numPr>
        <w:pStyle w:val="Compact"/>
      </w:pPr>
      <w:r>
        <w:t xml:space="preserve">mantener sistemas de información de recursos humanos y repositorios documentales;</w:t>
      </w:r>
    </w:p>
    <w:p>
      <w:pPr>
        <w:numPr>
          <w:ilvl w:val="0"/>
          <w:numId w:val="1002"/>
        </w:numPr>
        <w:pStyle w:val="Compact"/>
      </w:pPr>
      <w:r>
        <w:t xml:space="preserve">controlar plazos e información faltante; y</w:t>
      </w:r>
    </w:p>
    <w:p>
      <w:pPr>
        <w:numPr>
          <w:ilvl w:val="0"/>
          <w:numId w:val="1002"/>
        </w:numPr>
        <w:pStyle w:val="Compact"/>
      </w:pPr>
      <w:r>
        <w:t xml:space="preserve">escalar asuntos sensibles o regulados.</w:t>
      </w:r>
    </w:p>
    <w:p>
      <w:pPr>
        <w:pStyle w:val="FirstParagraph"/>
      </w:pPr>
      <w:r>
        <w:t xml:space="preserve">En Estados Unidos, la Bureau of Labor Statistics clasifica</w:t>
      </w:r>
      <w:r>
        <w:t xml:space="preserve"> </w:t>
      </w:r>
      <w:r>
        <w:rPr>
          <w:bCs/>
          <w:b/>
        </w:rPr>
        <w:t xml:space="preserve">Human Resources Assistants, Except Payroll and Timekeeping</w:t>
      </w:r>
      <w:r>
        <w:t xml:space="preserve"> </w:t>
      </w:r>
      <w:r>
        <w:t xml:space="preserve">bajo el SOC</w:t>
      </w:r>
      <w:r>
        <w:t xml:space="preserve"> </w:t>
      </w:r>
      <w:r>
        <w:rPr>
          <w:bCs/>
          <w:b/>
        </w:rPr>
        <w:t xml:space="preserve">43-4161</w:t>
      </w:r>
      <w:r>
        <w:t xml:space="preserve">. En Canadá, Job Bank vincula Human Resources Assistant con</w:t>
      </w:r>
      <w:r>
        <w:t xml:space="preserve"> </w:t>
      </w:r>
      <w:r>
        <w:rPr>
          <w:bCs/>
          <w:b/>
        </w:rPr>
        <w:t xml:space="preserve">Personnel clerks, NOC 14102</w:t>
      </w:r>
      <w:r>
        <w:t xml:space="preserve">. Los títulos no son perfectamente equivalentes entre empleadores o países; compare las funciones y no dependa solo del nombre del cargo.</w:t>
      </w:r>
    </w:p>
    <w:bookmarkEnd w:id="25"/>
    <w:bookmarkStart w:id="28" w:name="Xdf0a2c7d3ccd4fa66d5b1a024223a48d20c9f08"/>
    <w:p>
      <w:pPr>
        <w:pStyle w:val="Heading2"/>
      </w:pPr>
      <w:r>
        <w:t xml:space="preserve">3. Funciones, herramientas y ciclos de trabajo</w:t>
      </w:r>
    </w:p>
    <w:bookmarkStart w:id="26" w:name="funciones-comunes"/>
    <w:p>
      <w:pPr>
        <w:pStyle w:val="Heading3"/>
      </w:pPr>
      <w:r>
        <w:t xml:space="preserve">Funciones comunes</w:t>
      </w:r>
    </w:p>
    <w:p>
      <w:pPr>
        <w:pStyle w:val="FirstParagraph"/>
      </w:pPr>
      <w:r>
        <w:t xml:space="preserve">El trabajo de apoyo de recursos humanos suele incluir:</w:t>
      </w:r>
    </w:p>
    <w:p>
      <w:pPr>
        <w:numPr>
          <w:ilvl w:val="0"/>
          <w:numId w:val="1003"/>
        </w:numPr>
        <w:pStyle w:val="Compact"/>
      </w:pPr>
      <w:r>
        <w:t xml:space="preserve">sistemas de seguimiento de candidatos;</w:t>
      </w:r>
    </w:p>
    <w:p>
      <w:pPr>
        <w:numPr>
          <w:ilvl w:val="0"/>
          <w:numId w:val="1003"/>
        </w:numPr>
        <w:pStyle w:val="Compact"/>
      </w:pPr>
      <w:r>
        <w:t xml:space="preserve">sistemas de información de recursos humanos (HRIS);</w:t>
      </w:r>
    </w:p>
    <w:p>
      <w:pPr>
        <w:numPr>
          <w:ilvl w:val="0"/>
          <w:numId w:val="1003"/>
        </w:numPr>
        <w:pStyle w:val="Compact"/>
      </w:pPr>
      <w:r>
        <w:t xml:space="preserve">hojas de cálculo y herramientas de gestión documental;</w:t>
      </w:r>
    </w:p>
    <w:p>
      <w:pPr>
        <w:numPr>
          <w:ilvl w:val="0"/>
          <w:numId w:val="1003"/>
        </w:numPr>
        <w:pStyle w:val="Compact"/>
      </w:pPr>
      <w:r>
        <w:t xml:space="preserve">correo electrónico, calendarios, mensajería y sistemas de tickets;</w:t>
      </w:r>
    </w:p>
    <w:p>
      <w:pPr>
        <w:numPr>
          <w:ilvl w:val="0"/>
          <w:numId w:val="1003"/>
        </w:numPr>
        <w:pStyle w:val="Compact"/>
      </w:pPr>
      <w:r>
        <w:t xml:space="preserve">plataformas de incorporación y firma electrónica;</w:t>
      </w:r>
    </w:p>
    <w:p>
      <w:pPr>
        <w:numPr>
          <w:ilvl w:val="0"/>
          <w:numId w:val="1003"/>
        </w:numPr>
        <w:pStyle w:val="Compact"/>
      </w:pPr>
      <w:r>
        <w:t xml:space="preserve">sistemas de gestión del aprendizaje;</w:t>
      </w:r>
    </w:p>
    <w:p>
      <w:pPr>
        <w:numPr>
          <w:ilvl w:val="0"/>
          <w:numId w:val="1003"/>
        </w:numPr>
        <w:pStyle w:val="Compact"/>
      </w:pPr>
      <w:r>
        <w:t xml:space="preserve">interfaces de beneficios y nómina;</w:t>
      </w:r>
    </w:p>
    <w:p>
      <w:pPr>
        <w:numPr>
          <w:ilvl w:val="0"/>
          <w:numId w:val="1003"/>
        </w:numPr>
        <w:pStyle w:val="Compact"/>
      </w:pPr>
      <w:r>
        <w:t xml:space="preserve">portales de verificación de antecedentes;</w:t>
      </w:r>
    </w:p>
    <w:p>
      <w:pPr>
        <w:numPr>
          <w:ilvl w:val="0"/>
          <w:numId w:val="1003"/>
        </w:numPr>
        <w:pStyle w:val="Compact"/>
      </w:pPr>
      <w:r>
        <w:t xml:space="preserve">tableros de informes; y</w:t>
      </w:r>
    </w:p>
    <w:p>
      <w:pPr>
        <w:numPr>
          <w:ilvl w:val="0"/>
          <w:numId w:val="1003"/>
        </w:numPr>
        <w:pStyle w:val="Compact"/>
      </w:pPr>
      <w:r>
        <w:t xml:space="preserve">herramientas de productividad con IA aprobadas cuando la gobernanza lo permita.</w:t>
      </w:r>
    </w:p>
    <w:bookmarkEnd w:id="26"/>
    <w:bookmarkStart w:id="27" w:name="un-ciclo-de-trabajo-realista"/>
    <w:p>
      <w:pPr>
        <w:pStyle w:val="Heading3"/>
      </w:pPr>
      <w:r>
        <w:t xml:space="preserve">Un ciclo de trabajo realista</w:t>
      </w:r>
    </w:p>
    <w:p>
      <w:pPr>
        <w:numPr>
          <w:ilvl w:val="0"/>
          <w:numId w:val="1004"/>
        </w:numPr>
        <w:pStyle w:val="Compact"/>
      </w:pPr>
      <w:r>
        <w:t xml:space="preserve">Confirme la solicitud, la persona, el plazo, la autoridad y la sensibilidad.</w:t>
      </w:r>
    </w:p>
    <w:p>
      <w:pPr>
        <w:numPr>
          <w:ilvl w:val="0"/>
          <w:numId w:val="1004"/>
        </w:numPr>
        <w:pStyle w:val="Compact"/>
      </w:pPr>
      <w:r>
        <w:t xml:space="preserve">Use la política, formulario, sistema o flujo aprobado.</w:t>
      </w:r>
    </w:p>
    <w:p>
      <w:pPr>
        <w:numPr>
          <w:ilvl w:val="0"/>
          <w:numId w:val="1004"/>
        </w:numPr>
        <w:pStyle w:val="Compact"/>
      </w:pPr>
      <w:r>
        <w:t xml:space="preserve">Verifique identidad, integridad, fechas, aprobaciones y precisión de los datos.</w:t>
      </w:r>
    </w:p>
    <w:p>
      <w:pPr>
        <w:numPr>
          <w:ilvl w:val="0"/>
          <w:numId w:val="1004"/>
        </w:numPr>
        <w:pStyle w:val="Compact"/>
      </w:pPr>
      <w:r>
        <w:t xml:space="preserve">Remita el asunto al responsable correcto cuando se requiera criterio o autoridad regulada.</w:t>
      </w:r>
    </w:p>
    <w:p>
      <w:pPr>
        <w:numPr>
          <w:ilvl w:val="0"/>
          <w:numId w:val="1004"/>
        </w:numPr>
        <w:pStyle w:val="Compact"/>
      </w:pPr>
      <w:r>
        <w:t xml:space="preserve">Comunique el estado sin revelar información restringida.</w:t>
      </w:r>
    </w:p>
    <w:p>
      <w:pPr>
        <w:numPr>
          <w:ilvl w:val="0"/>
          <w:numId w:val="1004"/>
        </w:numPr>
        <w:pStyle w:val="Compact"/>
      </w:pPr>
      <w:r>
        <w:t xml:space="preserve">Registre la acción y conserve la documentación de acuerdo con la política.</w:t>
      </w:r>
    </w:p>
    <w:p>
      <w:pPr>
        <w:numPr>
          <w:ilvl w:val="0"/>
          <w:numId w:val="1004"/>
        </w:numPr>
        <w:pStyle w:val="Compact"/>
      </w:pPr>
      <w:r>
        <w:t xml:space="preserve">Escale preocupaciones sobre discriminación, represalias, acoso, salarios, licencias, adaptaciones, seguridad, fraude, privacidad o relaciones con empleados.</w:t>
      </w:r>
    </w:p>
    <w:p>
      <w:pPr>
        <w:pStyle w:val="FirstParagraph"/>
      </w:pPr>
      <w:r>
        <w:t xml:space="preserve">Los procedimientos reales deben seguir la política del empleador, la ley aplicable, los controles del sistema, la segregación de funciones, la supervisión y los requisitos de retención documental.</w:t>
      </w:r>
    </w:p>
    <w:bookmarkEnd w:id="27"/>
    <w:bookmarkEnd w:id="28"/>
    <w:bookmarkStart w:id="29" w:name="ajuste-personal-condiciones-y-seguridad"/>
    <w:p>
      <w:pPr>
        <w:pStyle w:val="Heading2"/>
      </w:pPr>
      <w:r>
        <w:t xml:space="preserve">4. Ajuste personal, condiciones y seguridad</w:t>
      </w:r>
    </w:p>
    <w:p>
      <w:pPr>
        <w:pStyle w:val="FirstParagraph"/>
      </w:pPr>
      <w:r>
        <w:t xml:space="preserve">Pregúntese:</w:t>
      </w:r>
    </w:p>
    <w:p>
      <w:pPr>
        <w:numPr>
          <w:ilvl w:val="0"/>
          <w:numId w:val="1005"/>
        </w:numPr>
        <w:pStyle w:val="Compact"/>
      </w:pPr>
      <w:r>
        <w:t xml:space="preserve">¿Puedo manejar trabajo repetitivo con registros sin volverme descuidado?</w:t>
      </w:r>
    </w:p>
    <w:p>
      <w:pPr>
        <w:numPr>
          <w:ilvl w:val="0"/>
          <w:numId w:val="1005"/>
        </w:numPr>
        <w:pStyle w:val="Compact"/>
      </w:pPr>
      <w:r>
        <w:t xml:space="preserve">¿Puedo alternar entre tareas confidenciales y preguntas frecuentes de empleados?</w:t>
      </w:r>
    </w:p>
    <w:p>
      <w:pPr>
        <w:numPr>
          <w:ilvl w:val="0"/>
          <w:numId w:val="1005"/>
        </w:numPr>
        <w:pStyle w:val="Compact"/>
      </w:pPr>
      <w:r>
        <w:t xml:space="preserve">¿Puedo mantener neutralidad cuando alguien está molesto, avergonzado, enojado o asustado?</w:t>
      </w:r>
    </w:p>
    <w:p>
      <w:pPr>
        <w:numPr>
          <w:ilvl w:val="0"/>
          <w:numId w:val="1005"/>
        </w:numPr>
        <w:pStyle w:val="Compact"/>
      </w:pPr>
      <w:r>
        <w:t xml:space="preserve">¿Puedo proteger información incluso cuando un gerente me presiona para obtener acceso?</w:t>
      </w:r>
    </w:p>
    <w:p>
      <w:pPr>
        <w:numPr>
          <w:ilvl w:val="0"/>
          <w:numId w:val="1005"/>
        </w:numPr>
        <w:pStyle w:val="Compact"/>
      </w:pPr>
      <w:r>
        <w:t xml:space="preserve">¿Puedo seguir un proceso sin fingir que conozco una respuesta que no conozco?</w:t>
      </w:r>
    </w:p>
    <w:p>
      <w:pPr>
        <w:numPr>
          <w:ilvl w:val="0"/>
          <w:numId w:val="1005"/>
        </w:numPr>
        <w:pStyle w:val="Compact"/>
      </w:pPr>
      <w:r>
        <w:t xml:space="preserve">¿Puedo trabajar con software y automatización cambiantes conservando la lógica del negocio?</w:t>
      </w:r>
    </w:p>
    <w:p>
      <w:pPr>
        <w:numPr>
          <w:ilvl w:val="0"/>
          <w:numId w:val="1005"/>
        </w:numPr>
        <w:pStyle w:val="Compact"/>
      </w:pPr>
      <w:r>
        <w:t xml:space="preserve">¿El horario funciona con transporte, cuidado de familiares, discapacidad, salud o responsabilidades familiares?</w:t>
      </w:r>
    </w:p>
    <w:p>
      <w:pPr>
        <w:numPr>
          <w:ilvl w:val="0"/>
          <w:numId w:val="1005"/>
        </w:numPr>
        <w:pStyle w:val="Compact"/>
      </w:pPr>
      <w:r>
        <w:t xml:space="preserve">¿Qué adaptaciones, tecnología de asistencia, programación predecible, cambios ergonómicos o formatos alternativos de capacitación harían sostenible la ruta?</w:t>
      </w:r>
    </w:p>
    <w:p>
      <w:pPr>
        <w:pStyle w:val="FirstParagraph"/>
      </w:pPr>
      <w:r>
        <w:t xml:space="preserve">Considere detenerse si un empleador espera que realice investigaciones, interpretación legal, decisiones de compensación, determinaciones de adaptación, liberación de nómina, decisiones migratorias u otro trabajo regulado sin autoridad y supervisión adecuadas.</w:t>
      </w:r>
    </w:p>
    <w:bookmarkEnd w:id="29"/>
    <w:bookmarkStart w:id="30" w:name="ética-límites-y-escalamiento"/>
    <w:p>
      <w:pPr>
        <w:pStyle w:val="Heading2"/>
      </w:pPr>
      <w:r>
        <w:t xml:space="preserve">5. Ética, límites y escalamiento</w:t>
      </w:r>
    </w:p>
    <w:p>
      <w:pPr>
        <w:pStyle w:val="FirstParagraph"/>
      </w:pPr>
      <w:r>
        <w:t xml:space="preserve">Los asistentes de recursos humanos suelen ver información que otros empleados no deben ver. Tener acceso no significa tener permiso para usarla o compartirla.</w:t>
      </w:r>
    </w:p>
    <w:p>
      <w:pPr>
        <w:pStyle w:val="BodyText"/>
      </w:pPr>
      <w:r>
        <w:t xml:space="preserve">No debe:</w:t>
      </w:r>
    </w:p>
    <w:p>
      <w:pPr>
        <w:numPr>
          <w:ilvl w:val="0"/>
          <w:numId w:val="1006"/>
        </w:numPr>
        <w:pStyle w:val="Compact"/>
      </w:pPr>
      <w:r>
        <w:t xml:space="preserve">acceder a expedientes de personal por curiosidad;</w:t>
      </w:r>
    </w:p>
    <w:p>
      <w:pPr>
        <w:numPr>
          <w:ilvl w:val="0"/>
          <w:numId w:val="1006"/>
        </w:numPr>
        <w:pStyle w:val="Compact"/>
      </w:pPr>
      <w:r>
        <w:t xml:space="preserve">revelar información médica, de discapacidad, identidad, compensación, quejas, disciplina, antecedentes, inmigración o banca sin autorización;</w:t>
      </w:r>
    </w:p>
    <w:p>
      <w:pPr>
        <w:numPr>
          <w:ilvl w:val="0"/>
          <w:numId w:val="1006"/>
        </w:numPr>
        <w:pStyle w:val="Compact"/>
      </w:pPr>
      <w:r>
        <w:t xml:space="preserve">prometer confidencialidad cuando la política o la ley no permiten esa promesa;</w:t>
      </w:r>
    </w:p>
    <w:p>
      <w:pPr>
        <w:numPr>
          <w:ilvl w:val="0"/>
          <w:numId w:val="1006"/>
        </w:numPr>
        <w:pStyle w:val="Compact"/>
      </w:pPr>
      <w:r>
        <w:t xml:space="preserve">modificar registros para hacer desaparecer un problema;</w:t>
      </w:r>
    </w:p>
    <w:p>
      <w:pPr>
        <w:numPr>
          <w:ilvl w:val="0"/>
          <w:numId w:val="1006"/>
        </w:numPr>
        <w:pStyle w:val="Compact"/>
      </w:pPr>
      <w:r>
        <w:t xml:space="preserve">retrofechar aprobaciones o fabricar firmas;</w:t>
      </w:r>
    </w:p>
    <w:p>
      <w:pPr>
        <w:numPr>
          <w:ilvl w:val="0"/>
          <w:numId w:val="1006"/>
        </w:numPr>
        <w:pStyle w:val="Compact"/>
      </w:pPr>
      <w:r>
        <w:t xml:space="preserve">brindar asesoría legal, tributaria, de beneficios, inmigración o relaciones laborales fuera de su función;</w:t>
      </w:r>
    </w:p>
    <w:p>
      <w:pPr>
        <w:numPr>
          <w:ilvl w:val="0"/>
          <w:numId w:val="1006"/>
        </w:numPr>
        <w:pStyle w:val="Compact"/>
      </w:pPr>
      <w:r>
        <w:t xml:space="preserve">decidir si una persona tiene una discapacidad o derecho a una adaptación;</w:t>
      </w:r>
    </w:p>
    <w:p>
      <w:pPr>
        <w:numPr>
          <w:ilvl w:val="0"/>
          <w:numId w:val="1006"/>
        </w:numPr>
        <w:pStyle w:val="Compact"/>
      </w:pPr>
      <w:r>
        <w:t xml:space="preserve">investigar quejas graves por cuenta propia cuando la política exige investigadores capacitados; ni</w:t>
      </w:r>
    </w:p>
    <w:p>
      <w:pPr>
        <w:numPr>
          <w:ilvl w:val="0"/>
          <w:numId w:val="1006"/>
        </w:numPr>
        <w:pStyle w:val="Compact"/>
      </w:pPr>
      <w:r>
        <w:t xml:space="preserve">usar IA para tomar u ocultar una decisión laboral regulada sin gobernanza aprobada y revisión humana responsable.</w:t>
      </w:r>
    </w:p>
    <w:p>
      <w:pPr>
        <w:pStyle w:val="FirstParagraph"/>
      </w:pPr>
      <w:r>
        <w:t xml:space="preserve">Deténgase y escale cuando falte evidencia, la autoridad no esté clara, exista un conflicto de interés, una queja incluya represalias o acoso, se dispute una verificación de antecedentes, una adaptación requiera revisión especializada o alguien le pida eludir un control.</w:t>
      </w:r>
    </w:p>
    <w:bookmarkEnd w:id="30"/>
    <w:bookmarkStart w:id="35" w:name="X1ec5249884e9c9a0aed12ab60ce98542efa305b"/>
    <w:p>
      <w:pPr>
        <w:pStyle w:val="Heading2"/>
      </w:pPr>
      <w:r>
        <w:t xml:space="preserve">6. Investigación de ingresos, beneficios y perspectivas</w:t>
      </w:r>
    </w:p>
    <w:p>
      <w:pPr>
        <w:pStyle w:val="FirstParagraph"/>
      </w:pPr>
      <w:r>
        <w:t xml:space="preserve">La remuneración de Asistente de Recursos Humanos varía por geografía, empleador, industria, situación sindical, experiencia, horario y funciones. Mantenga separadas las estadísticas ocupacionales oficiales y las estimaciones actuales del mercado.</w:t>
      </w:r>
    </w:p>
    <w:bookmarkStart w:id="31" w:name="estados-unidos-datos-oficiales-de-bls"/>
    <w:p>
      <w:pPr>
        <w:pStyle w:val="Heading3"/>
      </w:pPr>
      <w:r>
        <w:t xml:space="preserve">Estados Unidos — datos oficiales de BLS</w:t>
      </w:r>
    </w:p>
    <w:p>
      <w:pPr>
        <w:pStyle w:val="FirstParagraph"/>
      </w:pPr>
      <w:r>
        <w:t xml:space="preserve">La Bureau of Labor Statistics informa datos nacionales de Occupational Employment and Wage Statistics de mayo de 2025 para</w:t>
      </w:r>
      <w:r>
        <w:t xml:space="preserve"> </w:t>
      </w:r>
      <w:r>
        <w:rPr>
          <w:bCs/>
          <w:b/>
        </w:rPr>
        <w:t xml:space="preserve">Human Resources Assistants, Except Payroll and Timekeeping (SOC 43-4161)</w:t>
      </w:r>
      <w:r>
        <w:t xml:space="preserve">:</w:t>
      </w:r>
    </w:p>
    <w:p>
      <w:pPr>
        <w:numPr>
          <w:ilvl w:val="0"/>
          <w:numId w:val="1007"/>
        </w:numPr>
        <w:pStyle w:val="Compact"/>
      </w:pPr>
      <w:r>
        <w:t xml:space="preserve">empleo:</w:t>
      </w:r>
      <w:r>
        <w:t xml:space="preserve"> </w:t>
      </w:r>
      <w:r>
        <w:rPr>
          <w:bCs/>
          <w:b/>
        </w:rPr>
        <w:t xml:space="preserve">90.220</w:t>
      </w:r>
      <w:r>
        <w:t xml:space="preserve">;</w:t>
      </w:r>
    </w:p>
    <w:p>
      <w:pPr>
        <w:numPr>
          <w:ilvl w:val="0"/>
          <w:numId w:val="1007"/>
        </w:numPr>
        <w:pStyle w:val="Compact"/>
      </w:pPr>
      <w:r>
        <w:t xml:space="preserve">salario medio por hora:</w:t>
      </w:r>
      <w:r>
        <w:t xml:space="preserve"> </w:t>
      </w:r>
      <w:r>
        <w:rPr>
          <w:bCs/>
          <w:b/>
        </w:rPr>
        <w:t xml:space="preserve">US$25,12</w:t>
      </w:r>
      <w:r>
        <w:t xml:space="preserve">;</w:t>
      </w:r>
    </w:p>
    <w:p>
      <w:pPr>
        <w:numPr>
          <w:ilvl w:val="0"/>
          <w:numId w:val="1007"/>
        </w:numPr>
        <w:pStyle w:val="Compact"/>
      </w:pPr>
      <w:r>
        <w:t xml:space="preserve">salario medio anual:</w:t>
      </w:r>
      <w:r>
        <w:t xml:space="preserve"> </w:t>
      </w:r>
      <w:r>
        <w:rPr>
          <w:bCs/>
          <w:b/>
        </w:rPr>
        <w:t xml:space="preserve">US$52.250</w:t>
      </w:r>
      <w:r>
        <w:t xml:space="preserve">; y</w:t>
      </w:r>
    </w:p>
    <w:p>
      <w:pPr>
        <w:numPr>
          <w:ilvl w:val="0"/>
          <w:numId w:val="1007"/>
        </w:numPr>
        <w:pStyle w:val="Compact"/>
      </w:pPr>
      <w:r>
        <w:t xml:space="preserve">salario mediano por hora:</w:t>
      </w:r>
      <w:r>
        <w:t xml:space="preserve"> </w:t>
      </w:r>
      <w:r>
        <w:rPr>
          <w:bCs/>
          <w:b/>
        </w:rPr>
        <w:t xml:space="preserve">US$24,33</w:t>
      </w:r>
      <w:r>
        <w:t xml:space="preserve">.</w:t>
      </w:r>
    </w:p>
    <w:p>
      <w:pPr>
        <w:pStyle w:val="FirstParagraph"/>
      </w:pPr>
      <w:r>
        <w:t xml:space="preserve">El Occupational Outlook Handbook de BLS informa un</w:t>
      </w:r>
      <w:r>
        <w:t xml:space="preserve"> </w:t>
      </w:r>
      <w:r>
        <w:rPr>
          <w:bCs/>
          <w:b/>
        </w:rPr>
        <w:t xml:space="preserve">salario mediano anual de US$49.440 en mayo de 2024</w:t>
      </w:r>
      <w:r>
        <w:t xml:space="preserve"> </w:t>
      </w:r>
      <w:r>
        <w:t xml:space="preserve">para esta ocupación. Las proyecciones de empleo de BLS muestran aproximadamente</w:t>
      </w:r>
      <w:r>
        <w:t xml:space="preserve"> </w:t>
      </w:r>
      <w:r>
        <w:rPr>
          <w:bCs/>
          <w:b/>
        </w:rPr>
        <w:t xml:space="preserve">95.200 puestos en 2024</w:t>
      </w:r>
      <w:r>
        <w:t xml:space="preserve"> </w:t>
      </w:r>
      <w:r>
        <w:t xml:space="preserve">y</w:t>
      </w:r>
      <w:r>
        <w:t xml:space="preserve"> </w:t>
      </w:r>
      <w:r>
        <w:rPr>
          <w:bCs/>
          <w:b/>
        </w:rPr>
        <w:t xml:space="preserve">88.400 en 2034</w:t>
      </w:r>
      <w:r>
        <w:t xml:space="preserve">, una disminución proyectada de aproximadamente</w:t>
      </w:r>
      <w:r>
        <w:t xml:space="preserve"> </w:t>
      </w:r>
      <w:r>
        <w:rPr>
          <w:bCs/>
          <w:b/>
        </w:rPr>
        <w:t xml:space="preserve">7%</w:t>
      </w:r>
      <w:r>
        <w:t xml:space="preserve">. No mezcle las estimaciones salariales de mayo de 2025 con el dato de salario mediano de mayo de 2024 sin indicar el año de referencia.</w:t>
      </w:r>
    </w:p>
    <w:bookmarkEnd w:id="31"/>
    <w:bookmarkStart w:id="32" w:name="Xb1e1b12abb00cd15aeafb0a9f6b947a3e034a18"/>
    <w:p>
      <w:pPr>
        <w:pStyle w:val="Heading3"/>
      </w:pPr>
      <w:r>
        <w:t xml:space="preserve">Estados Unidos — estimación actual no gubernamental del mercado</w:t>
      </w:r>
    </w:p>
    <w:p>
      <w:pPr>
        <w:pStyle w:val="FirstParagraph"/>
      </w:pPr>
      <w:r>
        <w:t xml:space="preserve">La página salarial de Human Resources Assistant de Indeed, actualizada el</w:t>
      </w:r>
      <w:r>
        <w:t xml:space="preserve"> </w:t>
      </w:r>
      <w:r>
        <w:rPr>
          <w:bCs/>
          <w:b/>
        </w:rPr>
        <w:t xml:space="preserve">20 de julio de 2026</w:t>
      </w:r>
      <w:r>
        <w:t xml:space="preserve">, informa un salario base promedio de</w:t>
      </w:r>
      <w:r>
        <w:t xml:space="preserve"> </w:t>
      </w:r>
      <w:r>
        <w:rPr>
          <w:bCs/>
          <w:b/>
        </w:rPr>
        <w:t xml:space="preserve">US$21,76 por hora</w:t>
      </w:r>
      <w:r>
        <w:t xml:space="preserve"> </w:t>
      </w:r>
      <w:r>
        <w:t xml:space="preserve">en Estados Unidos, con un mínimo mostrado de</w:t>
      </w:r>
      <w:r>
        <w:t xml:space="preserve"> </w:t>
      </w:r>
      <w:r>
        <w:rPr>
          <w:bCs/>
          <w:b/>
        </w:rPr>
        <w:t xml:space="preserve">US$16,09</w:t>
      </w:r>
      <w:r>
        <w:t xml:space="preserve"> </w:t>
      </w:r>
      <w:r>
        <w:t xml:space="preserve">y un máximo de</w:t>
      </w:r>
      <w:r>
        <w:t xml:space="preserve"> </w:t>
      </w:r>
      <w:r>
        <w:rPr>
          <w:bCs/>
          <w:b/>
        </w:rPr>
        <w:t xml:space="preserve">US$29,42</w:t>
      </w:r>
      <w:r>
        <w:t xml:space="preserve"> </w:t>
      </w:r>
      <w:r>
        <w:t xml:space="preserve">por hora, basado en 7,8 mil salarios de ofertas publicadas durante los 36 meses anteriores.</w:t>
      </w:r>
    </w:p>
    <w:p>
      <w:pPr>
        <w:pStyle w:val="BodyText"/>
      </w:pPr>
      <w:r>
        <w:t xml:space="preserve">Esta es una estimación no gubernamental del mercado. No es una estadística oficial, un salario garantizado ni un sustituto de la investigación de vacantes locales.</w:t>
      </w:r>
    </w:p>
    <w:bookmarkEnd w:id="32"/>
    <w:bookmarkStart w:id="33" w:name="canadá-datos-oficiales-de-job-bank"/>
    <w:p>
      <w:pPr>
        <w:pStyle w:val="Heading3"/>
      </w:pPr>
      <w:r>
        <w:t xml:space="preserve">Canadá — datos oficiales de Job Bank</w:t>
      </w:r>
    </w:p>
    <w:p>
      <w:pPr>
        <w:pStyle w:val="FirstParagraph"/>
      </w:pPr>
      <w:r>
        <w:t xml:space="preserve">Government of Canada Job Bank vincula Human Resources Assistant con</w:t>
      </w:r>
      <w:r>
        <w:t xml:space="preserve"> </w:t>
      </w:r>
      <w:r>
        <w:rPr>
          <w:bCs/>
          <w:b/>
        </w:rPr>
        <w:t xml:space="preserve">Personnel clerks, NOC 14102</w:t>
      </w:r>
      <w:r>
        <w:t xml:space="preserve">. Los salarios nacionales actualizados el</w:t>
      </w:r>
      <w:r>
        <w:t xml:space="preserve"> </w:t>
      </w:r>
      <w:r>
        <w:rPr>
          <w:bCs/>
          <w:b/>
        </w:rPr>
        <w:t xml:space="preserve">19 de noviembre de 2025</w:t>
      </w:r>
      <w:r>
        <w:t xml:space="preserve"> </w:t>
      </w:r>
      <w:r>
        <w:t xml:space="preserve">son:</w:t>
      </w:r>
    </w:p>
    <w:p>
      <w:pPr>
        <w:numPr>
          <w:ilvl w:val="0"/>
          <w:numId w:val="1008"/>
        </w:numPr>
        <w:pStyle w:val="Compact"/>
      </w:pPr>
      <w:r>
        <w:t xml:space="preserve">bajo:</w:t>
      </w:r>
      <w:r>
        <w:t xml:space="preserve"> </w:t>
      </w:r>
      <w:r>
        <w:rPr>
          <w:bCs/>
          <w:b/>
        </w:rPr>
        <w:t xml:space="preserve">C$21,75/hora</w:t>
      </w:r>
      <w:r>
        <w:t xml:space="preserve">;</w:t>
      </w:r>
    </w:p>
    <w:p>
      <w:pPr>
        <w:numPr>
          <w:ilvl w:val="0"/>
          <w:numId w:val="1008"/>
        </w:numPr>
        <w:pStyle w:val="Compact"/>
      </w:pPr>
      <w:r>
        <w:t xml:space="preserve">mediano:</w:t>
      </w:r>
      <w:r>
        <w:t xml:space="preserve"> </w:t>
      </w:r>
      <w:r>
        <w:rPr>
          <w:bCs/>
          <w:b/>
        </w:rPr>
        <w:t xml:space="preserve">C$27,88/hora</w:t>
      </w:r>
      <w:r>
        <w:t xml:space="preserve">; y</w:t>
      </w:r>
    </w:p>
    <w:p>
      <w:pPr>
        <w:numPr>
          <w:ilvl w:val="0"/>
          <w:numId w:val="1008"/>
        </w:numPr>
        <w:pStyle w:val="Compact"/>
      </w:pPr>
      <w:r>
        <w:t xml:space="preserve">alto:</w:t>
      </w:r>
      <w:r>
        <w:t xml:space="preserve"> </w:t>
      </w:r>
      <w:r>
        <w:rPr>
          <w:bCs/>
          <w:b/>
        </w:rPr>
        <w:t xml:space="preserve">C$38,46/hora</w:t>
      </w:r>
      <w:r>
        <w:t xml:space="preserve">.</w:t>
      </w:r>
    </w:p>
    <w:p>
      <w:pPr>
        <w:pStyle w:val="FirstParagraph"/>
      </w:pPr>
      <w:r>
        <w:t xml:space="preserve">Job Bank identifica el período de referencia como</w:t>
      </w:r>
      <w:r>
        <w:t xml:space="preserve"> </w:t>
      </w:r>
      <w:r>
        <w:rPr>
          <w:bCs/>
          <w:b/>
        </w:rPr>
        <w:t xml:space="preserve">2023–2024</w:t>
      </w:r>
      <w:r>
        <w:t xml:space="preserve"> </w:t>
      </w:r>
      <w:r>
        <w:t xml:space="preserve">y señala como fuente la Labour Force Survey de Statistics Canada.</w:t>
      </w:r>
    </w:p>
    <w:bookmarkEnd w:id="33"/>
    <w:bookmarkStart w:id="34" w:name="colombia-y-américa-latina"/>
    <w:p>
      <w:pPr>
        <w:pStyle w:val="Heading3"/>
      </w:pPr>
      <w:r>
        <w:t xml:space="preserve">Colombia y América Latina</w:t>
      </w:r>
    </w:p>
    <w:p>
      <w:pPr>
        <w:pStyle w:val="FirstParagraph"/>
      </w:pPr>
      <w:r>
        <w:t xml:space="preserve">No invente un salario nacional para</w:t>
      </w:r>
      <w:r>
        <w:t xml:space="preserve"> </w:t>
      </w:r>
      <w:r>
        <w:rPr>
          <w:rStyle w:val="VerbatimChar"/>
        </w:rPr>
        <w:t xml:space="preserve">auxiliar de recursos humanos</w:t>
      </w:r>
      <w:r>
        <w:t xml:space="preserve"> </w:t>
      </w:r>
      <w:r>
        <w:t xml:space="preserve">o</w:t>
      </w:r>
      <w:r>
        <w:t xml:space="preserve"> </w:t>
      </w:r>
      <w:r>
        <w:rPr>
          <w:rStyle w:val="VerbatimChar"/>
        </w:rPr>
        <w:t xml:space="preserve">auxiliar de talento humano</w:t>
      </w:r>
      <w:r>
        <w:t xml:space="preserve"> </w:t>
      </w:r>
      <w:r>
        <w:t xml:space="preserve">cuando no se haya verificado una serie oficial directamente comparable. En Colombia, consulte vacantes actuales del Servicio Público de Empleo, la Agencia Pública de Empleo del SENA, empleadores y fuentes locales confiables. Registre título, ciudad, salario mensual, beneficios, tipo de contrato, educación, experiencia, software y funciones.</w:t>
      </w:r>
    </w:p>
    <w:p>
      <w:pPr>
        <w:pStyle w:val="BodyText"/>
      </w:pPr>
      <w:r>
        <w:t xml:space="preserve">En América Latina, nómina, seguridad social, derecho laboral, privacidad, beneficios y procesos de contratación varían considerablemente por país. Compare títulos locales y funciones reales en lugar de traducir literalmente un cargo estadounidense.</w:t>
      </w:r>
    </w:p>
    <w:bookmarkEnd w:id="34"/>
    <w:bookmarkEnd w:id="35"/>
    <w:bookmarkStart w:id="36" w:name="Xbc3ed92af0cbc4315d5bffdf955890bb69a6468"/>
    <w:p>
      <w:pPr>
        <w:pStyle w:val="Heading2"/>
      </w:pPr>
      <w:r>
        <w:t xml:space="preserve">7. Educación, credenciales y aprendizaje con prioridad en opciones gratuitas</w:t>
      </w:r>
    </w:p>
    <w:p>
      <w:pPr>
        <w:pStyle w:val="FirstParagraph"/>
      </w:pPr>
      <w:r>
        <w:t xml:space="preserve">Los requisitos para asistentes de recursos humanos varían. Algunos empleadores aceptan educación secundaria más experiencia administrativa; otros prefieren un técnico, grado asociado, estudios universitarios o licenciatura.</w:t>
      </w:r>
    </w:p>
    <w:p>
      <w:pPr>
        <w:pStyle w:val="BodyText"/>
      </w:pPr>
      <w:r>
        <w:t xml:space="preserve">Government of Canada Job Bank indica que Personnel clerks normalmente requieren diploma de secundaria o varias semanas de capacitación en el trabajo. En Colombia, el SENA actualmente lista un programa</w:t>
      </w:r>
      <w:r>
        <w:t xml:space="preserve"> </w:t>
      </w:r>
      <w:r>
        <w:rPr>
          <w:bCs/>
          <w:b/>
        </w:rPr>
        <w:t xml:space="preserve">Técnico en Talento Humano</w:t>
      </w:r>
      <w:r>
        <w:t xml:space="preserve"> </w:t>
      </w:r>
      <w:r>
        <w:t xml:space="preserve">de</w:t>
      </w:r>
      <w:r>
        <w:t xml:space="preserve"> </w:t>
      </w:r>
      <w:r>
        <w:rPr>
          <w:bCs/>
          <w:b/>
        </w:rPr>
        <w:t xml:space="preserve">2.208 horas</w:t>
      </w:r>
      <w:r>
        <w:t xml:space="preserve">, con competencias pertinentes para apoyo de RR. HH., documentación, herramientas digitales, servicio al cliente, derechos en el trabajo y etapa práctica. SENA también lista ofertas complementarias más breves, como</w:t>
      </w:r>
      <w:r>
        <w:t xml:space="preserve"> </w:t>
      </w:r>
      <w:r>
        <w:rPr>
          <w:bCs/>
          <w:b/>
        </w:rPr>
        <w:t xml:space="preserve">Herramientas para la Gestión del Talento Humano</w:t>
      </w:r>
      <w:r>
        <w:t xml:space="preserve">, un curso virtual de</w:t>
      </w:r>
      <w:r>
        <w:t xml:space="preserve"> </w:t>
      </w:r>
      <w:r>
        <w:rPr>
          <w:bCs/>
          <w:b/>
        </w:rPr>
        <w:t xml:space="preserve">48 horas</w:t>
      </w:r>
      <w:r>
        <w:t xml:space="preserve">.</w:t>
      </w:r>
    </w:p>
    <w:p>
      <w:pPr>
        <w:pStyle w:val="BodyText"/>
      </w:pPr>
      <w:r>
        <w:t xml:space="preserve">Una secuencia que prioriza opciones gratuitas puede incluir:</w:t>
      </w:r>
    </w:p>
    <w:p>
      <w:pPr>
        <w:numPr>
          <w:ilvl w:val="0"/>
          <w:numId w:val="1009"/>
        </w:numPr>
        <w:pStyle w:val="Compact"/>
      </w:pPr>
      <w:r>
        <w:t xml:space="preserve">bibliotecas públicas y programas de habilidades digitales;</w:t>
      </w:r>
    </w:p>
    <w:p>
      <w:pPr>
        <w:numPr>
          <w:ilvl w:val="0"/>
          <w:numId w:val="1009"/>
        </w:numPr>
        <w:pStyle w:val="Compact"/>
      </w:pPr>
      <w:r>
        <w:t xml:space="preserve">práctica con hojas de cálculo y gestión documental;</w:t>
      </w:r>
    </w:p>
    <w:p>
      <w:pPr>
        <w:numPr>
          <w:ilvl w:val="0"/>
          <w:numId w:val="1009"/>
        </w:numPr>
        <w:pStyle w:val="Compact"/>
      </w:pPr>
      <w:r>
        <w:t xml:space="preserve">formación en privacidad y ciberseguridad;</w:t>
      </w:r>
    </w:p>
    <w:p>
      <w:pPr>
        <w:numPr>
          <w:ilvl w:val="0"/>
          <w:numId w:val="1009"/>
        </w:numPr>
        <w:pStyle w:val="Compact"/>
      </w:pPr>
      <w:r>
        <w:t xml:space="preserve">talleres de sistemas públicos de empleo;</w:t>
      </w:r>
    </w:p>
    <w:p>
      <w:pPr>
        <w:numPr>
          <w:ilvl w:val="0"/>
          <w:numId w:val="1009"/>
        </w:numPr>
        <w:pStyle w:val="Compact"/>
      </w:pPr>
      <w:r>
        <w:t xml:space="preserve">SENA u otras opciones públicas de educación técnica cuando estén disponibles;</w:t>
      </w:r>
    </w:p>
    <w:p>
      <w:pPr>
        <w:numPr>
          <w:ilvl w:val="0"/>
          <w:numId w:val="1009"/>
        </w:numPr>
        <w:pStyle w:val="Compact"/>
      </w:pPr>
      <w:r>
        <w:t xml:space="preserve">incorporación y plataformas internas de aprendizaje del empleador;</w:t>
      </w:r>
    </w:p>
    <w:p>
      <w:pPr>
        <w:numPr>
          <w:ilvl w:val="0"/>
          <w:numId w:val="1009"/>
        </w:numPr>
        <w:pStyle w:val="Compact"/>
      </w:pPr>
      <w:r>
        <w:t xml:space="preserve">cursos abiertos de comunicación, gestión de registros, escritura empresarial y alfabetización de datos; y</w:t>
      </w:r>
    </w:p>
    <w:p>
      <w:pPr>
        <w:numPr>
          <w:ilvl w:val="0"/>
          <w:numId w:val="1009"/>
        </w:numPr>
        <w:pStyle w:val="Compact"/>
      </w:pPr>
      <w:r>
        <w:t xml:space="preserve">capacitación interna supervisada entre funciones.</w:t>
      </w:r>
    </w:p>
    <w:p>
      <w:pPr>
        <w:pStyle w:val="FirstParagraph"/>
      </w:pPr>
      <w:r>
        <w:t xml:space="preserve">Pague por una credencial solo cuando pueda identificar el empleador, promoción, examen, crédito o requisito de habilidad específico que satisface.</w:t>
      </w:r>
    </w:p>
    <w:bookmarkEnd w:id="36"/>
    <w:bookmarkStart w:id="40" w:name="Xe6860961f1d72140f7c8c9cd59fe0f856667abb"/>
    <w:p>
      <w:pPr>
        <w:pStyle w:val="Heading2"/>
      </w:pPr>
      <w:r>
        <w:t xml:space="preserve">8. Financiamiento, becas, apoyo del empleador y aprendizaje basado en el trabajo</w:t>
      </w:r>
    </w:p>
    <w:bookmarkStart w:id="37" w:name="becas-subvenciones-y-ayudas-públicas"/>
    <w:p>
      <w:pPr>
        <w:pStyle w:val="Heading3"/>
      </w:pPr>
      <w:r>
        <w:t xml:space="preserve">Becas, subvenciones y ayudas públicas</w:t>
      </w:r>
    </w:p>
    <w:p>
      <w:pPr>
        <w:pStyle w:val="FirstParagraph"/>
      </w:pPr>
      <w:r>
        <w:t xml:space="preserve">Verifique elegibilidad para subvenciones públicas, ayudas de instituciones de educación superior, programas para adultos, apoyo de capacitación relacionado con discapacidad, financiamiento de desarrollo de fuerza laboral, beneficios educativos sindicales, beneficios para veteranos y becas locales antes de endeudarse. Las reglas varían por país y jurisdicción.</w:t>
      </w:r>
    </w:p>
    <w:bookmarkEnd w:id="37"/>
    <w:bookmarkStart w:id="38" w:name="educación-apoyada-por-el-empleador"/>
    <w:p>
      <w:pPr>
        <w:pStyle w:val="Heading3"/>
      </w:pPr>
      <w:r>
        <w:t xml:space="preserve">Educación apoyada por el empleador</w:t>
      </w:r>
    </w:p>
    <w:p>
      <w:pPr>
        <w:pStyle w:val="FirstParagraph"/>
      </w:pPr>
      <w:r>
        <w:t xml:space="preserve">Los empleadores pueden ofrecer pago directo de matrícula, reembolso, tasas de certificación, becas, tiempo de estudio remunerado, academias internas o préstamos educativos condonables. Obtenga los términos por escrito.</w:t>
      </w:r>
    </w:p>
    <w:p>
      <w:pPr>
        <w:pStyle w:val="BodyText"/>
      </w:pPr>
      <w:r>
        <w:t xml:space="preserve">En Estados Unidos, la guía del IRS actualizada en abril de 2026 indica que los beneficios que califican bajo un programa de asistencia educativa de Section 127 pueden excluirse del ingreso bruto hasta</w:t>
      </w:r>
      <w:r>
        <w:t xml:space="preserve"> </w:t>
      </w:r>
      <w:r>
        <w:rPr>
          <w:bCs/>
          <w:b/>
        </w:rPr>
        <w:t xml:space="preserve">US$5.250 por año calendario para 2025 y 2026</w:t>
      </w:r>
      <w:r>
        <w:t xml:space="preserve">. La cantidad está sujeta a ajuste por costo de vida para años tributarios posteriores a 2026. No todos los empleadores ofrecen un plan Section 127 y no todos los gastos educativos califican.</w:t>
      </w:r>
    </w:p>
    <w:p>
      <w:pPr>
        <w:pStyle w:val="BodyText"/>
      </w:pPr>
      <w:r>
        <w:t xml:space="preserve">Antes de aceptar educación financiada por el empleador, verifique:</w:t>
      </w:r>
    </w:p>
    <w:p>
      <w:pPr>
        <w:numPr>
          <w:ilvl w:val="0"/>
          <w:numId w:val="1010"/>
        </w:numPr>
        <w:pStyle w:val="Compact"/>
      </w:pPr>
      <w:r>
        <w:t xml:space="preserve">qué se cubre;</w:t>
      </w:r>
    </w:p>
    <w:p>
      <w:pPr>
        <w:numPr>
          <w:ilvl w:val="0"/>
          <w:numId w:val="1010"/>
        </w:numPr>
        <w:pStyle w:val="Compact"/>
      </w:pPr>
      <w:r>
        <w:t xml:space="preserve">si el pago es directo o por reembolso;</w:t>
      </w:r>
    </w:p>
    <w:p>
      <w:pPr>
        <w:numPr>
          <w:ilvl w:val="0"/>
          <w:numId w:val="1010"/>
        </w:numPr>
        <w:pStyle w:val="Compact"/>
      </w:pPr>
      <w:r>
        <w:t xml:space="preserve">requisitos de nota o finalización;</w:t>
      </w:r>
    </w:p>
    <w:p>
      <w:pPr>
        <w:numPr>
          <w:ilvl w:val="0"/>
          <w:numId w:val="1010"/>
        </w:numPr>
        <w:pStyle w:val="Compact"/>
      </w:pPr>
      <w:r>
        <w:t xml:space="preserve">si pueden aplicar impuestos;</w:t>
      </w:r>
    </w:p>
    <w:p>
      <w:pPr>
        <w:numPr>
          <w:ilvl w:val="0"/>
          <w:numId w:val="1010"/>
        </w:numPr>
        <w:pStyle w:val="Compact"/>
      </w:pPr>
      <w:r>
        <w:t xml:space="preserve">fecha de inicio del compromiso de servicio;</w:t>
      </w:r>
    </w:p>
    <w:p>
      <w:pPr>
        <w:numPr>
          <w:ilvl w:val="0"/>
          <w:numId w:val="1010"/>
        </w:numPr>
        <w:pStyle w:val="Compact"/>
      </w:pPr>
      <w:r>
        <w:t xml:space="preserve">fórmula de reembolso;</w:t>
      </w:r>
    </w:p>
    <w:p>
      <w:pPr>
        <w:numPr>
          <w:ilvl w:val="0"/>
          <w:numId w:val="1010"/>
        </w:numPr>
        <w:pStyle w:val="Compact"/>
      </w:pPr>
      <w:r>
        <w:t xml:space="preserve">tratamiento de despido, reestructuración, discapacidad, activación militar, jubilación, transferencia o separación ordenada por el empleador; y</w:t>
      </w:r>
    </w:p>
    <w:p>
      <w:pPr>
        <w:numPr>
          <w:ilvl w:val="0"/>
          <w:numId w:val="1010"/>
        </w:numPr>
        <w:pStyle w:val="Compact"/>
      </w:pPr>
      <w:r>
        <w:t xml:space="preserve">si se permiten deducciones del salario final donde trabaja.</w:t>
      </w:r>
    </w:p>
    <w:bookmarkEnd w:id="38"/>
    <w:bookmarkStart w:id="39" w:name="X272e4238f112f96f290f8718fdbe95aecb38876"/>
    <w:p>
      <w:pPr>
        <w:pStyle w:val="Heading3"/>
      </w:pPr>
      <w:r>
        <w:t xml:space="preserve">Aprendizajes y aprendizaje basado en el trabajo</w:t>
      </w:r>
    </w:p>
    <w:p>
      <w:pPr>
        <w:pStyle w:val="FirstParagraph"/>
      </w:pPr>
      <w:r>
        <w:t xml:space="preserve">Busque oportunidades actuales de Registered Apprenticeship en Apprenticeship.gov en Estados Unidos, pero no suponga que existe un aprendizaje específico para asistente de RR. HH. en todas las zonas. Considere también pasantías, educación cooperativa, programas de formación remunerada, observación laboral, rotaciones y movilidad interna supervisada.</w:t>
      </w:r>
    </w:p>
    <w:p>
      <w:pPr>
        <w:pStyle w:val="BodyText"/>
      </w:pPr>
      <w:r>
        <w:t xml:space="preserve">En Canadá, consulte sistemas provinciales o territoriales de empleo y formación además de Job Bank. En Colombia, el SENA combina formación pública con un ecosistema de servicios de empleo y algunos programas técnicos incluyen etapas prácticas.</w:t>
      </w:r>
    </w:p>
    <w:bookmarkEnd w:id="39"/>
    <w:bookmarkEnd w:id="40"/>
    <w:bookmarkStart w:id="41" w:name="accesibilidad-e-inclusión"/>
    <w:p>
      <w:pPr>
        <w:pStyle w:val="Heading2"/>
      </w:pPr>
      <w:r>
        <w:t xml:space="preserve">9. Accesibilidad e inclusión</w:t>
      </w:r>
    </w:p>
    <w:p>
      <w:pPr>
        <w:pStyle w:val="FirstParagraph"/>
      </w:pPr>
      <w:r>
        <w:t xml:space="preserve">La accesibilidad debe verificarse en toda la ruta, no solo al ingresar a un aula.</w:t>
      </w:r>
    </w:p>
    <w:p>
      <w:pPr>
        <w:pStyle w:val="BodyText"/>
      </w:pPr>
      <w:r>
        <w:t xml:space="preserve">Pregunte por:</w:t>
      </w:r>
    </w:p>
    <w:p>
      <w:pPr>
        <w:numPr>
          <w:ilvl w:val="0"/>
          <w:numId w:val="1011"/>
        </w:numPr>
        <w:pStyle w:val="Compact"/>
      </w:pPr>
      <w:r>
        <w:t xml:space="preserve">solicitudes y plataformas de aprendizaje accesibles;</w:t>
      </w:r>
    </w:p>
    <w:p>
      <w:pPr>
        <w:numPr>
          <w:ilvl w:val="0"/>
          <w:numId w:val="1011"/>
        </w:numPr>
        <w:pStyle w:val="Compact"/>
      </w:pPr>
      <w:r>
        <w:t xml:space="preserve">compatibilidad con lectores de pantalla y teclado;</w:t>
      </w:r>
    </w:p>
    <w:p>
      <w:pPr>
        <w:numPr>
          <w:ilvl w:val="0"/>
          <w:numId w:val="1011"/>
        </w:numPr>
        <w:pStyle w:val="Compact"/>
      </w:pPr>
      <w:r>
        <w:t xml:space="preserve">subtítulos e interpretación;</w:t>
      </w:r>
    </w:p>
    <w:p>
      <w:pPr>
        <w:numPr>
          <w:ilvl w:val="0"/>
          <w:numId w:val="1011"/>
        </w:numPr>
        <w:pStyle w:val="Compact"/>
      </w:pPr>
      <w:r>
        <w:t xml:space="preserve">documentos accesibles;</w:t>
      </w:r>
    </w:p>
    <w:p>
      <w:pPr>
        <w:numPr>
          <w:ilvl w:val="0"/>
          <w:numId w:val="1011"/>
        </w:numPr>
        <w:pStyle w:val="Compact"/>
      </w:pPr>
      <w:r>
        <w:t xml:space="preserve">pruebas en entornos tranquilos o con menos distracciones;</w:t>
      </w:r>
    </w:p>
    <w:p>
      <w:pPr>
        <w:numPr>
          <w:ilvl w:val="0"/>
          <w:numId w:val="1011"/>
        </w:numPr>
        <w:pStyle w:val="Compact"/>
      </w:pPr>
      <w:r>
        <w:t xml:space="preserve">puestos ergonómicos;</w:t>
      </w:r>
    </w:p>
    <w:p>
      <w:pPr>
        <w:numPr>
          <w:ilvl w:val="0"/>
          <w:numId w:val="1011"/>
        </w:numPr>
        <w:pStyle w:val="Compact"/>
      </w:pPr>
      <w:r>
        <w:t xml:space="preserve">horarios flexibles;</w:t>
      </w:r>
    </w:p>
    <w:p>
      <w:pPr>
        <w:numPr>
          <w:ilvl w:val="0"/>
          <w:numId w:val="1011"/>
        </w:numPr>
        <w:pStyle w:val="Compact"/>
      </w:pPr>
      <w:r>
        <w:t xml:space="preserve">acceso al transporte y a prácticas;</w:t>
      </w:r>
    </w:p>
    <w:p>
      <w:pPr>
        <w:numPr>
          <w:ilvl w:val="0"/>
          <w:numId w:val="1011"/>
        </w:numPr>
        <w:pStyle w:val="Compact"/>
      </w:pPr>
      <w:r>
        <w:t xml:space="preserve">maneras alternativas de demostrar competencia; y</w:t>
      </w:r>
    </w:p>
    <w:p>
      <w:pPr>
        <w:numPr>
          <w:ilvl w:val="0"/>
          <w:numId w:val="1011"/>
        </w:numPr>
        <w:pStyle w:val="Compact"/>
      </w:pPr>
      <w:r>
        <w:t xml:space="preserve">procedimientos separados de adaptación para la escuela, empleador, patrocinador de aprendizaje, lugar de práctica y entidad evaluadora.</w:t>
      </w:r>
    </w:p>
    <w:p>
      <w:pPr>
        <w:pStyle w:val="FirstParagraph"/>
      </w:pPr>
      <w:r>
        <w:t xml:space="preserve">No suponga que la admisión a un programa garantiza que toda práctica, sistema o lugar de trabajo sea accesible.</w:t>
      </w:r>
    </w:p>
    <w:bookmarkEnd w:id="41"/>
    <w:bookmarkStart w:id="42" w:name="Xfa420b2c585462547c679e6ca293d8001761316"/>
    <w:p>
      <w:pPr>
        <w:pStyle w:val="Heading2"/>
      </w:pPr>
      <w:r>
        <w:t xml:space="preserve">10. Privacidad, ciberseguridad, integridad de registros e IA ética</w:t>
      </w:r>
    </w:p>
    <w:p>
      <w:pPr>
        <w:pStyle w:val="FirstParagraph"/>
      </w:pPr>
      <w:r>
        <w:t xml:space="preserve">El apoyo de RR. HH. es una función de alta confianza informativa.</w:t>
      </w:r>
    </w:p>
    <w:p>
      <w:pPr>
        <w:numPr>
          <w:ilvl w:val="0"/>
          <w:numId w:val="1012"/>
        </w:numPr>
        <w:pStyle w:val="Compact"/>
      </w:pPr>
      <w:r>
        <w:t xml:space="preserve">Use solo sistemas, cuentas, dispositivos y ubicaciones de almacenamiento aprobados.</w:t>
      </w:r>
    </w:p>
    <w:p>
      <w:pPr>
        <w:numPr>
          <w:ilvl w:val="0"/>
          <w:numId w:val="1012"/>
        </w:numPr>
        <w:pStyle w:val="Compact"/>
      </w:pPr>
      <w:r>
        <w:t xml:space="preserve">Use autenticación multifactor cuando esté disponible.</w:t>
      </w:r>
    </w:p>
    <w:p>
      <w:pPr>
        <w:numPr>
          <w:ilvl w:val="0"/>
          <w:numId w:val="1012"/>
        </w:numPr>
        <w:pStyle w:val="Compact"/>
      </w:pPr>
      <w:r>
        <w:t xml:space="preserve">Verifique solicitudes inusuales para cambiar información bancaria, identidad, beneficios o datos relacionados con nómina de empleados.</w:t>
      </w:r>
    </w:p>
    <w:p>
      <w:pPr>
        <w:numPr>
          <w:ilvl w:val="0"/>
          <w:numId w:val="1012"/>
        </w:numPr>
        <w:pStyle w:val="Compact"/>
      </w:pPr>
      <w:r>
        <w:t xml:space="preserve">Respete el acceso de menor privilegio y las prácticas de escritorio limpio.</w:t>
      </w:r>
    </w:p>
    <w:p>
      <w:pPr>
        <w:numPr>
          <w:ilvl w:val="0"/>
          <w:numId w:val="1012"/>
        </w:numPr>
        <w:pStyle w:val="Compact"/>
      </w:pPr>
      <w:r>
        <w:t xml:space="preserve">No reenvíe expedientes de empleados a correo personal ni almacenamiento en nube personal.</w:t>
      </w:r>
    </w:p>
    <w:p>
      <w:pPr>
        <w:numPr>
          <w:ilvl w:val="0"/>
          <w:numId w:val="1012"/>
        </w:numPr>
        <w:pStyle w:val="Compact"/>
      </w:pPr>
      <w:r>
        <w:t xml:space="preserve">No pegue información confidencial de candidatos o empleados en herramientas públicas de IA.</w:t>
      </w:r>
    </w:p>
    <w:p>
      <w:pPr>
        <w:numPr>
          <w:ilvl w:val="0"/>
          <w:numId w:val="1012"/>
        </w:numPr>
        <w:pStyle w:val="Compact"/>
      </w:pPr>
      <w:r>
        <w:t xml:space="preserve">Verifique resúmenes, cartas, clasificaciones o explicaciones de políticas generadas por IA antes de utilizarlas.</w:t>
      </w:r>
    </w:p>
    <w:p>
      <w:pPr>
        <w:numPr>
          <w:ilvl w:val="0"/>
          <w:numId w:val="1012"/>
        </w:numPr>
        <w:pStyle w:val="Compact"/>
      </w:pPr>
      <w:r>
        <w:t xml:space="preserve">Conserve los registros requeridos y no elimine material por resultar incómodo.</w:t>
      </w:r>
    </w:p>
    <w:p>
      <w:pPr>
        <w:numPr>
          <w:ilvl w:val="0"/>
          <w:numId w:val="1012"/>
        </w:numPr>
        <w:pStyle w:val="Compact"/>
      </w:pPr>
      <w:r>
        <w:t xml:space="preserve">Escale sospechas de phishing, suplantación, desvío de nómina, robo de identidad, acceso no autorizado o fuga de datos.</w:t>
      </w:r>
    </w:p>
    <w:p>
      <w:pPr>
        <w:pStyle w:val="FirstParagraph"/>
      </w:pPr>
      <w:r>
        <w:t xml:space="preserve">La IA puede ayudar a redactar comunicaciones rutinarias, resumir material aprobado, clasificar trabajo administrativo no sensible o apoyar programación cuando la gobernanza lo permita. No debe tratarse como responsable de decisiones de contratación, promoción, disciplina, adaptaciones, compensación, terminación u otras decisiones laborales de consecuencias significativas.</w:t>
      </w:r>
    </w:p>
    <w:bookmarkEnd w:id="42"/>
    <w:bookmarkStart w:id="43" w:name="construya-evidencia-de-capacidad"/>
    <w:p>
      <w:pPr>
        <w:pStyle w:val="Heading2"/>
      </w:pPr>
      <w:r>
        <w:t xml:space="preserve">11. Construya evidencia de capacidad</w:t>
      </w:r>
    </w:p>
    <w:p>
      <w:pPr>
        <w:pStyle w:val="FirstParagraph"/>
      </w:pPr>
      <w:r>
        <w:t xml:space="preserve">Puede demostrar habilidades útiles sin exponer información real de empleados.</w:t>
      </w:r>
    </w:p>
    <w:p>
      <w:pPr>
        <w:pStyle w:val="BodyText"/>
      </w:pPr>
      <w:r>
        <w:t xml:space="preserve">Cree ejemplos ficticios o completamente anonimizados, por ejemplo:</w:t>
      </w:r>
    </w:p>
    <w:p>
      <w:pPr>
        <w:numPr>
          <w:ilvl w:val="0"/>
          <w:numId w:val="1013"/>
        </w:numPr>
        <w:pStyle w:val="Compact"/>
      </w:pPr>
      <w:r>
        <w:t xml:space="preserve">una lista de incorporación;</w:t>
      </w:r>
    </w:p>
    <w:p>
      <w:pPr>
        <w:numPr>
          <w:ilvl w:val="0"/>
          <w:numId w:val="1013"/>
        </w:numPr>
        <w:pStyle w:val="Compact"/>
      </w:pPr>
      <w:r>
        <w:t xml:space="preserve">un registro de programación de entrevistas;</w:t>
      </w:r>
    </w:p>
    <w:p>
      <w:pPr>
        <w:numPr>
          <w:ilvl w:val="0"/>
          <w:numId w:val="1013"/>
        </w:numPr>
        <w:pStyle w:val="Compact"/>
      </w:pPr>
      <w:r>
        <w:t xml:space="preserve">una lista de control de calidad de expedientes de personal;</w:t>
      </w:r>
    </w:p>
    <w:p>
      <w:pPr>
        <w:numPr>
          <w:ilvl w:val="0"/>
          <w:numId w:val="1013"/>
        </w:numPr>
        <w:pStyle w:val="Compact"/>
      </w:pPr>
      <w:r>
        <w:t xml:space="preserve">un registro de asistencia a capacitación;</w:t>
      </w:r>
    </w:p>
    <w:p>
      <w:pPr>
        <w:numPr>
          <w:ilvl w:val="0"/>
          <w:numId w:val="1013"/>
        </w:numPr>
        <w:pStyle w:val="Compact"/>
      </w:pPr>
      <w:r>
        <w:t xml:space="preserve">un mapa de enrutamiento de solicitudes de adaptación que evite juicios médicos;</w:t>
      </w:r>
    </w:p>
    <w:p>
      <w:pPr>
        <w:numPr>
          <w:ilvl w:val="0"/>
          <w:numId w:val="1013"/>
        </w:numPr>
        <w:pStyle w:val="Compact"/>
      </w:pPr>
      <w:r>
        <w:t xml:space="preserve">un registro de reclutamiento que separe criterios pertinentes al puesto de información prohibida o irrelevante;</w:t>
      </w:r>
    </w:p>
    <w:p>
      <w:pPr>
        <w:numPr>
          <w:ilvl w:val="0"/>
          <w:numId w:val="1013"/>
        </w:numPr>
        <w:pStyle w:val="Compact"/>
      </w:pPr>
      <w:r>
        <w:t xml:space="preserve">una lista de retención de registros basada en una política ficticia; o</w:t>
      </w:r>
    </w:p>
    <w:p>
      <w:pPr>
        <w:numPr>
          <w:ilvl w:val="0"/>
          <w:numId w:val="1013"/>
        </w:numPr>
        <w:pStyle w:val="Compact"/>
      </w:pPr>
      <w:r>
        <w:t xml:space="preserve">un tablero de documentos faltantes y plazos usando datos inventados.</w:t>
      </w:r>
    </w:p>
    <w:p>
      <w:pPr>
        <w:pStyle w:val="FirstParagraph"/>
      </w:pPr>
      <w:r>
        <w:t xml:space="preserve">Para cada proyecto explique el problema, su función, el proceso, el control, el resultado y lo aprendido. No utilice formularios propietarios, datos reales de empleados ni capturas confidenciales.</w:t>
      </w:r>
    </w:p>
    <w:bookmarkEnd w:id="43"/>
    <w:bookmarkStart w:id="44" w:name="preparación-para-entrevistas"/>
    <w:p>
      <w:pPr>
        <w:pStyle w:val="Heading2"/>
      </w:pPr>
      <w:r>
        <w:t xml:space="preserve">12. Preparación para entrevistas</w:t>
      </w:r>
    </w:p>
    <w:p>
      <w:pPr>
        <w:pStyle w:val="FirstParagraph"/>
      </w:pPr>
      <w:r>
        <w:t xml:space="preserve">Practique preguntas como:</w:t>
      </w:r>
    </w:p>
    <w:p>
      <w:pPr>
        <w:numPr>
          <w:ilvl w:val="0"/>
          <w:numId w:val="1014"/>
        </w:numPr>
        <w:pStyle w:val="Compact"/>
      </w:pPr>
      <w:r>
        <w:t xml:space="preserve">¿Qué haría si un gerente le pide detalles médicos de un empleado?</w:t>
      </w:r>
    </w:p>
    <w:p>
      <w:pPr>
        <w:numPr>
          <w:ilvl w:val="0"/>
          <w:numId w:val="1014"/>
        </w:numPr>
        <w:pStyle w:val="Compact"/>
      </w:pPr>
      <w:r>
        <w:t xml:space="preserve">¿Cómo manejaría un registro de antecedentes incompleto o disputado?</w:t>
      </w:r>
    </w:p>
    <w:p>
      <w:pPr>
        <w:numPr>
          <w:ilvl w:val="0"/>
          <w:numId w:val="1014"/>
        </w:numPr>
        <w:pStyle w:val="Compact"/>
      </w:pPr>
      <w:r>
        <w:t xml:space="preserve">¿Qué haría si un empleado le pide interpretar una ley o regla de beneficios que usted no está autorizado a interpretar?</w:t>
      </w:r>
    </w:p>
    <w:p>
      <w:pPr>
        <w:numPr>
          <w:ilvl w:val="0"/>
          <w:numId w:val="1014"/>
        </w:numPr>
        <w:pStyle w:val="Compact"/>
      </w:pPr>
      <w:r>
        <w:t xml:space="preserve">¿Cómo protege información confidencial y al mismo tiempo presta ayuda?</w:t>
      </w:r>
    </w:p>
    <w:p>
      <w:pPr>
        <w:numPr>
          <w:ilvl w:val="0"/>
          <w:numId w:val="1014"/>
        </w:numPr>
        <w:pStyle w:val="Compact"/>
      </w:pPr>
      <w:r>
        <w:t xml:space="preserve">¿Cómo prioriza varios plazos de incorporación?</w:t>
      </w:r>
    </w:p>
    <w:p>
      <w:pPr>
        <w:numPr>
          <w:ilvl w:val="0"/>
          <w:numId w:val="1014"/>
        </w:numPr>
        <w:pStyle w:val="Compact"/>
      </w:pPr>
      <w:r>
        <w:t xml:space="preserve">¿Qué haría si un borrador generado por IA contiene una afirmación que no puede verificar?</w:t>
      </w:r>
    </w:p>
    <w:p>
      <w:pPr>
        <w:pStyle w:val="FirstParagraph"/>
      </w:pPr>
      <w:r>
        <w:t xml:space="preserve">Las respuestas sólidas muestran situación, responsabilidad, acción, evidencia, límite, escalamiento y resultado. No pretenda que la velocidad es más importante que la precisión o el trato legal.</w:t>
      </w:r>
    </w:p>
    <w:bookmarkEnd w:id="44"/>
    <w:bookmarkStart w:id="48" w:name="primeros-30-60-y-90-días"/>
    <w:p>
      <w:pPr>
        <w:pStyle w:val="Heading2"/>
      </w:pPr>
      <w:r>
        <w:t xml:space="preserve">13. Primeros 30, 60 y 90 días</w:t>
      </w:r>
    </w:p>
    <w:bookmarkStart w:id="45" w:name="primeros-30-días"/>
    <w:p>
      <w:pPr>
        <w:pStyle w:val="Heading3"/>
      </w:pPr>
      <w:r>
        <w:t xml:space="preserve">Primeros 30 días</w:t>
      </w:r>
    </w:p>
    <w:p>
      <w:pPr>
        <w:pStyle w:val="FirstParagraph"/>
      </w:pPr>
      <w:r>
        <w:t xml:space="preserve">Aprenda políticas, sistemas, terminología, expectativas de privacidad, límites de función, estándares de registros, rutas de escalamiento, procedimientos de adaptación y requisitos de ciberseguridad.</w:t>
      </w:r>
    </w:p>
    <w:bookmarkEnd w:id="45"/>
    <w:bookmarkStart w:id="46" w:name="días-3160"/>
    <w:p>
      <w:pPr>
        <w:pStyle w:val="Heading3"/>
      </w:pPr>
      <w:r>
        <w:t xml:space="preserve">Días 31–60</w:t>
      </w:r>
    </w:p>
    <w:p>
      <w:pPr>
        <w:pStyle w:val="FirstParagraph"/>
      </w:pPr>
      <w:r>
        <w:t xml:space="preserve">Realice trabajo rutinario con revisión. Refuerce la precisión de datos, documente decisiones, solicite comentarios, aprenda excepciones recurrentes y construya listas de verificación confiables.</w:t>
      </w:r>
    </w:p>
    <w:bookmarkEnd w:id="46"/>
    <w:bookmarkStart w:id="47" w:name="días-6190"/>
    <w:p>
      <w:pPr>
        <w:pStyle w:val="Heading3"/>
      </w:pPr>
      <w:r>
        <w:t xml:space="preserve">Días 61–90</w:t>
      </w:r>
    </w:p>
    <w:p>
      <w:pPr>
        <w:pStyle w:val="FirstParagraph"/>
      </w:pPr>
      <w:r>
        <w:t xml:space="preserve">Asuma una carga de trabajo más amplia dentro de su autoridad. Proponga una mejora de proceso basada en evidencia, documente objetivos de desarrollo e identifique la siguiente habilidad o credencial con valor laboral verificado.</w:t>
      </w:r>
    </w:p>
    <w:bookmarkEnd w:id="47"/>
    <w:bookmarkEnd w:id="48"/>
    <w:bookmarkStart w:id="49" w:name="X484f3a0c73f8252cb164165b8e252868573a8b8"/>
    <w:p>
      <w:pPr>
        <w:pStyle w:val="Heading2"/>
      </w:pPr>
      <w:r>
        <w:t xml:space="preserve">14. Avance, portabilidad y planificación de salida</w:t>
      </w:r>
    </w:p>
    <w:p>
      <w:pPr>
        <w:pStyle w:val="FirstParagraph"/>
      </w:pPr>
      <w:r>
        <w:t xml:space="preserve">El apoyo de recursos humanos puede conducir a funciones como:</w:t>
      </w:r>
    </w:p>
    <w:p>
      <w:pPr>
        <w:numPr>
          <w:ilvl w:val="0"/>
          <w:numId w:val="1015"/>
        </w:numPr>
        <w:pStyle w:val="Compact"/>
      </w:pPr>
      <w:r>
        <w:t xml:space="preserve">coordinador de RR. HH.;</w:t>
      </w:r>
    </w:p>
    <w:p>
      <w:pPr>
        <w:numPr>
          <w:ilvl w:val="0"/>
          <w:numId w:val="1015"/>
        </w:numPr>
        <w:pStyle w:val="Compact"/>
      </w:pPr>
      <w:r>
        <w:t xml:space="preserve">coordinador de reclutamiento;</w:t>
      </w:r>
    </w:p>
    <w:p>
      <w:pPr>
        <w:numPr>
          <w:ilvl w:val="0"/>
          <w:numId w:val="1015"/>
        </w:numPr>
        <w:pStyle w:val="Compact"/>
      </w:pPr>
      <w:r>
        <w:t xml:space="preserve">coordinador de beneficios o licencias;</w:t>
      </w:r>
    </w:p>
    <w:p>
      <w:pPr>
        <w:numPr>
          <w:ilvl w:val="0"/>
          <w:numId w:val="1015"/>
        </w:numPr>
        <w:pStyle w:val="Compact"/>
      </w:pPr>
      <w:r>
        <w:t xml:space="preserve">coordinador de aprendizaje y desarrollo;</w:t>
      </w:r>
    </w:p>
    <w:p>
      <w:pPr>
        <w:numPr>
          <w:ilvl w:val="0"/>
          <w:numId w:val="1015"/>
        </w:numPr>
        <w:pStyle w:val="Compact"/>
      </w:pPr>
      <w:r>
        <w:t xml:space="preserve">apoyo de HRIS;</w:t>
      </w:r>
    </w:p>
    <w:p>
      <w:pPr>
        <w:numPr>
          <w:ilvl w:val="0"/>
          <w:numId w:val="1015"/>
        </w:numPr>
        <w:pStyle w:val="Compact"/>
      </w:pPr>
      <w:r>
        <w:t xml:space="preserve">coordinador de operaciones de personas;</w:t>
      </w:r>
    </w:p>
    <w:p>
      <w:pPr>
        <w:numPr>
          <w:ilvl w:val="0"/>
          <w:numId w:val="1015"/>
        </w:numPr>
        <w:pStyle w:val="Compact"/>
      </w:pPr>
      <w:r>
        <w:t xml:space="preserve">apoyo de nómina;</w:t>
      </w:r>
    </w:p>
    <w:p>
      <w:pPr>
        <w:numPr>
          <w:ilvl w:val="0"/>
          <w:numId w:val="1015"/>
        </w:numPr>
        <w:pStyle w:val="Compact"/>
      </w:pPr>
      <w:r>
        <w:t xml:space="preserve">apoyo de relaciones con empleados; o</w:t>
      </w:r>
    </w:p>
    <w:p>
      <w:pPr>
        <w:numPr>
          <w:ilvl w:val="0"/>
          <w:numId w:val="1015"/>
        </w:numPr>
        <w:pStyle w:val="Compact"/>
      </w:pPr>
      <w:r>
        <w:t xml:space="preserve">especialista de recursos humanos después de educación, experiencia y desarrollo adicionales específicos para la función.</w:t>
      </w:r>
    </w:p>
    <w:p>
      <w:pPr>
        <w:pStyle w:val="FirstParagraph"/>
      </w:pPr>
      <w:r>
        <w:t xml:space="preserve">Las habilidades portátiles incluyen integridad de registros, confidencialidad, programación, escritura empresarial, hojas de cálculo, documentación de flujos, servicio al cliente, navegación de políticas, calidad de datos y criterio de escalamiento.</w:t>
      </w:r>
    </w:p>
    <w:p>
      <w:pPr>
        <w:pStyle w:val="BodyText"/>
      </w:pPr>
      <w:r>
        <w:t xml:space="preserve">Una buena ruta profesional también tiene un plan de salida. Si el trabajo se vuelve demasiado repetitivo, automatizado, inaccesible, estresante o mal remunerado, conserve evidencia de sus habilidades transferibles y considere moverse antes de que los costos ya asumidos lo atrapen.</w:t>
      </w:r>
    </w:p>
    <w:bookmarkEnd w:id="49"/>
    <w:bookmarkStart w:id="50" w:name="X102a6ec3ed5f93284cda715f4c25ab931fe1b0f"/>
    <w:p>
      <w:pPr>
        <w:pStyle w:val="Heading2"/>
      </w:pPr>
      <w:r>
        <w:t xml:space="preserve">15. Antes de inscribirse, pedir prestado, mudarse o firmar</w:t>
      </w:r>
    </w:p>
    <w:p>
      <w:pPr>
        <w:pStyle w:val="FirstParagraph"/>
      </w:pPr>
      <w:r>
        <w:t xml:space="preserve">Verifique:</w:t>
      </w:r>
    </w:p>
    <w:p>
      <w:pPr>
        <w:numPr>
          <w:ilvl w:val="0"/>
          <w:numId w:val="1016"/>
        </w:numPr>
        <w:pStyle w:val="Compact"/>
      </w:pPr>
      <w:r>
        <w:t xml:space="preserve">título exacto y funciones en su mercado objetivo;</w:t>
      </w:r>
    </w:p>
    <w:p>
      <w:pPr>
        <w:numPr>
          <w:ilvl w:val="0"/>
          <w:numId w:val="1016"/>
        </w:numPr>
        <w:pStyle w:val="Compact"/>
      </w:pPr>
      <w:r>
        <w:t xml:space="preserve">remuneración local actual y tipo de contrato;</w:t>
      </w:r>
    </w:p>
    <w:p>
      <w:pPr>
        <w:numPr>
          <w:ilvl w:val="0"/>
          <w:numId w:val="1016"/>
        </w:numPr>
        <w:pStyle w:val="Compact"/>
      </w:pPr>
      <w:r>
        <w:t xml:space="preserve">educación y experiencia mínimas;</w:t>
      </w:r>
    </w:p>
    <w:p>
      <w:pPr>
        <w:numPr>
          <w:ilvl w:val="0"/>
          <w:numId w:val="1016"/>
        </w:numPr>
        <w:pStyle w:val="Compact"/>
      </w:pPr>
      <w:r>
        <w:t xml:space="preserve">si una credencial es legalmente obligatoria, preferida u opcional;</w:t>
      </w:r>
    </w:p>
    <w:p>
      <w:pPr>
        <w:numPr>
          <w:ilvl w:val="0"/>
          <w:numId w:val="1016"/>
        </w:numPr>
        <w:pStyle w:val="Compact"/>
      </w:pPr>
      <w:r>
        <w:t xml:space="preserve">costo total de capacitación;</w:t>
      </w:r>
    </w:p>
    <w:p>
      <w:pPr>
        <w:numPr>
          <w:ilvl w:val="0"/>
          <w:numId w:val="1016"/>
        </w:numPr>
        <w:pStyle w:val="Compact"/>
      </w:pPr>
      <w:r>
        <w:t xml:space="preserve">reglas de reembolso y retiro;</w:t>
      </w:r>
    </w:p>
    <w:p>
      <w:pPr>
        <w:numPr>
          <w:ilvl w:val="0"/>
          <w:numId w:val="1016"/>
        </w:numPr>
        <w:pStyle w:val="Compact"/>
      </w:pPr>
      <w:r>
        <w:t xml:space="preserve">acreditación o reconocimiento público cuando corresponda;</w:t>
      </w:r>
    </w:p>
    <w:p>
      <w:pPr>
        <w:numPr>
          <w:ilvl w:val="0"/>
          <w:numId w:val="1016"/>
        </w:numPr>
        <w:pStyle w:val="Compact"/>
      </w:pPr>
      <w:r>
        <w:t xml:space="preserve">si los créditos son transferibles;</w:t>
      </w:r>
    </w:p>
    <w:p>
      <w:pPr>
        <w:numPr>
          <w:ilvl w:val="0"/>
          <w:numId w:val="1016"/>
        </w:numPr>
        <w:pStyle w:val="Compact"/>
      </w:pPr>
      <w:r>
        <w:t xml:space="preserve">disponibilidad de aprendizaje o etapa práctica;</w:t>
      </w:r>
    </w:p>
    <w:p>
      <w:pPr>
        <w:numPr>
          <w:ilvl w:val="0"/>
          <w:numId w:val="1016"/>
        </w:numPr>
        <w:pStyle w:val="Compact"/>
      </w:pPr>
      <w:r>
        <w:t xml:space="preserve">accesibilidad de toda la ruta;</w:t>
      </w:r>
    </w:p>
    <w:p>
      <w:pPr>
        <w:numPr>
          <w:ilvl w:val="0"/>
          <w:numId w:val="1016"/>
        </w:numPr>
        <w:pStyle w:val="Compact"/>
      </w:pPr>
      <w:r>
        <w:t xml:space="preserve">términos de matrícula del empleador y condiciones de reembolso;</w:t>
      </w:r>
    </w:p>
    <w:p>
      <w:pPr>
        <w:numPr>
          <w:ilvl w:val="0"/>
          <w:numId w:val="1016"/>
        </w:numPr>
        <w:pStyle w:val="Compact"/>
      </w:pPr>
      <w:r>
        <w:t xml:space="preserve">requisitos de prácticas no remuneradas;</w:t>
      </w:r>
    </w:p>
    <w:p>
      <w:pPr>
        <w:numPr>
          <w:ilvl w:val="0"/>
          <w:numId w:val="1016"/>
        </w:numPr>
        <w:pStyle w:val="Compact"/>
      </w:pPr>
      <w:r>
        <w:t xml:space="preserve">requisitos de autorización para trabajar; y</w:t>
      </w:r>
    </w:p>
    <w:p>
      <w:pPr>
        <w:numPr>
          <w:ilvl w:val="0"/>
          <w:numId w:val="1016"/>
        </w:numPr>
        <w:pStyle w:val="Compact"/>
      </w:pPr>
      <w:r>
        <w:t xml:space="preserve">si la ruta sigue teniendo sentido bajo un escenario realista de salario bajo.</w:t>
      </w:r>
    </w:p>
    <w:bookmarkEnd w:id="50"/>
    <w:bookmarkStart w:id="51" w:name="es-esta-carrera-adecuada-para-mí"/>
    <w:p>
      <w:pPr>
        <w:pStyle w:val="Heading2"/>
      </w:pPr>
      <w:r>
        <w:t xml:space="preserve">16. ¿Es esta carrera adecuada para mí?</w:t>
      </w:r>
    </w:p>
    <w:p>
      <w:pPr>
        <w:pStyle w:val="FirstParagraph"/>
      </w:pPr>
      <w:r>
        <w:t xml:space="preserve">Marque cada punto como</w:t>
      </w:r>
      <w:r>
        <w:t xml:space="preserve"> </w:t>
      </w:r>
      <w:r>
        <w:rPr>
          <w:bCs/>
          <w:b/>
        </w:rPr>
        <w:t xml:space="preserve">Sí</w:t>
      </w:r>
      <w:r>
        <w:t xml:space="preserve">,</w:t>
      </w:r>
      <w:r>
        <w:t xml:space="preserve"> </w:t>
      </w:r>
      <w:r>
        <w:rPr>
          <w:bCs/>
          <w:b/>
        </w:rPr>
        <w:t xml:space="preserve">Todavía no</w:t>
      </w:r>
      <w:r>
        <w:t xml:space="preserve"> </w:t>
      </w:r>
      <w:r>
        <w:t xml:space="preserve">o</w:t>
      </w:r>
      <w:r>
        <w:t xml:space="preserve"> </w:t>
      </w:r>
      <w:r>
        <w:rPr>
          <w:bCs/>
          <w:b/>
        </w:rPr>
        <w:t xml:space="preserve">Preocupación importante</w:t>
      </w:r>
      <w:r>
        <w:t xml:space="preserve">:</w:t>
      </w:r>
    </w:p>
    <w:p>
      <w:pPr>
        <w:numPr>
          <w:ilvl w:val="0"/>
          <w:numId w:val="1017"/>
        </w:numPr>
        <w:pStyle w:val="Compact"/>
      </w:pPr>
      <w:r>
        <w:t xml:space="preserve">Entiendo el trabajo real y probé mi interés.</w:t>
      </w:r>
    </w:p>
    <w:p>
      <w:pPr>
        <w:numPr>
          <w:ilvl w:val="0"/>
          <w:numId w:val="1017"/>
        </w:numPr>
        <w:pStyle w:val="Compact"/>
      </w:pPr>
      <w:r>
        <w:t xml:space="preserve">Puedo proteger información sensible sin tomar atajos.</w:t>
      </w:r>
    </w:p>
    <w:p>
      <w:pPr>
        <w:numPr>
          <w:ilvl w:val="0"/>
          <w:numId w:val="1017"/>
        </w:numPr>
        <w:pStyle w:val="Compact"/>
      </w:pPr>
      <w:r>
        <w:t xml:space="preserve">Verifiqué requisitos y salarios locales actuales.</w:t>
      </w:r>
    </w:p>
    <w:p>
      <w:pPr>
        <w:numPr>
          <w:ilvl w:val="0"/>
          <w:numId w:val="1017"/>
        </w:numPr>
        <w:pStyle w:val="Compact"/>
      </w:pPr>
      <w:r>
        <w:t xml:space="preserve">Puedo ingresar sin deuda insostenible.</w:t>
      </w:r>
    </w:p>
    <w:p>
      <w:pPr>
        <w:numPr>
          <w:ilvl w:val="0"/>
          <w:numId w:val="1017"/>
        </w:numPr>
        <w:pStyle w:val="Compact"/>
      </w:pPr>
      <w:r>
        <w:t xml:space="preserve">Entiendo cualquier obligación de reembolso del empleador.</w:t>
      </w:r>
    </w:p>
    <w:p>
      <w:pPr>
        <w:numPr>
          <w:ilvl w:val="0"/>
          <w:numId w:val="1017"/>
        </w:numPr>
        <w:pStyle w:val="Compact"/>
      </w:pPr>
      <w:r>
        <w:t xml:space="preserve">Verifiqué accesibilidad para capacitación y trabajo.</w:t>
      </w:r>
    </w:p>
    <w:p>
      <w:pPr>
        <w:numPr>
          <w:ilvl w:val="0"/>
          <w:numId w:val="1017"/>
        </w:numPr>
        <w:pStyle w:val="Compact"/>
      </w:pPr>
      <w:r>
        <w:t xml:space="preserve">El horario y el impacto familiar son viables.</w:t>
      </w:r>
    </w:p>
    <w:p>
      <w:pPr>
        <w:numPr>
          <w:ilvl w:val="0"/>
          <w:numId w:val="1017"/>
        </w:numPr>
        <w:pStyle w:val="Compact"/>
      </w:pPr>
      <w:r>
        <w:t xml:space="preserve">Puedo trabajar dentro de los límites de mi función y escalar apropiadamente.</w:t>
      </w:r>
    </w:p>
    <w:p>
      <w:pPr>
        <w:numPr>
          <w:ilvl w:val="0"/>
          <w:numId w:val="1017"/>
        </w:numPr>
        <w:pStyle w:val="Compact"/>
      </w:pPr>
      <w:r>
        <w:t xml:space="preserve">Tengo un plan realista de avance o salida.</w:t>
      </w:r>
    </w:p>
    <w:p>
      <w:pPr>
        <w:pStyle w:val="FirstParagraph"/>
      </w:pPr>
      <w:r>
        <w:t xml:space="preserve">Un</w:t>
      </w:r>
      <w:r>
        <w:t xml:space="preserve"> </w:t>
      </w:r>
      <w:r>
        <w:t xml:space="preserve">“</w:t>
      </w:r>
      <w:r>
        <w:t xml:space="preserve">Todavía no</w:t>
      </w:r>
      <w:r>
        <w:t xml:space="preserve">”</w:t>
      </w:r>
      <w:r>
        <w:t xml:space="preserve"> </w:t>
      </w:r>
      <w:r>
        <w:t xml:space="preserve">puede convertirse en una acción. Una</w:t>
      </w:r>
      <w:r>
        <w:t xml:space="preserve"> </w:t>
      </w:r>
      <w:r>
        <w:t xml:space="preserve">“</w:t>
      </w:r>
      <w:r>
        <w:t xml:space="preserve">Preocupación importante</w:t>
      </w:r>
      <w:r>
        <w:t xml:space="preserve">”</w:t>
      </w:r>
      <w:r>
        <w:t xml:space="preserve"> </w:t>
      </w:r>
      <w:r>
        <w:t xml:space="preserve">debe resolverse antes de gastar una cantidad significativa de dinero o asumir un compromiso irreversible.</w:t>
      </w:r>
    </w:p>
    <w:bookmarkEnd w:id="51"/>
    <w:bookmarkStart w:id="52" w:name="plan-de-acción-de-doce-semanas"/>
    <w:p>
      <w:pPr>
        <w:pStyle w:val="Heading2"/>
      </w:pPr>
      <w:r>
        <w:t xml:space="preserve">17. Plan de acción de doce semanas</w:t>
      </w:r>
    </w:p>
    <w:p>
      <w:pPr>
        <w:numPr>
          <w:ilvl w:val="0"/>
          <w:numId w:val="1018"/>
        </w:numPr>
        <w:pStyle w:val="Compact"/>
      </w:pPr>
      <w:r>
        <w:rPr>
          <w:bCs/>
          <w:b/>
        </w:rPr>
        <w:t xml:space="preserve">Semana 1:</w:t>
      </w:r>
      <w:r>
        <w:t xml:space="preserve"> </w:t>
      </w:r>
      <w:r>
        <w:t xml:space="preserve">reúna 10–20 vacantes locales actuales y registre títulos, remuneración, educación, experiencia y software.</w:t>
      </w:r>
    </w:p>
    <w:p>
      <w:pPr>
        <w:numPr>
          <w:ilvl w:val="0"/>
          <w:numId w:val="1018"/>
        </w:numPr>
        <w:pStyle w:val="Compact"/>
      </w:pPr>
      <w:r>
        <w:rPr>
          <w:bCs/>
          <w:b/>
        </w:rPr>
        <w:t xml:space="preserve">Semana 2:</w:t>
      </w:r>
      <w:r>
        <w:t xml:space="preserve"> </w:t>
      </w:r>
      <w:r>
        <w:t xml:space="preserve">identifique las funciones que aparecen con mayor frecuencia.</w:t>
      </w:r>
    </w:p>
    <w:p>
      <w:pPr>
        <w:numPr>
          <w:ilvl w:val="0"/>
          <w:numId w:val="1018"/>
        </w:numPr>
        <w:pStyle w:val="Compact"/>
      </w:pPr>
      <w:r>
        <w:rPr>
          <w:bCs/>
          <w:b/>
        </w:rPr>
        <w:t xml:space="preserve">Semana 3:</w:t>
      </w:r>
      <w:r>
        <w:t xml:space="preserve"> </w:t>
      </w:r>
      <w:r>
        <w:t xml:space="preserve">pruebe esas funciones mediante práctica gratuita con datos ficticios.</w:t>
      </w:r>
    </w:p>
    <w:p>
      <w:pPr>
        <w:numPr>
          <w:ilvl w:val="0"/>
          <w:numId w:val="1018"/>
        </w:numPr>
        <w:pStyle w:val="Compact"/>
      </w:pPr>
      <w:r>
        <w:rPr>
          <w:bCs/>
          <w:b/>
        </w:rPr>
        <w:t xml:space="preserve">Semana 4:</w:t>
      </w:r>
      <w:r>
        <w:t xml:space="preserve"> </w:t>
      </w:r>
      <w:r>
        <w:t xml:space="preserve">compare sus habilidades actuales con la evidencia de vacantes.</w:t>
      </w:r>
    </w:p>
    <w:p>
      <w:pPr>
        <w:numPr>
          <w:ilvl w:val="0"/>
          <w:numId w:val="1018"/>
        </w:numPr>
        <w:pStyle w:val="Compact"/>
      </w:pPr>
      <w:r>
        <w:rPr>
          <w:bCs/>
          <w:b/>
        </w:rPr>
        <w:t xml:space="preserve">Semana 5:</w:t>
      </w:r>
      <w:r>
        <w:t xml:space="preserve"> </w:t>
      </w:r>
      <w:r>
        <w:t xml:space="preserve">identifique aprendizaje gratuito, público o financiado por empleador para cerrar las brechas más importantes.</w:t>
      </w:r>
    </w:p>
    <w:p>
      <w:pPr>
        <w:numPr>
          <w:ilvl w:val="0"/>
          <w:numId w:val="1018"/>
        </w:numPr>
        <w:pStyle w:val="Compact"/>
      </w:pPr>
      <w:r>
        <w:rPr>
          <w:bCs/>
          <w:b/>
        </w:rPr>
        <w:t xml:space="preserve">Semana 6:</w:t>
      </w:r>
      <w:r>
        <w:t xml:space="preserve"> </w:t>
      </w:r>
      <w:r>
        <w:t xml:space="preserve">verifique opciones de financiamiento, becas, aprendizaje o matrícula del empleador.</w:t>
      </w:r>
    </w:p>
    <w:p>
      <w:pPr>
        <w:numPr>
          <w:ilvl w:val="0"/>
          <w:numId w:val="1018"/>
        </w:numPr>
        <w:pStyle w:val="Compact"/>
      </w:pPr>
      <w:r>
        <w:rPr>
          <w:bCs/>
          <w:b/>
        </w:rPr>
        <w:t xml:space="preserve">Semana 7:</w:t>
      </w:r>
      <w:r>
        <w:t xml:space="preserve"> </w:t>
      </w:r>
      <w:r>
        <w:t xml:space="preserve">cree un proyecto de portafolio seguro para la privacidad.</w:t>
      </w:r>
    </w:p>
    <w:p>
      <w:pPr>
        <w:numPr>
          <w:ilvl w:val="0"/>
          <w:numId w:val="1018"/>
        </w:numPr>
        <w:pStyle w:val="Compact"/>
      </w:pPr>
      <w:r>
        <w:rPr>
          <w:bCs/>
          <w:b/>
        </w:rPr>
        <w:t xml:space="preserve">Semana 8:</w:t>
      </w:r>
      <w:r>
        <w:t xml:space="preserve"> </w:t>
      </w:r>
      <w:r>
        <w:t xml:space="preserve">cree un segundo proyecto centrado en precisión de registros o control de flujo.</w:t>
      </w:r>
    </w:p>
    <w:p>
      <w:pPr>
        <w:numPr>
          <w:ilvl w:val="0"/>
          <w:numId w:val="1018"/>
        </w:numPr>
        <w:pStyle w:val="Compact"/>
      </w:pPr>
      <w:r>
        <w:rPr>
          <w:bCs/>
          <w:b/>
        </w:rPr>
        <w:t xml:space="preserve">Semana 9:</w:t>
      </w:r>
      <w:r>
        <w:t xml:space="preserve"> </w:t>
      </w:r>
      <w:r>
        <w:t xml:space="preserve">revise su currículo usando evidencia verdadera de trabajo anterior y práctica nueva.</w:t>
      </w:r>
    </w:p>
    <w:p>
      <w:pPr>
        <w:numPr>
          <w:ilvl w:val="0"/>
          <w:numId w:val="1018"/>
        </w:numPr>
        <w:pStyle w:val="Compact"/>
      </w:pPr>
      <w:r>
        <w:rPr>
          <w:bCs/>
          <w:b/>
        </w:rPr>
        <w:t xml:space="preserve">Semana 10:</w:t>
      </w:r>
      <w:r>
        <w:t xml:space="preserve"> </w:t>
      </w:r>
      <w:r>
        <w:t xml:space="preserve">practique entrevistas y escenarios de escalamiento.</w:t>
      </w:r>
    </w:p>
    <w:p>
      <w:pPr>
        <w:numPr>
          <w:ilvl w:val="0"/>
          <w:numId w:val="1018"/>
        </w:numPr>
        <w:pStyle w:val="Compact"/>
      </w:pPr>
      <w:r>
        <w:rPr>
          <w:bCs/>
          <w:b/>
        </w:rPr>
        <w:t xml:space="preserve">Semana 11:</w:t>
      </w:r>
      <w:r>
        <w:t xml:space="preserve"> </w:t>
      </w:r>
      <w:r>
        <w:t xml:space="preserve">postúlese selectivamente a cargos que coincidan con sus capacidades verificadas.</w:t>
      </w:r>
    </w:p>
    <w:p>
      <w:pPr>
        <w:numPr>
          <w:ilvl w:val="0"/>
          <w:numId w:val="1018"/>
        </w:numPr>
        <w:pStyle w:val="Compact"/>
      </w:pPr>
      <w:r>
        <w:rPr>
          <w:bCs/>
          <w:b/>
        </w:rPr>
        <w:t xml:space="preserve">Semana 12:</w:t>
      </w:r>
      <w:r>
        <w:t xml:space="preserve"> </w:t>
      </w:r>
      <w:r>
        <w:t xml:space="preserve">revise resultados y decida si continúa, cambia el título objetivo o busca capacitación adicional.</w:t>
      </w:r>
    </w:p>
    <w:bookmarkEnd w:id="52"/>
    <w:bookmarkStart w:id="56" w:name="hojas-de-trabajo"/>
    <w:p>
      <w:pPr>
        <w:pStyle w:val="Heading2"/>
      </w:pPr>
      <w:r>
        <w:t xml:space="preserve">18. Hojas de trabajo</w:t>
      </w:r>
    </w:p>
    <w:bookmarkStart w:id="53" w:name="comparación-de-vacantes-locales"/>
    <w:p>
      <w:pPr>
        <w:pStyle w:val="Heading3"/>
      </w:pPr>
      <w:r>
        <w:t xml:space="preserve">Comparación de vacantes locales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Campo</w:t>
            </w:r>
          </w:p>
        </w:tc>
        <w:tc>
          <w:tcPr/>
          <w:p>
            <w:pPr>
              <w:pStyle w:val="Compact"/>
              <w:jc w:val="left"/>
            </w:pPr>
            <w:r>
              <w:t xml:space="preserve">Vacante 1</w:t>
            </w:r>
          </w:p>
        </w:tc>
        <w:tc>
          <w:tcPr/>
          <w:p>
            <w:pPr>
              <w:pStyle w:val="Compact"/>
              <w:jc w:val="left"/>
            </w:pPr>
            <w:r>
              <w:t xml:space="preserve">Vacante 2</w:t>
            </w:r>
          </w:p>
        </w:tc>
        <w:tc>
          <w:tcPr/>
          <w:p>
            <w:pPr>
              <w:pStyle w:val="Compact"/>
              <w:jc w:val="left"/>
            </w:pPr>
            <w:r>
              <w:t xml:space="preserve">Vacante 3</w:t>
            </w:r>
          </w:p>
        </w:tc>
      </w:tr>
      <w:tr>
        <w:tc>
          <w:tcPr/>
          <w:p>
            <w:pPr>
              <w:pStyle w:val="Compact"/>
              <w:jc w:val="left"/>
            </w:pPr>
            <w:r>
              <w:t xml:space="preserve">Título exacto</w:t>
            </w:r>
          </w:p>
        </w:tc>
        <w:tc>
          <w:tcPr/>
          <w:p>
            <w:pPr>
              <w:pStyle w:val="Compact"/>
            </w:pPr>
          </w:p>
        </w:tc>
        <w:tc>
          <w:tcPr/>
          <w:p>
            <w:pPr>
              <w:pStyle w:val="Compact"/>
            </w:pPr>
          </w:p>
        </w:tc>
        <w:tc>
          <w:tcPr/>
          <w:p>
            <w:pPr>
              <w:pStyle w:val="Compact"/>
            </w:pPr>
          </w:p>
        </w:tc>
      </w:tr>
      <w:tr>
        <w:tc>
          <w:tcPr/>
          <w:p>
            <w:pPr>
              <w:pStyle w:val="Compact"/>
              <w:jc w:val="left"/>
            </w:pPr>
            <w:r>
              <w:t xml:space="preserve">Ubicación</w:t>
            </w:r>
          </w:p>
        </w:tc>
        <w:tc>
          <w:tcPr/>
          <w:p>
            <w:pPr>
              <w:pStyle w:val="Compact"/>
            </w:pPr>
          </w:p>
        </w:tc>
        <w:tc>
          <w:tcPr/>
          <w:p>
            <w:pPr>
              <w:pStyle w:val="Compact"/>
            </w:pPr>
          </w:p>
        </w:tc>
        <w:tc>
          <w:tcPr/>
          <w:p>
            <w:pPr>
              <w:pStyle w:val="Compact"/>
            </w:pPr>
          </w:p>
        </w:tc>
      </w:tr>
      <w:tr>
        <w:tc>
          <w:tcPr/>
          <w:p>
            <w:pPr>
              <w:pStyle w:val="Compact"/>
              <w:jc w:val="left"/>
            </w:pPr>
            <w:r>
              <w:t xml:space="preserve">Remuneración</w:t>
            </w:r>
          </w:p>
        </w:tc>
        <w:tc>
          <w:tcPr/>
          <w:p>
            <w:pPr>
              <w:pStyle w:val="Compact"/>
            </w:pPr>
          </w:p>
        </w:tc>
        <w:tc>
          <w:tcPr/>
          <w:p>
            <w:pPr>
              <w:pStyle w:val="Compact"/>
            </w:pPr>
          </w:p>
        </w:tc>
        <w:tc>
          <w:tcPr/>
          <w:p>
            <w:pPr>
              <w:pStyle w:val="Compact"/>
            </w:pPr>
          </w:p>
        </w:tc>
      </w:tr>
      <w:tr>
        <w:tc>
          <w:tcPr/>
          <w:p>
            <w:pPr>
              <w:pStyle w:val="Compact"/>
              <w:jc w:val="left"/>
            </w:pPr>
            <w:r>
              <w:t xml:space="preserve">Tipo de contrato</w:t>
            </w:r>
          </w:p>
        </w:tc>
        <w:tc>
          <w:tcPr/>
          <w:p>
            <w:pPr>
              <w:pStyle w:val="Compact"/>
            </w:pPr>
          </w:p>
        </w:tc>
        <w:tc>
          <w:tcPr/>
          <w:p>
            <w:pPr>
              <w:pStyle w:val="Compact"/>
            </w:pPr>
          </w:p>
        </w:tc>
        <w:tc>
          <w:tcPr/>
          <w:p>
            <w:pPr>
              <w:pStyle w:val="Compact"/>
            </w:pPr>
          </w:p>
        </w:tc>
      </w:tr>
      <w:tr>
        <w:tc>
          <w:tcPr/>
          <w:p>
            <w:pPr>
              <w:pStyle w:val="Compact"/>
              <w:jc w:val="left"/>
            </w:pPr>
            <w:r>
              <w:t xml:space="preserve">Educación</w:t>
            </w:r>
          </w:p>
        </w:tc>
        <w:tc>
          <w:tcPr/>
          <w:p>
            <w:pPr>
              <w:pStyle w:val="Compact"/>
            </w:pPr>
          </w:p>
        </w:tc>
        <w:tc>
          <w:tcPr/>
          <w:p>
            <w:pPr>
              <w:pStyle w:val="Compact"/>
            </w:pPr>
          </w:p>
        </w:tc>
        <w:tc>
          <w:tcPr/>
          <w:p>
            <w:pPr>
              <w:pStyle w:val="Compact"/>
            </w:pPr>
          </w:p>
        </w:tc>
      </w:tr>
      <w:tr>
        <w:tc>
          <w:tcPr/>
          <w:p>
            <w:pPr>
              <w:pStyle w:val="Compact"/>
              <w:jc w:val="left"/>
            </w:pPr>
            <w:r>
              <w:t xml:space="preserve">Experiencia</w:t>
            </w:r>
          </w:p>
        </w:tc>
        <w:tc>
          <w:tcPr/>
          <w:p>
            <w:pPr>
              <w:pStyle w:val="Compact"/>
            </w:pPr>
          </w:p>
        </w:tc>
        <w:tc>
          <w:tcPr/>
          <w:p>
            <w:pPr>
              <w:pStyle w:val="Compact"/>
            </w:pPr>
          </w:p>
        </w:tc>
        <w:tc>
          <w:tcPr/>
          <w:p>
            <w:pPr>
              <w:pStyle w:val="Compact"/>
            </w:pPr>
          </w:p>
        </w:tc>
      </w:tr>
      <w:tr>
        <w:tc>
          <w:tcPr/>
          <w:p>
            <w:pPr>
              <w:pStyle w:val="Compact"/>
              <w:jc w:val="left"/>
            </w:pPr>
            <w:r>
              <w:t xml:space="preserve">Software requerido</w:t>
            </w:r>
          </w:p>
        </w:tc>
        <w:tc>
          <w:tcPr/>
          <w:p>
            <w:pPr>
              <w:pStyle w:val="Compact"/>
            </w:pPr>
          </w:p>
        </w:tc>
        <w:tc>
          <w:tcPr/>
          <w:p>
            <w:pPr>
              <w:pStyle w:val="Compact"/>
            </w:pPr>
          </w:p>
        </w:tc>
        <w:tc>
          <w:tcPr/>
          <w:p>
            <w:pPr>
              <w:pStyle w:val="Compact"/>
            </w:pPr>
          </w:p>
        </w:tc>
      </w:tr>
      <w:tr>
        <w:tc>
          <w:tcPr/>
          <w:p>
            <w:pPr>
              <w:pStyle w:val="Compact"/>
              <w:jc w:val="left"/>
            </w:pPr>
            <w:r>
              <w:t xml:space="preserve">Funciones principales</w:t>
            </w:r>
          </w:p>
        </w:tc>
        <w:tc>
          <w:tcPr/>
          <w:p>
            <w:pPr>
              <w:pStyle w:val="Compact"/>
            </w:pPr>
          </w:p>
        </w:tc>
        <w:tc>
          <w:tcPr/>
          <w:p>
            <w:pPr>
              <w:pStyle w:val="Compact"/>
            </w:pPr>
          </w:p>
        </w:tc>
        <w:tc>
          <w:tcPr/>
          <w:p>
            <w:pPr>
              <w:pStyle w:val="Compact"/>
            </w:pPr>
          </w:p>
        </w:tc>
      </w:tr>
      <w:tr>
        <w:tc>
          <w:tcPr/>
          <w:p>
            <w:pPr>
              <w:pStyle w:val="Compact"/>
              <w:jc w:val="left"/>
            </w:pPr>
            <w:r>
              <w:t xml:space="preserve">Beneficios</w:t>
            </w:r>
          </w:p>
        </w:tc>
        <w:tc>
          <w:tcPr/>
          <w:p>
            <w:pPr>
              <w:pStyle w:val="Compact"/>
            </w:pPr>
          </w:p>
        </w:tc>
        <w:tc>
          <w:tcPr/>
          <w:p>
            <w:pPr>
              <w:pStyle w:val="Compact"/>
            </w:pPr>
          </w:p>
        </w:tc>
        <w:tc>
          <w:tcPr/>
          <w:p>
            <w:pPr>
              <w:pStyle w:val="Compact"/>
            </w:pPr>
          </w:p>
        </w:tc>
      </w:tr>
      <w:tr>
        <w:tc>
          <w:tcPr/>
          <w:p>
            <w:pPr>
              <w:pStyle w:val="Compact"/>
              <w:jc w:val="left"/>
            </w:pPr>
            <w:r>
              <w:t xml:space="preserve">Fecha de publicación</w:t>
            </w:r>
          </w:p>
        </w:tc>
        <w:tc>
          <w:tcPr/>
          <w:p>
            <w:pPr>
              <w:pStyle w:val="Compact"/>
            </w:pPr>
          </w:p>
        </w:tc>
        <w:tc>
          <w:tcPr/>
          <w:p>
            <w:pPr>
              <w:pStyle w:val="Compact"/>
            </w:pPr>
          </w:p>
        </w:tc>
        <w:tc>
          <w:tcPr/>
          <w:p>
            <w:pPr>
              <w:pStyle w:val="Compact"/>
            </w:pPr>
          </w:p>
        </w:tc>
      </w:tr>
    </w:tbl>
    <w:bookmarkEnd w:id="53"/>
    <w:bookmarkStart w:id="54" w:name="hoja-de-costos-de-capacitación"/>
    <w:p>
      <w:pPr>
        <w:pStyle w:val="Heading3"/>
      </w:pPr>
      <w:r>
        <w:t xml:space="preserve">Hoja de costos de capacitación</w:t>
      </w:r>
    </w:p>
    <w:tbl>
      <w:tblPr>
        <w:tblStyle w:val="Table"/>
        <w:tblW w:type="pct" w:w="5000"/>
        <w:tblLook w:firstRow="1" w:lastRow="0" w:firstColumn="0" w:lastColumn="0" w:noHBand="0" w:noVBand="0" w:val="0020"/>
        <w:jc w:val="start"/>
      </w:tblPr>
      <w:tblGrid>
        <w:gridCol w:w="1827"/>
        <w:gridCol w:w="2436"/>
        <w:gridCol w:w="1827"/>
        <w:gridCol w:w="1827"/>
      </w:tblGrid>
      <w:tr>
        <w:trPr>
          <w:tblHeader w:val="true"/>
        </w:trPr>
        <w:tc>
          <w:tcPr/>
          <w:p>
            <w:pPr>
              <w:pStyle w:val="Compact"/>
              <w:jc w:val="left"/>
            </w:pPr>
            <w:r>
              <w:t xml:space="preserve">Categoría de costo</w:t>
            </w:r>
          </w:p>
        </w:tc>
        <w:tc>
          <w:tcPr/>
          <w:p>
            <w:pPr>
              <w:pStyle w:val="Compact"/>
              <w:jc w:val="right"/>
            </w:pPr>
            <w:r>
              <w:t xml:space="preserve">Estimación</w:t>
            </w:r>
          </w:p>
        </w:tc>
        <w:tc>
          <w:tcPr/>
          <w:p>
            <w:pPr>
              <w:pStyle w:val="Compact"/>
              <w:jc w:val="left"/>
            </w:pPr>
            <w:r>
              <w:t xml:space="preserve">¿Quién puede pagar?</w:t>
            </w:r>
          </w:p>
        </w:tc>
        <w:tc>
          <w:tcPr/>
          <w:p>
            <w:pPr>
              <w:pStyle w:val="Compact"/>
              <w:jc w:val="left"/>
            </w:pPr>
            <w:r>
              <w:t xml:space="preserve">Fuente/fecha verificada</w:t>
            </w:r>
          </w:p>
        </w:tc>
      </w:tr>
      <w:tr>
        <w:tc>
          <w:tcPr/>
          <w:p>
            <w:pPr>
              <w:pStyle w:val="Compact"/>
              <w:jc w:val="left"/>
            </w:pPr>
            <w:r>
              <w:t xml:space="preserve">Matrícula y tasas</w:t>
            </w:r>
          </w:p>
        </w:tc>
        <w:tc>
          <w:tcPr/>
          <w:p>
            <w:pPr>
              <w:pStyle w:val="Compact"/>
            </w:pPr>
          </w:p>
        </w:tc>
        <w:tc>
          <w:tcPr/>
          <w:p>
            <w:pPr>
              <w:pStyle w:val="Compact"/>
            </w:pPr>
          </w:p>
        </w:tc>
        <w:tc>
          <w:tcPr/>
          <w:p>
            <w:pPr>
              <w:pStyle w:val="Compact"/>
            </w:pPr>
          </w:p>
        </w:tc>
      </w:tr>
      <w:tr>
        <w:tc>
          <w:tcPr/>
          <w:p>
            <w:pPr>
              <w:pStyle w:val="Compact"/>
              <w:jc w:val="left"/>
            </w:pPr>
            <w:r>
              <w:t xml:space="preserve">Libros y software</w:t>
            </w:r>
          </w:p>
        </w:tc>
        <w:tc>
          <w:tcPr/>
          <w:p>
            <w:pPr>
              <w:pStyle w:val="Compact"/>
            </w:pPr>
          </w:p>
        </w:tc>
        <w:tc>
          <w:tcPr/>
          <w:p>
            <w:pPr>
              <w:pStyle w:val="Compact"/>
            </w:pPr>
          </w:p>
        </w:tc>
        <w:tc>
          <w:tcPr/>
          <w:p>
            <w:pPr>
              <w:pStyle w:val="Compact"/>
            </w:pPr>
          </w:p>
        </w:tc>
      </w:tr>
      <w:tr>
        <w:tc>
          <w:tcPr/>
          <w:p>
            <w:pPr>
              <w:pStyle w:val="Compact"/>
              <w:jc w:val="left"/>
            </w:pPr>
            <w:r>
              <w:t xml:space="preserve">Exámenes o credenciales</w:t>
            </w:r>
          </w:p>
        </w:tc>
        <w:tc>
          <w:tcPr/>
          <w:p>
            <w:pPr>
              <w:pStyle w:val="Compact"/>
            </w:pPr>
          </w:p>
        </w:tc>
        <w:tc>
          <w:tcPr/>
          <w:p>
            <w:pPr>
              <w:pStyle w:val="Compact"/>
            </w:pPr>
          </w:p>
        </w:tc>
        <w:tc>
          <w:tcPr/>
          <w:p>
            <w:pPr>
              <w:pStyle w:val="Compact"/>
            </w:pPr>
          </w:p>
        </w:tc>
      </w:tr>
      <w:tr>
        <w:tc>
          <w:tcPr/>
          <w:p>
            <w:pPr>
              <w:pStyle w:val="Compact"/>
              <w:jc w:val="left"/>
            </w:pPr>
            <w:r>
              <w:t xml:space="preserve">Equipos e internet</w:t>
            </w:r>
          </w:p>
        </w:tc>
        <w:tc>
          <w:tcPr/>
          <w:p>
            <w:pPr>
              <w:pStyle w:val="Compact"/>
            </w:pPr>
          </w:p>
        </w:tc>
        <w:tc>
          <w:tcPr/>
          <w:p>
            <w:pPr>
              <w:pStyle w:val="Compact"/>
            </w:pPr>
          </w:p>
        </w:tc>
        <w:tc>
          <w:tcPr/>
          <w:p>
            <w:pPr>
              <w:pStyle w:val="Compact"/>
            </w:pPr>
          </w:p>
        </w:tc>
      </w:tr>
      <w:tr>
        <w:tc>
          <w:tcPr/>
          <w:p>
            <w:pPr>
              <w:pStyle w:val="Compact"/>
              <w:jc w:val="left"/>
            </w:pPr>
            <w:r>
              <w:t xml:space="preserve">Transporte</w:t>
            </w:r>
          </w:p>
        </w:tc>
        <w:tc>
          <w:tcPr/>
          <w:p>
            <w:pPr>
              <w:pStyle w:val="Compact"/>
            </w:pPr>
          </w:p>
        </w:tc>
        <w:tc>
          <w:tcPr/>
          <w:p>
            <w:pPr>
              <w:pStyle w:val="Compact"/>
            </w:pPr>
          </w:p>
        </w:tc>
        <w:tc>
          <w:tcPr/>
          <w:p>
            <w:pPr>
              <w:pStyle w:val="Compact"/>
            </w:pPr>
          </w:p>
        </w:tc>
      </w:tr>
      <w:tr>
        <w:tc>
          <w:tcPr/>
          <w:p>
            <w:pPr>
              <w:pStyle w:val="Compact"/>
              <w:jc w:val="left"/>
            </w:pPr>
            <w:r>
              <w:t xml:space="preserve">Cuidado infantil o de mayores</w:t>
            </w:r>
          </w:p>
        </w:tc>
        <w:tc>
          <w:tcPr/>
          <w:p>
            <w:pPr>
              <w:pStyle w:val="Compact"/>
            </w:pPr>
          </w:p>
        </w:tc>
        <w:tc>
          <w:tcPr/>
          <w:p>
            <w:pPr>
              <w:pStyle w:val="Compact"/>
            </w:pPr>
          </w:p>
        </w:tc>
        <w:tc>
          <w:tcPr/>
          <w:p>
            <w:pPr>
              <w:pStyle w:val="Compact"/>
            </w:pPr>
          </w:p>
        </w:tc>
      </w:tr>
      <w:tr>
        <w:tc>
          <w:tcPr/>
          <w:p>
            <w:pPr>
              <w:pStyle w:val="Compact"/>
              <w:jc w:val="left"/>
            </w:pPr>
            <w:r>
              <w:t xml:space="preserve">Salarios no percibidos</w:t>
            </w:r>
          </w:p>
        </w:tc>
        <w:tc>
          <w:tcPr/>
          <w:p>
            <w:pPr>
              <w:pStyle w:val="Compact"/>
            </w:pPr>
          </w:p>
        </w:tc>
        <w:tc>
          <w:tcPr/>
          <w:p>
            <w:pPr>
              <w:pStyle w:val="Compact"/>
            </w:pPr>
          </w:p>
        </w:tc>
        <w:tc>
          <w:tcPr/>
          <w:p>
            <w:pPr>
              <w:pStyle w:val="Compact"/>
            </w:pPr>
          </w:p>
        </w:tc>
      </w:tr>
      <w:tr>
        <w:tc>
          <w:tcPr/>
          <w:p>
            <w:pPr>
              <w:pStyle w:val="Compact"/>
              <w:jc w:val="left"/>
            </w:pPr>
            <w:r>
              <w:t xml:space="preserve">Otros costos</w:t>
            </w:r>
          </w:p>
        </w:tc>
        <w:tc>
          <w:tcPr/>
          <w:p>
            <w:pPr>
              <w:pStyle w:val="Compact"/>
            </w:pPr>
          </w:p>
        </w:tc>
        <w:tc>
          <w:tcPr/>
          <w:p>
            <w:pPr>
              <w:pStyle w:val="Compact"/>
            </w:pPr>
          </w:p>
        </w:tc>
        <w:tc>
          <w:tcPr/>
          <w:p>
            <w:pPr>
              <w:pStyle w:val="Compact"/>
            </w:pPr>
          </w:p>
        </w:tc>
      </w:tr>
    </w:tbl>
    <w:bookmarkEnd w:id="54"/>
    <w:bookmarkStart w:id="55" w:name="hoja-de-educación-del-empleador"/>
    <w:p>
      <w:pPr>
        <w:pStyle w:val="Heading3"/>
      </w:pPr>
      <w:r>
        <w:t xml:space="preserve">Hoja de educación del empleador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Pregunta</w:t>
            </w:r>
          </w:p>
        </w:tc>
        <w:tc>
          <w:tcPr/>
          <w:p>
            <w:pPr>
              <w:pStyle w:val="Compact"/>
              <w:jc w:val="left"/>
            </w:pPr>
            <w:r>
              <w:t xml:space="preserve">Respuesta por escrito</w:t>
            </w:r>
          </w:p>
        </w:tc>
      </w:tr>
      <w:tr>
        <w:tc>
          <w:tcPr/>
          <w:p>
            <w:pPr>
              <w:pStyle w:val="Compact"/>
              <w:jc w:val="left"/>
            </w:pPr>
            <w:r>
              <w:t xml:space="preserve">¿Qué se cubre?</w:t>
            </w:r>
          </w:p>
        </w:tc>
        <w:tc>
          <w:tcPr/>
          <w:p>
            <w:pPr>
              <w:pStyle w:val="Compact"/>
            </w:pPr>
          </w:p>
        </w:tc>
      </w:tr>
      <w:tr>
        <w:tc>
          <w:tcPr/>
          <w:p>
            <w:pPr>
              <w:pStyle w:val="Compact"/>
              <w:jc w:val="left"/>
            </w:pPr>
            <w:r>
              <w:t xml:space="preserve">¿Pago directo o reembolso?</w:t>
            </w:r>
          </w:p>
        </w:tc>
        <w:tc>
          <w:tcPr/>
          <w:p>
            <w:pPr>
              <w:pStyle w:val="Compact"/>
            </w:pPr>
          </w:p>
        </w:tc>
      </w:tr>
      <w:tr>
        <w:tc>
          <w:tcPr/>
          <w:p>
            <w:pPr>
              <w:pStyle w:val="Compact"/>
              <w:jc w:val="left"/>
            </w:pPr>
            <w:r>
              <w:t xml:space="preserve">¿Requisito de nota o finalización?</w:t>
            </w:r>
          </w:p>
        </w:tc>
        <w:tc>
          <w:tcPr/>
          <w:p>
            <w:pPr>
              <w:pStyle w:val="Compact"/>
            </w:pPr>
          </w:p>
        </w:tc>
      </w:tr>
      <w:tr>
        <w:tc>
          <w:tcPr/>
          <w:p>
            <w:pPr>
              <w:pStyle w:val="Compact"/>
              <w:jc w:val="left"/>
            </w:pPr>
            <w:r>
              <w:t xml:space="preserve">¿Período de empleo obligatorio?</w:t>
            </w:r>
          </w:p>
        </w:tc>
        <w:tc>
          <w:tcPr/>
          <w:p>
            <w:pPr>
              <w:pStyle w:val="Compact"/>
            </w:pPr>
          </w:p>
        </w:tc>
      </w:tr>
      <w:tr>
        <w:tc>
          <w:tcPr/>
          <w:p>
            <w:pPr>
              <w:pStyle w:val="Compact"/>
              <w:jc w:val="left"/>
            </w:pPr>
            <w:r>
              <w:t xml:space="preserve">¿Fórmula de reembolso proporcional?</w:t>
            </w:r>
          </w:p>
        </w:tc>
        <w:tc>
          <w:tcPr/>
          <w:p>
            <w:pPr>
              <w:pStyle w:val="Compact"/>
            </w:pPr>
          </w:p>
        </w:tc>
      </w:tr>
      <w:tr>
        <w:tc>
          <w:tcPr/>
          <w:p>
            <w:pPr>
              <w:pStyle w:val="Compact"/>
              <w:jc w:val="left"/>
            </w:pPr>
            <w:r>
              <w:t xml:space="preserve">¿Tratamiento de despido/eliminación del puesto?</w:t>
            </w:r>
          </w:p>
        </w:tc>
        <w:tc>
          <w:tcPr/>
          <w:p>
            <w:pPr>
              <w:pStyle w:val="Compact"/>
            </w:pPr>
          </w:p>
        </w:tc>
      </w:tr>
      <w:tr>
        <w:tc>
          <w:tcPr/>
          <w:p>
            <w:pPr>
              <w:pStyle w:val="Compact"/>
              <w:jc w:val="left"/>
            </w:pPr>
            <w:r>
              <w:t xml:space="preserve">¿Tratamiento de discapacidad/servicio militar/jubilación/transferencia?</w:t>
            </w:r>
          </w:p>
        </w:tc>
        <w:tc>
          <w:tcPr/>
          <w:p>
            <w:pPr>
              <w:pStyle w:val="Compact"/>
            </w:pPr>
          </w:p>
        </w:tc>
      </w:tr>
      <w:tr>
        <w:tc>
          <w:tcPr/>
          <w:p>
            <w:pPr>
              <w:pStyle w:val="Compact"/>
              <w:jc w:val="left"/>
            </w:pPr>
            <w:r>
              <w:t xml:space="preserve">¿Autoridad para deducir del salario final?</w:t>
            </w:r>
          </w:p>
        </w:tc>
        <w:tc>
          <w:tcPr/>
          <w:p>
            <w:pPr>
              <w:pStyle w:val="Compact"/>
            </w:pPr>
          </w:p>
        </w:tc>
      </w:tr>
      <w:tr>
        <w:tc>
          <w:tcPr/>
          <w:p>
            <w:pPr>
              <w:pStyle w:val="Compact"/>
              <w:jc w:val="left"/>
            </w:pPr>
            <w:r>
              <w:t xml:space="preserve">¿Quién es propietario de la credencial y los registros?</w:t>
            </w:r>
          </w:p>
        </w:tc>
        <w:tc>
          <w:tcPr/>
          <w:p>
            <w:pPr>
              <w:pStyle w:val="Compact"/>
            </w:pPr>
          </w:p>
        </w:tc>
      </w:tr>
    </w:tbl>
    <w:bookmarkEnd w:id="55"/>
    <w:bookmarkEnd w:id="56"/>
    <w:bookmarkStart w:id="60" w:name="fuentes-versión-y-mantenimiento"/>
    <w:p>
      <w:pPr>
        <w:pStyle w:val="Heading2"/>
      </w:pPr>
      <w:r>
        <w:t xml:space="preserve">19. Fuentes, versión y mantenimiento</w:t>
      </w:r>
    </w:p>
    <w:bookmarkStart w:id="57" w:name="fuentes-públicas-oficiales-y-primarias"/>
    <w:p>
      <w:pPr>
        <w:pStyle w:val="Heading3"/>
      </w:pPr>
      <w:r>
        <w:t xml:space="preserve">Fuentes públicas oficiales y primarias</w:t>
      </w:r>
    </w:p>
    <w:p>
      <w:pPr>
        <w:numPr>
          <w:ilvl w:val="0"/>
          <w:numId w:val="1019"/>
        </w:numPr>
        <w:pStyle w:val="Compact"/>
      </w:pPr>
      <w:r>
        <w:t xml:space="preserve">U.S. Bureau of Labor Statistics, datos salariales ocupacionales nacionales de mayo de 2025: https://www.bls.gov/news.release/ocwage.t01.htm</w:t>
      </w:r>
    </w:p>
    <w:p>
      <w:pPr>
        <w:numPr>
          <w:ilvl w:val="0"/>
          <w:numId w:val="1019"/>
        </w:numPr>
        <w:pStyle w:val="Compact"/>
      </w:pPr>
      <w:r>
        <w:t xml:space="preserve">U.S. Bureau of Labor Statistics, Information Clerks Occupational Outlook Handbook: https://www.bls.gov/ooh/office-and-administrative-support/information-clerks.htm</w:t>
      </w:r>
    </w:p>
    <w:p>
      <w:pPr>
        <w:numPr>
          <w:ilvl w:val="0"/>
          <w:numId w:val="1019"/>
        </w:numPr>
        <w:pStyle w:val="Compact"/>
      </w:pPr>
      <w:r>
        <w:t xml:space="preserve">U.S. Bureau of Labor Statistics, Occupational Projections and Worker Characteristics: https://www.bls.gov/emp/tables/occupational-projections-and-characteristics.htm</w:t>
      </w:r>
    </w:p>
    <w:p>
      <w:pPr>
        <w:numPr>
          <w:ilvl w:val="0"/>
          <w:numId w:val="1019"/>
        </w:numPr>
        <w:pStyle w:val="Compact"/>
      </w:pPr>
      <w:r>
        <w:t xml:space="preserve">Government of Canada Job Bank, resumen de Human Resources Assistant: https://www.jobbank.gc.ca/marketreport/summary-occupation/26969/ca</w:t>
      </w:r>
    </w:p>
    <w:p>
      <w:pPr>
        <w:numPr>
          <w:ilvl w:val="0"/>
          <w:numId w:val="1019"/>
        </w:numPr>
        <w:pStyle w:val="Compact"/>
      </w:pPr>
      <w:r>
        <w:t xml:space="preserve">Government of Canada Job Bank, salarios de Personnel Clerk: https://www.jobbank.gc.ca/marketreport/wages-occupation/26972/ca</w:t>
      </w:r>
    </w:p>
    <w:p>
      <w:pPr>
        <w:numPr>
          <w:ilvl w:val="0"/>
          <w:numId w:val="1019"/>
        </w:numPr>
        <w:pStyle w:val="Compact"/>
      </w:pPr>
      <w:r>
        <w:t xml:space="preserve">SENA Betowa, Técnico en Talento Humano: https://betowa.sena.edu.co/oferta/talento-humano?programId=224441</w:t>
      </w:r>
    </w:p>
    <w:p>
      <w:pPr>
        <w:numPr>
          <w:ilvl w:val="0"/>
          <w:numId w:val="1019"/>
        </w:numPr>
        <w:pStyle w:val="Compact"/>
      </w:pPr>
      <w:r>
        <w:t xml:space="preserve">SENA Betowa, Herramientas para la Gestión del Talento Humano: https://betowa.sena.edu.co/oferta/herramientas-para-la-gestion-del-talento-humano?programId=148534</w:t>
      </w:r>
    </w:p>
    <w:p>
      <w:pPr>
        <w:numPr>
          <w:ilvl w:val="0"/>
          <w:numId w:val="1019"/>
        </w:numPr>
        <w:pStyle w:val="Compact"/>
      </w:pPr>
      <w:r>
        <w:t xml:space="preserve">SENA Agencia Pública de Empleo: https://www.sena.edu.co/es-co/trabajo/Paginas/busqueEmpleo.aspx</w:t>
      </w:r>
    </w:p>
    <w:p>
      <w:pPr>
        <w:numPr>
          <w:ilvl w:val="0"/>
          <w:numId w:val="1019"/>
        </w:numPr>
        <w:pStyle w:val="Compact"/>
      </w:pPr>
      <w:r>
        <w:t xml:space="preserve">IRS, preguntas frecuentes de Section 127 actualizadas en abril de 2026: https://www.irs.gov/newsroom/irs-updates-frequently-asked-questions-about-section-127-educational-assistance-programs</w:t>
      </w:r>
    </w:p>
    <w:p>
      <w:pPr>
        <w:numPr>
          <w:ilvl w:val="0"/>
          <w:numId w:val="1019"/>
        </w:numPr>
        <w:pStyle w:val="Compact"/>
      </w:pPr>
      <w:r>
        <w:t xml:space="preserve">Apprenticeship.gov: https://www.apprenticeship.gov/</w:t>
      </w:r>
    </w:p>
    <w:p>
      <w:pPr>
        <w:numPr>
          <w:ilvl w:val="0"/>
          <w:numId w:val="1019"/>
        </w:numPr>
        <w:pStyle w:val="Compact"/>
      </w:pPr>
      <w:r>
        <w:t xml:space="preserve">U.S. Department of Education, información de acreditación: https://www.ed.gov/accreditation</w:t>
      </w:r>
    </w:p>
    <w:p>
      <w:pPr>
        <w:numPr>
          <w:ilvl w:val="0"/>
          <w:numId w:val="1019"/>
        </w:numPr>
        <w:pStyle w:val="Compact"/>
      </w:pPr>
      <w:r>
        <w:t xml:space="preserve">U.S. Equal Employment Opportunity Commission, recursos sobre discriminación por discapacidad: https://www.eeoc.gov/disability-discrimination</w:t>
      </w:r>
    </w:p>
    <w:bookmarkEnd w:id="57"/>
    <w:bookmarkStart w:id="58" w:name="X54cee6f65931aefd966dc10c6d0d6c5b7f00798"/>
    <w:p>
      <w:pPr>
        <w:pStyle w:val="Heading3"/>
      </w:pPr>
      <w:r>
        <w:t xml:space="preserve">Fuente actual no gubernamental del mercado</w:t>
      </w:r>
    </w:p>
    <w:p>
      <w:pPr>
        <w:numPr>
          <w:ilvl w:val="0"/>
          <w:numId w:val="1020"/>
        </w:numPr>
        <w:pStyle w:val="Compact"/>
      </w:pPr>
      <w:r>
        <w:t xml:space="preserve">Indeed, salario de Human Resources Assistant en Estados Unidos, actualizado el 20 de julio de 2026: https://www.indeed.com/career/human-resources-assistant/salaries</w:t>
      </w:r>
    </w:p>
    <w:bookmarkEnd w:id="58"/>
    <w:bookmarkStart w:id="59" w:name="reglas-de-mantenimiento"/>
    <w:p>
      <w:pPr>
        <w:pStyle w:val="Heading3"/>
      </w:pPr>
      <w:r>
        <w:t xml:space="preserve">Reglas de mantenimiento</w:t>
      </w:r>
    </w:p>
    <w:p>
      <w:pPr>
        <w:numPr>
          <w:ilvl w:val="0"/>
          <w:numId w:val="1021"/>
        </w:numPr>
        <w:pStyle w:val="Compact"/>
      </w:pPr>
      <w:r>
        <w:t xml:space="preserve">Vuelva a verificar salarios, perspectivas, impuestos, capacitación, aprendizaje y enlaces antes de publicar y por lo menos una vez al año posteriormente.</w:t>
      </w:r>
    </w:p>
    <w:p>
      <w:pPr>
        <w:numPr>
          <w:ilvl w:val="0"/>
          <w:numId w:val="1021"/>
        </w:numPr>
        <w:pStyle w:val="Compact"/>
      </w:pPr>
      <w:r>
        <w:t xml:space="preserve">Mantenga las estadísticas oficiales separadas de las estimaciones no gubernamentales del mercado.</w:t>
      </w:r>
    </w:p>
    <w:p>
      <w:pPr>
        <w:numPr>
          <w:ilvl w:val="0"/>
          <w:numId w:val="1021"/>
        </w:numPr>
        <w:pStyle w:val="Compact"/>
      </w:pPr>
      <w:r>
        <w:t xml:space="preserve">Registre períodos de referencia y fechas de actualización cuando estén disponibles.</w:t>
      </w:r>
    </w:p>
    <w:p>
      <w:pPr>
        <w:numPr>
          <w:ilvl w:val="0"/>
          <w:numId w:val="1021"/>
        </w:numPr>
        <w:pStyle w:val="Compact"/>
      </w:pPr>
      <w:r>
        <w:t xml:space="preserve">Marque la información que depende de la jurisdicción para verificación local en lugar de adivinar.</w:t>
      </w:r>
    </w:p>
    <w:p>
      <w:pPr>
        <w:numPr>
          <w:ilvl w:val="0"/>
          <w:numId w:val="1021"/>
        </w:numPr>
        <w:pStyle w:val="Compact"/>
      </w:pPr>
      <w:r>
        <w:t xml:space="preserve">Corrija enlaces rotos, barreras de accesibilidad, errores factuales o rutas desactualizadas mediante el proceso de corrección del proyecto.</w:t>
      </w:r>
    </w:p>
    <w:p>
      <w:pPr>
        <w:pStyle w:val="FirstParagraph"/>
      </w:pPr>
      <w:r>
        <w:rPr>
          <w:bCs/>
          <w:b/>
        </w:rPr>
        <w:t xml:space="preserve">Principio rector:</w:t>
      </w:r>
      <w:r>
        <w:t xml:space="preserve"> </w:t>
      </w:r>
      <w:r>
        <w:t xml:space="preserve">cuando la velocidad y la integridad entren en conflicto, gana la integridad. Cuando la confianza y la incertidumbre entren en conflicto, revele la incertidumbre. Cuando el interés de una institución entre en conflicto con proteger al lector, proteja al lector.</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2026-08-08T17:03:17Z</dcterms:created>
  <dcterms:modified xsi:type="dcterms:W3CDTF">2026-08-08T17:03:17Z</dcterms:modified>
</cp:coreProperties>
</file>

<file path=docProps/custom.xml><?xml version="1.0" encoding="utf-8"?>
<Properties xmlns="http://schemas.openxmlformats.org/officeDocument/2006/custom-properties" xmlns:vt="http://schemas.openxmlformats.org/officeDocument/2006/docPropsVTypes"/>
</file>