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1" w:name="Xd6660df7ded125e3d366c5bf50f5fdf71753df5"/>
    <w:p>
      <w:pPr>
        <w:pStyle w:val="Heading1"/>
      </w:pPr>
      <w:r>
        <w:t xml:space="preserve">Guia de Oportunidades ao Longo da Vida 08 — Assistente de Recursos Humanos</w:t>
      </w:r>
    </w:p>
    <w:p>
      <w:pPr>
        <w:pStyle w:val="FirstParagraph"/>
      </w:pPr>
      <w:r>
        <w:rPr>
          <w:bCs/>
          <w:b/>
        </w:rPr>
        <w:t xml:space="preserve">Candidata controlada de publicação pt-BR da revisão de 2026</w:t>
      </w:r>
      <w:r>
        <w:br/>
      </w:r>
      <w:r>
        <w:t xml:space="preserve">Versão 2.0 • agosto de 2026</w:t>
      </w:r>
      <w:r>
        <w:br/>
      </w:r>
      <w:r>
        <w:t xml:space="preserve">Criado e dirigido por Alberto (Al) Leiva</w:t>
      </w:r>
      <w:r>
        <w:br/>
      </w:r>
      <w:r>
        <w:t xml:space="preserve">Pesquisa, organização, edição e preparação documental assistidas por ChatGPT, OpenAI</w:t>
      </w:r>
    </w:p>
    <w:p>
      <w:pPr>
        <w:pStyle w:val="BlockText"/>
      </w:pPr>
      <w:r>
        <w:rPr>
          <w:bCs/>
          <w:b/>
        </w:rPr>
        <w:t xml:space="preserve">Status controlado:</w:t>
      </w:r>
      <w:r>
        <w:t xml:space="preserve"> </w:t>
      </w:r>
      <w:r>
        <w:t xml:space="preserve">Esta é a candidata controlada de publicação pt-BR de 2026, localizada com assistência de IA a partir da fonte inglesa congelada. Ela passou pelas etapas documentadas de pesquisa, edição, rastreabilidade de afirmações, congelamento da fonte, localização, paridade, QA técnico, DOCX, PDF, metadados, renderização e QA de publicação. Não constitui certificação humana independente, certificação profissional de tradução, certificação de acessibilidade, acreditação, revisão jurídica nem garantia de resultados.</w:t>
      </w:r>
    </w:p>
    <w:bookmarkStart w:id="20" w:name="a-promessa-deste-guia"/>
    <w:p>
      <w:pPr>
        <w:pStyle w:val="Heading2"/>
      </w:pPr>
      <w:r>
        <w:t xml:space="preserve">A promessa deste guia</w:t>
      </w:r>
    </w:p>
    <w:p>
      <w:pPr>
        <w:pStyle w:val="FirstParagraph"/>
      </w:pPr>
      <w:r>
        <w:t xml:space="preserve">Este guia não promete que o trabalho de Assistente de Recursos Humanos seja adequado para todas as pessoas, que o treinamento seja gratuito, que uma credencial leve a um emprego nem que determinado salário esteja disponível em toda localidade. Seu objetivo é ajudar o leitor a entender o trabalho, comparar caminhos de aprendizagem acessíveis, proteger informações sensíveis, reconhecer limites da função, preparar-se para automação e IA e verificar requisitos locais antes de gastar dinheiro ou aceitar uma obrigação de emprego ou reembolso.</w:t>
      </w:r>
    </w:p>
    <w:bookmarkEnd w:id="20"/>
    <w:bookmarkStart w:id="21" w:name="por-que-este-guia-existe"/>
    <w:p>
      <w:pPr>
        <w:pStyle w:val="Heading2"/>
      </w:pPr>
      <w:r>
        <w:t xml:space="preserve">Por que este guia existe</w:t>
      </w:r>
    </w:p>
    <w:p>
      <w:pPr>
        <w:pStyle w:val="FirstParagraph"/>
      </w:pPr>
      <w:r>
        <w:t xml:space="preserve">Os Guias de Oportunidades ao Longo da Vida foram criados para tornar a exploração de carreira mais acessível a pessoas que podem enfrentar barreiras relacionadas a idade, deficiência, renda, geografia, idioma, responsabilidades de cuidado ou histórico profissional não tradicional. O apoio em recursos humanos pode ser uma porta de entrada para recrutamento, integração, registros de empregados, administração de benefícios, coordenação de treinamento, operações de RH, apoio a people analytics e outras atividades administrativas. A função também exige grande responsabilidade porque erros podem afetar pagamento, benefícios, privacidade, registros de emprego, direitos no trabalho e confiança.</w:t>
      </w:r>
    </w:p>
    <w:bookmarkEnd w:id="21"/>
    <w:bookmarkStart w:id="22" w:name="reconhecimento-da-assistência-de-ia"/>
    <w:p>
      <w:pPr>
        <w:pStyle w:val="Heading2"/>
      </w:pPr>
      <w:r>
        <w:t xml:space="preserve">Reconhecimento da assistência de IA</w:t>
      </w:r>
    </w:p>
    <w:p>
      <w:pPr>
        <w:pStyle w:val="FirstParagraph"/>
      </w:pPr>
      <w:r>
        <w:t xml:space="preserve">Alberto (Al) Leiva concebeu e dirige este projeto e continua responsável pelo guia. O ChatGPT da OpenAI foi utilizado como ferramenta de apoio para pesquisa, organização, edição e preparação documental. A assistência de IA não é certificação humana independente, certificação profissional de tradução, acreditação, revisão jurídica, aconselhamento tributário, aconselhamento de direito do trabalho, certificação de acessibilidade nem substituto de fontes oficiais atuais e julgamento humano qualificado.</w:t>
      </w:r>
    </w:p>
    <w:bookmarkEnd w:id="22"/>
    <w:bookmarkStart w:id="23" w:name="limites-éticos-e-práticos"/>
    <w:p>
      <w:pPr>
        <w:pStyle w:val="Heading2"/>
      </w:pPr>
      <w:r>
        <w:t xml:space="preserve">Limites éticos e práticos</w:t>
      </w:r>
    </w:p>
    <w:p>
      <w:pPr>
        <w:pStyle w:val="FirstParagraph"/>
      </w:pPr>
      <w:r>
        <w:t xml:space="preserve">Este guia oferece informações gerais de educação e navegação profissional. Não fornece aconselhamento individualizado jurídico, tributário, de benefícios, imigração, médico, de saúde mental, financeiro, de relações trabalhistas, adaptações, folha de pagamento ou licenciamento. As funções e a autoridade de recursos humanos variam conforme empregador, jurisdição, setor, sindicato ou acordo coletivo, contrato, regime de privacidade, sistema de folha, plano de benefícios e política interna. Verifique fatos de alto impacto com a autoridade responsável vigente ou profissional qualificado antes de assumir compromisso financeiro, educacional, profissional ou jurídico.</w:t>
      </w:r>
    </w:p>
    <w:p>
      <w:r>
        <w:pict>
          <v:rect style="width:0;height:1.5pt" o:hralign="center" o:hrstd="t" o:hr="t"/>
        </w:pict>
      </w:r>
    </w:p>
    <w:bookmarkEnd w:id="23"/>
    <w:bookmarkStart w:id="24" w:name="como-usar-este-guia"/>
    <w:p>
      <w:pPr>
        <w:pStyle w:val="Heading2"/>
      </w:pPr>
      <w:r>
        <w:t xml:space="preserve">1. Como usar este guia</w:t>
      </w:r>
    </w:p>
    <w:p>
      <w:pPr>
        <w:pStyle w:val="FirstParagraph"/>
      </w:pPr>
      <w:r>
        <w:t xml:space="preserve">Comece pelo trabalho, não por uma escola ou fornecedor de credenciais.</w:t>
      </w:r>
    </w:p>
    <w:p>
      <w:pPr>
        <w:numPr>
          <w:ilvl w:val="0"/>
          <w:numId w:val="1001"/>
        </w:numPr>
        <w:pStyle w:val="Compact"/>
      </w:pPr>
      <w:r>
        <w:t xml:space="preserve">Identifique os títulos exatos usados pelos empregadores onde você vive:</w:t>
      </w:r>
      <w:r>
        <w:t xml:space="preserve"> </w:t>
      </w:r>
      <w:r>
        <w:rPr>
          <w:rStyle w:val="VerbatimChar"/>
        </w:rPr>
        <w:t xml:space="preserve">Human Resources Assistant</w:t>
      </w:r>
      <w:r>
        <w:t xml:space="preserve">,</w:t>
      </w:r>
      <w:r>
        <w:t xml:space="preserve"> </w:t>
      </w:r>
      <w:r>
        <w:rPr>
          <w:rStyle w:val="VerbatimChar"/>
        </w:rPr>
        <w:t xml:space="preserve">HR Assistant</w:t>
      </w:r>
      <w:r>
        <w:t xml:space="preserve">,</w:t>
      </w:r>
      <w:r>
        <w:t xml:space="preserve"> </w:t>
      </w:r>
      <w:r>
        <w:rPr>
          <w:rStyle w:val="VerbatimChar"/>
        </w:rPr>
        <w:t xml:space="preserve">Personnel Clerk</w:t>
      </w:r>
      <w:r>
        <w:t xml:space="preserve">,</w:t>
      </w:r>
      <w:r>
        <w:t xml:space="preserve"> </w:t>
      </w:r>
      <w:r>
        <w:rPr>
          <w:rStyle w:val="VerbatimChar"/>
        </w:rPr>
        <w:t xml:space="preserve">HR Coordinator</w:t>
      </w:r>
      <w:r>
        <w:t xml:space="preserve">,</w:t>
      </w:r>
      <w:r>
        <w:t xml:space="preserve"> </w:t>
      </w:r>
      <w:r>
        <w:rPr>
          <w:rStyle w:val="VerbatimChar"/>
        </w:rPr>
        <w:t xml:space="preserve">Recruiting Coordinator</w:t>
      </w:r>
      <w:r>
        <w:t xml:space="preserve">,</w:t>
      </w:r>
      <w:r>
        <w:t xml:space="preserve"> </w:t>
      </w:r>
      <w:r>
        <w:rPr>
          <w:rStyle w:val="VerbatimChar"/>
        </w:rPr>
        <w:t xml:space="preserve">People Operations Assistant</w:t>
      </w:r>
      <w:r>
        <w:t xml:space="preserve">,</w:t>
      </w:r>
      <w:r>
        <w:t xml:space="preserve"> </w:t>
      </w:r>
      <w:r>
        <w:rPr>
          <w:rStyle w:val="VerbatimChar"/>
        </w:rPr>
        <w:t xml:space="preserve">assistente de recursos humanos</w:t>
      </w:r>
      <w:r>
        <w:t xml:space="preserve">,</w:t>
      </w:r>
      <w:r>
        <w:t xml:space="preserve"> </w:t>
      </w:r>
      <w:r>
        <w:rPr>
          <w:rStyle w:val="VerbatimChar"/>
        </w:rPr>
        <w:t xml:space="preserve">auxiliar de recursos humanos</w:t>
      </w:r>
      <w:r>
        <w:t xml:space="preserve"> </w:t>
      </w:r>
      <w:r>
        <w:t xml:space="preserve">ou equivalentes locais.</w:t>
      </w:r>
    </w:p>
    <w:p>
      <w:pPr>
        <w:numPr>
          <w:ilvl w:val="0"/>
          <w:numId w:val="1001"/>
        </w:numPr>
        <w:pStyle w:val="Compact"/>
      </w:pPr>
      <w:r>
        <w:t xml:space="preserve">Separe apoio administrativo de trabalho que exige julgamento profissional, interpretação jurídica, atividade licenciada ou autoridade delegada.</w:t>
      </w:r>
    </w:p>
    <w:p>
      <w:pPr>
        <w:numPr>
          <w:ilvl w:val="0"/>
          <w:numId w:val="1001"/>
        </w:numPr>
        <w:pStyle w:val="Compact"/>
      </w:pPr>
      <w:r>
        <w:t xml:space="preserve">Analise vagas locais atuais antes de pagar por treinamento.</w:t>
      </w:r>
    </w:p>
    <w:p>
      <w:pPr>
        <w:numPr>
          <w:ilvl w:val="0"/>
          <w:numId w:val="1001"/>
        </w:numPr>
        <w:pStyle w:val="Compact"/>
      </w:pPr>
      <w:r>
        <w:t xml:space="preserve">Compare o custo total do caminho, não apenas a mensalidade. Inclua livros, software, exames, transporte, cuidado infantil, redução de horas de trabalho, internet, equipamentos e obrigações de reembolso.</w:t>
      </w:r>
    </w:p>
    <w:p>
      <w:pPr>
        <w:numPr>
          <w:ilvl w:val="0"/>
          <w:numId w:val="1001"/>
        </w:numPr>
        <w:pStyle w:val="Compact"/>
      </w:pPr>
      <w:r>
        <w:t xml:space="preserve">Priorize aprendizado gratuito ou financiado pelo empregador quando realmente atender ao próximo requisito verificado.</w:t>
      </w:r>
    </w:p>
    <w:p>
      <w:pPr>
        <w:numPr>
          <w:ilvl w:val="0"/>
          <w:numId w:val="1001"/>
        </w:numPr>
        <w:pStyle w:val="Compact"/>
      </w:pPr>
      <w:r>
        <w:t xml:space="preserve">Pare quando um fornecedor prometer emprego, esconder o custo total ou regras de reembolso, pressionar por pagamento imediato ou apresentar uma credencial privada opcional como legalmente obrigatória quando não é.</w:t>
      </w:r>
    </w:p>
    <w:bookmarkEnd w:id="24"/>
    <w:bookmarkStart w:id="25" w:name="o-que-é-o-trabalho"/>
    <w:p>
      <w:pPr>
        <w:pStyle w:val="Heading2"/>
      </w:pPr>
      <w:r>
        <w:t xml:space="preserve">2. O que é o trabalho</w:t>
      </w:r>
    </w:p>
    <w:p>
      <w:pPr>
        <w:pStyle w:val="FirstParagraph"/>
      </w:pPr>
      <w:r>
        <w:t xml:space="preserve">Assistentes de recursos humanos e empregados de pessoal apoiam a parte administrativa do emprego. Dependendo da organização, podem:</w:t>
      </w:r>
    </w:p>
    <w:p>
      <w:pPr>
        <w:numPr>
          <w:ilvl w:val="0"/>
          <w:numId w:val="1002"/>
        </w:numPr>
        <w:pStyle w:val="Compact"/>
      </w:pPr>
      <w:r>
        <w:t xml:space="preserve">criar, atualizar e manter registros de empregados e candidatos;</w:t>
      </w:r>
    </w:p>
    <w:p>
      <w:pPr>
        <w:numPr>
          <w:ilvl w:val="0"/>
          <w:numId w:val="1002"/>
        </w:numPr>
        <w:pStyle w:val="Compact"/>
      </w:pPr>
      <w:r>
        <w:t xml:space="preserve">apoiar recrutamento, agendamento de entrevistas, integração, orientação e desligamento;</w:t>
      </w:r>
    </w:p>
    <w:p>
      <w:pPr>
        <w:numPr>
          <w:ilvl w:val="0"/>
          <w:numId w:val="1002"/>
        </w:numPr>
        <w:pStyle w:val="Compact"/>
      </w:pPr>
      <w:r>
        <w:t xml:space="preserve">preparar cartas, formulários, relatórios, listas de verificação e atualizações de rotina;</w:t>
      </w:r>
    </w:p>
    <w:p>
      <w:pPr>
        <w:numPr>
          <w:ilvl w:val="0"/>
          <w:numId w:val="1002"/>
        </w:numPr>
        <w:pStyle w:val="Compact"/>
      </w:pPr>
      <w:r>
        <w:t xml:space="preserve">encaminhar documentação de benefícios, licenças, alterações de folha, treinamento ou adaptações a especialistas autorizados;</w:t>
      </w:r>
    </w:p>
    <w:p>
      <w:pPr>
        <w:numPr>
          <w:ilvl w:val="0"/>
          <w:numId w:val="1002"/>
        </w:numPr>
        <w:pStyle w:val="Compact"/>
      </w:pPr>
      <w:r>
        <w:t xml:space="preserve">responder perguntas aprovadas sobre processos sem oferecer interpretações jurídicas ou de políticas além de sua autoridade;</w:t>
      </w:r>
    </w:p>
    <w:p>
      <w:pPr>
        <w:numPr>
          <w:ilvl w:val="0"/>
          <w:numId w:val="1002"/>
        </w:numPr>
        <w:pStyle w:val="Compact"/>
      </w:pPr>
      <w:r>
        <w:t xml:space="preserve">apoiar verificações de antecedentes, credenciais, treinamento ou documentação de desempenho;</w:t>
      </w:r>
    </w:p>
    <w:p>
      <w:pPr>
        <w:numPr>
          <w:ilvl w:val="0"/>
          <w:numId w:val="1002"/>
        </w:numPr>
        <w:pStyle w:val="Compact"/>
      </w:pPr>
      <w:r>
        <w:t xml:space="preserve">manter sistemas de informação de recursos humanos e repositórios de documentos;</w:t>
      </w:r>
    </w:p>
    <w:p>
      <w:pPr>
        <w:numPr>
          <w:ilvl w:val="0"/>
          <w:numId w:val="1002"/>
        </w:numPr>
        <w:pStyle w:val="Compact"/>
      </w:pPr>
      <w:r>
        <w:t xml:space="preserve">monitorar prazos e informações ausentes; e</w:t>
      </w:r>
    </w:p>
    <w:p>
      <w:pPr>
        <w:numPr>
          <w:ilvl w:val="0"/>
          <w:numId w:val="1002"/>
        </w:numPr>
        <w:pStyle w:val="Compact"/>
      </w:pPr>
      <w:r>
        <w:t xml:space="preserve">escalar assuntos sensíveis ou regulados.</w:t>
      </w:r>
    </w:p>
    <w:p>
      <w:pPr>
        <w:pStyle w:val="FirstParagraph"/>
      </w:pPr>
      <w:r>
        <w:t xml:space="preserve">Nos Estados Unidos, o Bureau of Labor Statistics classifica</w:t>
      </w:r>
      <w:r>
        <w:t xml:space="preserve"> </w:t>
      </w:r>
      <w:r>
        <w:rPr>
          <w:bCs/>
          <w:b/>
        </w:rPr>
        <w:t xml:space="preserve">Human Resources Assistants, Except Payroll and Timekeeping</w:t>
      </w:r>
      <w:r>
        <w:t xml:space="preserve"> </w:t>
      </w:r>
      <w:r>
        <w:t xml:space="preserve">sob o SOC</w:t>
      </w:r>
      <w:r>
        <w:t xml:space="preserve"> </w:t>
      </w:r>
      <w:r>
        <w:rPr>
          <w:bCs/>
          <w:b/>
        </w:rPr>
        <w:t xml:space="preserve">43-4161</w:t>
      </w:r>
      <w:r>
        <w:t xml:space="preserve">. No Canadá, o Job Bank associa Human Resources Assistant a</w:t>
      </w:r>
      <w:r>
        <w:t xml:space="preserve"> </w:t>
      </w:r>
      <w:r>
        <w:rPr>
          <w:bCs/>
          <w:b/>
        </w:rPr>
        <w:t xml:space="preserve">Personnel clerks, NOC 14102</w:t>
      </w:r>
      <w:r>
        <w:t xml:space="preserve">. Os títulos não são perfeitamente equivalentes entre empregadores ou países; compare as tarefas e não dependa apenas do nome do cargo.</w:t>
      </w:r>
    </w:p>
    <w:bookmarkEnd w:id="25"/>
    <w:bookmarkStart w:id="28" w:name="tarefas-ferramentas-e-ciclos-de-trabalho"/>
    <w:p>
      <w:pPr>
        <w:pStyle w:val="Heading2"/>
      </w:pPr>
      <w:r>
        <w:t xml:space="preserve">3. Tarefas, ferramentas e ciclos de trabalho</w:t>
      </w:r>
    </w:p>
    <w:bookmarkStart w:id="26" w:name="tarefas-comuns"/>
    <w:p>
      <w:pPr>
        <w:pStyle w:val="Heading3"/>
      </w:pPr>
      <w:r>
        <w:t xml:space="preserve">Tarefas comuns</w:t>
      </w:r>
    </w:p>
    <w:p>
      <w:pPr>
        <w:pStyle w:val="FirstParagraph"/>
      </w:pPr>
      <w:r>
        <w:t xml:space="preserve">O trabalho de apoio em recursos humanos costuma envolver:</w:t>
      </w:r>
    </w:p>
    <w:p>
      <w:pPr>
        <w:numPr>
          <w:ilvl w:val="0"/>
          <w:numId w:val="1003"/>
        </w:numPr>
        <w:pStyle w:val="Compact"/>
      </w:pPr>
      <w:r>
        <w:t xml:space="preserve">sistemas de acompanhamento de candidatos;</w:t>
      </w:r>
    </w:p>
    <w:p>
      <w:pPr>
        <w:numPr>
          <w:ilvl w:val="0"/>
          <w:numId w:val="1003"/>
        </w:numPr>
        <w:pStyle w:val="Compact"/>
      </w:pPr>
      <w:r>
        <w:t xml:space="preserve">sistemas de informação de recursos humanos (HRIS);</w:t>
      </w:r>
    </w:p>
    <w:p>
      <w:pPr>
        <w:numPr>
          <w:ilvl w:val="0"/>
          <w:numId w:val="1003"/>
        </w:numPr>
        <w:pStyle w:val="Compact"/>
      </w:pPr>
      <w:r>
        <w:t xml:space="preserve">planilhas e ferramentas de gestão documental;</w:t>
      </w:r>
    </w:p>
    <w:p>
      <w:pPr>
        <w:numPr>
          <w:ilvl w:val="0"/>
          <w:numId w:val="1003"/>
        </w:numPr>
        <w:pStyle w:val="Compact"/>
      </w:pPr>
      <w:r>
        <w:t xml:space="preserve">e-mail, calendário, mensagens e sistemas de tickets;</w:t>
      </w:r>
    </w:p>
    <w:p>
      <w:pPr>
        <w:numPr>
          <w:ilvl w:val="0"/>
          <w:numId w:val="1003"/>
        </w:numPr>
        <w:pStyle w:val="Compact"/>
      </w:pPr>
      <w:r>
        <w:t xml:space="preserve">plataformas de integração e assinatura eletrônica;</w:t>
      </w:r>
    </w:p>
    <w:p>
      <w:pPr>
        <w:numPr>
          <w:ilvl w:val="0"/>
          <w:numId w:val="1003"/>
        </w:numPr>
        <w:pStyle w:val="Compact"/>
      </w:pPr>
      <w:r>
        <w:t xml:space="preserve">sistemas de gestão de aprendizagem;</w:t>
      </w:r>
    </w:p>
    <w:p>
      <w:pPr>
        <w:numPr>
          <w:ilvl w:val="0"/>
          <w:numId w:val="1003"/>
        </w:numPr>
        <w:pStyle w:val="Compact"/>
      </w:pPr>
      <w:r>
        <w:t xml:space="preserve">interfaces de benefícios e folha de pagamento;</w:t>
      </w:r>
    </w:p>
    <w:p>
      <w:pPr>
        <w:numPr>
          <w:ilvl w:val="0"/>
          <w:numId w:val="1003"/>
        </w:numPr>
        <w:pStyle w:val="Compact"/>
      </w:pPr>
      <w:r>
        <w:t xml:space="preserve">portais de verificação de antecedentes;</w:t>
      </w:r>
    </w:p>
    <w:p>
      <w:pPr>
        <w:numPr>
          <w:ilvl w:val="0"/>
          <w:numId w:val="1003"/>
        </w:numPr>
        <w:pStyle w:val="Compact"/>
      </w:pPr>
      <w:r>
        <w:t xml:space="preserve">painéis de relatórios; e</w:t>
      </w:r>
    </w:p>
    <w:p>
      <w:pPr>
        <w:numPr>
          <w:ilvl w:val="0"/>
          <w:numId w:val="1003"/>
        </w:numPr>
        <w:pStyle w:val="Compact"/>
      </w:pPr>
      <w:r>
        <w:t xml:space="preserve">ferramentas de produtividade com IA aprovadas quando a governança permitir.</w:t>
      </w:r>
    </w:p>
    <w:bookmarkEnd w:id="26"/>
    <w:bookmarkStart w:id="27" w:name="um-ciclo-de-trabalho-realista"/>
    <w:p>
      <w:pPr>
        <w:pStyle w:val="Heading3"/>
      </w:pPr>
      <w:r>
        <w:t xml:space="preserve">Um ciclo de trabalho realista</w:t>
      </w:r>
    </w:p>
    <w:p>
      <w:pPr>
        <w:numPr>
          <w:ilvl w:val="0"/>
          <w:numId w:val="1004"/>
        </w:numPr>
        <w:pStyle w:val="Compact"/>
      </w:pPr>
      <w:r>
        <w:t xml:space="preserve">Confirme a solicitação, a pessoa, o prazo, a autoridade e a sensibilidade.</w:t>
      </w:r>
    </w:p>
    <w:p>
      <w:pPr>
        <w:numPr>
          <w:ilvl w:val="0"/>
          <w:numId w:val="1004"/>
        </w:numPr>
        <w:pStyle w:val="Compact"/>
      </w:pPr>
      <w:r>
        <w:t xml:space="preserve">Use a política, formulário, sistema ou fluxo aprovado.</w:t>
      </w:r>
    </w:p>
    <w:p>
      <w:pPr>
        <w:numPr>
          <w:ilvl w:val="0"/>
          <w:numId w:val="1004"/>
        </w:numPr>
        <w:pStyle w:val="Compact"/>
      </w:pPr>
      <w:r>
        <w:t xml:space="preserve">Verifique identidade, completude, datas, aprovações e precisão dos dados.</w:t>
      </w:r>
    </w:p>
    <w:p>
      <w:pPr>
        <w:numPr>
          <w:ilvl w:val="0"/>
          <w:numId w:val="1004"/>
        </w:numPr>
        <w:pStyle w:val="Compact"/>
      </w:pPr>
      <w:r>
        <w:t xml:space="preserve">Encaminhe o item ao responsável correto quando julgamento ou autoridade regulada forem necessários.</w:t>
      </w:r>
    </w:p>
    <w:p>
      <w:pPr>
        <w:numPr>
          <w:ilvl w:val="0"/>
          <w:numId w:val="1004"/>
        </w:numPr>
        <w:pStyle w:val="Compact"/>
      </w:pPr>
      <w:r>
        <w:t xml:space="preserve">Comunique o status sem divulgar informações restritas.</w:t>
      </w:r>
    </w:p>
    <w:p>
      <w:pPr>
        <w:numPr>
          <w:ilvl w:val="0"/>
          <w:numId w:val="1004"/>
        </w:numPr>
        <w:pStyle w:val="Compact"/>
      </w:pPr>
      <w:r>
        <w:t xml:space="preserve">Registre a ação e retenha a documentação conforme a política.</w:t>
      </w:r>
    </w:p>
    <w:p>
      <w:pPr>
        <w:numPr>
          <w:ilvl w:val="0"/>
          <w:numId w:val="1004"/>
        </w:numPr>
        <w:pStyle w:val="Compact"/>
      </w:pPr>
      <w:r>
        <w:t xml:space="preserve">Escale preocupações relacionadas a discriminação, retaliação, assédio, salários, licenças, adaptações, segurança, fraude, privacidade ou relações com empregados.</w:t>
      </w:r>
    </w:p>
    <w:p>
      <w:pPr>
        <w:pStyle w:val="FirstParagraph"/>
      </w:pPr>
      <w:r>
        <w:t xml:space="preserve">Os procedimentos reais devem seguir a política do empregador, a lei aplicável, os controles do sistema, segregação de funções, supervisão e requisitos de retenção documental.</w:t>
      </w:r>
    </w:p>
    <w:bookmarkEnd w:id="27"/>
    <w:bookmarkEnd w:id="28"/>
    <w:bookmarkStart w:id="29" w:name="adequação-condições-e-segurança"/>
    <w:p>
      <w:pPr>
        <w:pStyle w:val="Heading2"/>
      </w:pPr>
      <w:r>
        <w:t xml:space="preserve">4. Adequação, condições e segurança</w:t>
      </w:r>
    </w:p>
    <w:p>
      <w:pPr>
        <w:pStyle w:val="FirstParagraph"/>
      </w:pPr>
      <w:r>
        <w:t xml:space="preserve">Pergunte a si mesmo:</w:t>
      </w:r>
    </w:p>
    <w:p>
      <w:pPr>
        <w:numPr>
          <w:ilvl w:val="0"/>
          <w:numId w:val="1005"/>
        </w:numPr>
        <w:pStyle w:val="Compact"/>
      </w:pPr>
      <w:r>
        <w:t xml:space="preserve">Consigo lidar com trabalho repetitivo de registros sem me tornar descuidado?</w:t>
      </w:r>
    </w:p>
    <w:p>
      <w:pPr>
        <w:numPr>
          <w:ilvl w:val="0"/>
          <w:numId w:val="1005"/>
        </w:numPr>
        <w:pStyle w:val="Compact"/>
      </w:pPr>
      <w:r>
        <w:t xml:space="preserve">Consigo alternar entre tarefas confidenciais e perguntas frequentes de empregados?</w:t>
      </w:r>
    </w:p>
    <w:p>
      <w:pPr>
        <w:numPr>
          <w:ilvl w:val="0"/>
          <w:numId w:val="1005"/>
        </w:numPr>
        <w:pStyle w:val="Compact"/>
      </w:pPr>
      <w:r>
        <w:t xml:space="preserve">Consigo permanecer neutro quando alguém está irritado, constrangido, com raiva ou com medo?</w:t>
      </w:r>
    </w:p>
    <w:p>
      <w:pPr>
        <w:numPr>
          <w:ilvl w:val="0"/>
          <w:numId w:val="1005"/>
        </w:numPr>
        <w:pStyle w:val="Compact"/>
      </w:pPr>
      <w:r>
        <w:t xml:space="preserve">Consigo proteger informações mesmo quando um gerente me pressiona por acesso?</w:t>
      </w:r>
    </w:p>
    <w:p>
      <w:pPr>
        <w:numPr>
          <w:ilvl w:val="0"/>
          <w:numId w:val="1005"/>
        </w:numPr>
        <w:pStyle w:val="Compact"/>
      </w:pPr>
      <w:r>
        <w:t xml:space="preserve">Consigo seguir um processo sem fingir que sei uma resposta que não sei?</w:t>
      </w:r>
    </w:p>
    <w:p>
      <w:pPr>
        <w:numPr>
          <w:ilvl w:val="0"/>
          <w:numId w:val="1005"/>
        </w:numPr>
        <w:pStyle w:val="Compact"/>
      </w:pPr>
      <w:r>
        <w:t xml:space="preserve">Consigo trabalhar com software e automação em mudança mantendo a lógica do negócio?</w:t>
      </w:r>
    </w:p>
    <w:p>
      <w:pPr>
        <w:numPr>
          <w:ilvl w:val="0"/>
          <w:numId w:val="1005"/>
        </w:numPr>
        <w:pStyle w:val="Compact"/>
      </w:pPr>
      <w:r>
        <w:t xml:space="preserve">O horário é compatível com transporte, cuidados familiares, deficiência, saúde ou responsabilidades da família?</w:t>
      </w:r>
    </w:p>
    <w:p>
      <w:pPr>
        <w:numPr>
          <w:ilvl w:val="0"/>
          <w:numId w:val="1005"/>
        </w:numPr>
        <w:pStyle w:val="Compact"/>
      </w:pPr>
      <w:r>
        <w:t xml:space="preserve">Que adaptações, tecnologia assistiva, previsibilidade de horário, mudanças ergonômicas ou formatos alternativos de treinamento tornariam o caminho sustentável?</w:t>
      </w:r>
    </w:p>
    <w:p>
      <w:pPr>
        <w:pStyle w:val="FirstParagraph"/>
      </w:pPr>
      <w:r>
        <w:t xml:space="preserve">Considere interromper o processo se um empregador esperar que você realize investigações, interpretação jurídica, decisões de remuneração, determinações de adaptação, liberação de folha, decisões migratórias ou outro trabalho regulado sem autoridade e supervisão adequadas.</w:t>
      </w:r>
    </w:p>
    <w:bookmarkEnd w:id="29"/>
    <w:bookmarkStart w:id="30" w:name="ética-limites-e-escalonamento"/>
    <w:p>
      <w:pPr>
        <w:pStyle w:val="Heading2"/>
      </w:pPr>
      <w:r>
        <w:t xml:space="preserve">5. Ética, limites e escalonamento</w:t>
      </w:r>
    </w:p>
    <w:p>
      <w:pPr>
        <w:pStyle w:val="FirstParagraph"/>
      </w:pPr>
      <w:r>
        <w:t xml:space="preserve">Assistentes de recursos humanos frequentemente veem informações que outros empregados não devem ver. Ter acesso não significa ter permissão para usar ou compartilhar.</w:t>
      </w:r>
    </w:p>
    <w:p>
      <w:pPr>
        <w:pStyle w:val="BodyText"/>
      </w:pPr>
      <w:r>
        <w:t xml:space="preserve">Não faça o seguinte:</w:t>
      </w:r>
    </w:p>
    <w:p>
      <w:pPr>
        <w:numPr>
          <w:ilvl w:val="0"/>
          <w:numId w:val="1006"/>
        </w:numPr>
        <w:pStyle w:val="Compact"/>
      </w:pPr>
      <w:r>
        <w:t xml:space="preserve">acessar registros de pessoal por curiosidade;</w:t>
      </w:r>
    </w:p>
    <w:p>
      <w:pPr>
        <w:numPr>
          <w:ilvl w:val="0"/>
          <w:numId w:val="1006"/>
        </w:numPr>
        <w:pStyle w:val="Compact"/>
      </w:pPr>
      <w:r>
        <w:t xml:space="preserve">divulgar informações médicas, de deficiência, identidade, remuneração, reclamações, disciplinares, antecedentes, imigração ou dados bancários sem autorização;</w:t>
      </w:r>
    </w:p>
    <w:p>
      <w:pPr>
        <w:numPr>
          <w:ilvl w:val="0"/>
          <w:numId w:val="1006"/>
        </w:numPr>
        <w:pStyle w:val="Compact"/>
      </w:pPr>
      <w:r>
        <w:t xml:space="preserve">prometer confidencialidade quando a política ou a lei não permitem essa promessa;</w:t>
      </w:r>
    </w:p>
    <w:p>
      <w:pPr>
        <w:numPr>
          <w:ilvl w:val="0"/>
          <w:numId w:val="1006"/>
        </w:numPr>
        <w:pStyle w:val="Compact"/>
      </w:pPr>
      <w:r>
        <w:t xml:space="preserve">alterar registros para fazer um problema desaparecer;</w:t>
      </w:r>
    </w:p>
    <w:p>
      <w:pPr>
        <w:numPr>
          <w:ilvl w:val="0"/>
          <w:numId w:val="1006"/>
        </w:numPr>
        <w:pStyle w:val="Compact"/>
      </w:pPr>
      <w:r>
        <w:t xml:space="preserve">retrodatar aprovações ou fabricar assinaturas;</w:t>
      </w:r>
    </w:p>
    <w:p>
      <w:pPr>
        <w:numPr>
          <w:ilvl w:val="0"/>
          <w:numId w:val="1006"/>
        </w:numPr>
        <w:pStyle w:val="Compact"/>
      </w:pPr>
      <w:r>
        <w:t xml:space="preserve">oferecer aconselhamento jurídico, tributário, de benefícios, imigração ou relações trabalhistas além de sua função;</w:t>
      </w:r>
    </w:p>
    <w:p>
      <w:pPr>
        <w:numPr>
          <w:ilvl w:val="0"/>
          <w:numId w:val="1006"/>
        </w:numPr>
        <w:pStyle w:val="Compact"/>
      </w:pPr>
      <w:r>
        <w:t xml:space="preserve">decidir se uma pessoa tem deficiência ou direito a adaptação;</w:t>
      </w:r>
    </w:p>
    <w:p>
      <w:pPr>
        <w:numPr>
          <w:ilvl w:val="0"/>
          <w:numId w:val="1006"/>
        </w:numPr>
        <w:pStyle w:val="Compact"/>
      </w:pPr>
      <w:r>
        <w:t xml:space="preserve">investigar reclamações graves sozinho quando a política exige investigadores treinados; ou</w:t>
      </w:r>
    </w:p>
    <w:p>
      <w:pPr>
        <w:numPr>
          <w:ilvl w:val="0"/>
          <w:numId w:val="1006"/>
        </w:numPr>
        <w:pStyle w:val="Compact"/>
      </w:pPr>
      <w:r>
        <w:t xml:space="preserve">usar IA para tomar ou ocultar uma decisão de emprego regulada sem governança aprovada e revisão humana responsável.</w:t>
      </w:r>
    </w:p>
    <w:p>
      <w:pPr>
        <w:pStyle w:val="FirstParagraph"/>
      </w:pPr>
      <w:r>
        <w:t xml:space="preserve">Pare e escale quando faltarem evidências, a autoridade não estiver clara, existir conflito de interesse, uma reclamação envolver retaliação ou assédio, houver contestação de verificação de antecedentes, uma questão de adaptação exigir revisão especializada ou alguém pedir que você contorne um controle.</w:t>
      </w:r>
    </w:p>
    <w:bookmarkEnd w:id="30"/>
    <w:bookmarkStart w:id="35" w:name="X114edee18a0a6977831edfde0d587ddd0d7ee00"/>
    <w:p>
      <w:pPr>
        <w:pStyle w:val="Heading2"/>
      </w:pPr>
      <w:r>
        <w:t xml:space="preserve">6. Pesquisa de renda, benefícios e perspectivas</w:t>
      </w:r>
    </w:p>
    <w:p>
      <w:pPr>
        <w:pStyle w:val="FirstParagraph"/>
      </w:pPr>
      <w:r>
        <w:t xml:space="preserve">A remuneração de Assistente de Recursos Humanos varia por geografia, empregador, setor, situação sindical, experiência, horário e atribuições. Mantenha estatísticas ocupacionais oficiais separadas das estimativas atuais de mercado.</w:t>
      </w:r>
    </w:p>
    <w:bookmarkStart w:id="31" w:name="estados-unidos-dados-oficiais-do-bls"/>
    <w:p>
      <w:pPr>
        <w:pStyle w:val="Heading3"/>
      </w:pPr>
      <w:r>
        <w:t xml:space="preserve">Estados Unidos — dados oficiais do BLS</w:t>
      </w:r>
    </w:p>
    <w:p>
      <w:pPr>
        <w:pStyle w:val="FirstParagraph"/>
      </w:pPr>
      <w:r>
        <w:t xml:space="preserve">O Bureau of Labor Statistics informa dados nacionais de Occupational Employment and Wage Statistics de maio de 2025 para</w:t>
      </w:r>
      <w:r>
        <w:t xml:space="preserve"> </w:t>
      </w:r>
      <w:r>
        <w:rPr>
          <w:bCs/>
          <w:b/>
        </w:rPr>
        <w:t xml:space="preserve">Human Resources Assistants, Except Payroll and Timekeeping (SOC 43-4161)</w:t>
      </w:r>
      <w:r>
        <w:t xml:space="preserve">:</w:t>
      </w:r>
    </w:p>
    <w:p>
      <w:pPr>
        <w:numPr>
          <w:ilvl w:val="0"/>
          <w:numId w:val="1007"/>
        </w:numPr>
        <w:pStyle w:val="Compact"/>
      </w:pPr>
      <w:r>
        <w:t xml:space="preserve">emprego:</w:t>
      </w:r>
      <w:r>
        <w:t xml:space="preserve"> </w:t>
      </w:r>
      <w:r>
        <w:rPr>
          <w:bCs/>
          <w:b/>
        </w:rPr>
        <w:t xml:space="preserve">90.220</w:t>
      </w:r>
      <w:r>
        <w:t xml:space="preserve">;</w:t>
      </w:r>
    </w:p>
    <w:p>
      <w:pPr>
        <w:numPr>
          <w:ilvl w:val="0"/>
          <w:numId w:val="1007"/>
        </w:numPr>
        <w:pStyle w:val="Compact"/>
      </w:pPr>
      <w:r>
        <w:t xml:space="preserve">salário médio por hora:</w:t>
      </w:r>
      <w:r>
        <w:t xml:space="preserve"> </w:t>
      </w:r>
      <w:r>
        <w:rPr>
          <w:bCs/>
          <w:b/>
        </w:rPr>
        <w:t xml:space="preserve">US$25,12</w:t>
      </w:r>
      <w:r>
        <w:t xml:space="preserve">;</w:t>
      </w:r>
    </w:p>
    <w:p>
      <w:pPr>
        <w:numPr>
          <w:ilvl w:val="0"/>
          <w:numId w:val="1007"/>
        </w:numPr>
        <w:pStyle w:val="Compact"/>
      </w:pPr>
      <w:r>
        <w:t xml:space="preserve">salário médio anual:</w:t>
      </w:r>
      <w:r>
        <w:t xml:space="preserve"> </w:t>
      </w:r>
      <w:r>
        <w:rPr>
          <w:bCs/>
          <w:b/>
        </w:rPr>
        <w:t xml:space="preserve">US$52.250</w:t>
      </w:r>
      <w:r>
        <w:t xml:space="preserve">; e</w:t>
      </w:r>
    </w:p>
    <w:p>
      <w:pPr>
        <w:numPr>
          <w:ilvl w:val="0"/>
          <w:numId w:val="1007"/>
        </w:numPr>
        <w:pStyle w:val="Compact"/>
      </w:pPr>
      <w:r>
        <w:t xml:space="preserve">salário mediano por hora:</w:t>
      </w:r>
      <w:r>
        <w:t xml:space="preserve"> </w:t>
      </w:r>
      <w:r>
        <w:rPr>
          <w:bCs/>
          <w:b/>
        </w:rPr>
        <w:t xml:space="preserve">US$24,33</w:t>
      </w:r>
      <w:r>
        <w:t xml:space="preserve">.</w:t>
      </w:r>
    </w:p>
    <w:p>
      <w:pPr>
        <w:pStyle w:val="FirstParagraph"/>
      </w:pPr>
      <w:r>
        <w:t xml:space="preserve">O Occupational Outlook Handbook do BLS informa</w:t>
      </w:r>
      <w:r>
        <w:t xml:space="preserve"> </w:t>
      </w:r>
      <w:r>
        <w:rPr>
          <w:bCs/>
          <w:b/>
        </w:rPr>
        <w:t xml:space="preserve">salário mediano anual de US$49.440 em maio de 2024</w:t>
      </w:r>
      <w:r>
        <w:t xml:space="preserve"> </w:t>
      </w:r>
      <w:r>
        <w:t xml:space="preserve">para essa ocupação. As projeções de emprego do BLS mostram cerca de</w:t>
      </w:r>
      <w:r>
        <w:t xml:space="preserve"> </w:t>
      </w:r>
      <w:r>
        <w:rPr>
          <w:bCs/>
          <w:b/>
        </w:rPr>
        <w:t xml:space="preserve">95.200 empregos em 2024</w:t>
      </w:r>
      <w:r>
        <w:t xml:space="preserve"> </w:t>
      </w:r>
      <w:r>
        <w:t xml:space="preserve">e</w:t>
      </w:r>
      <w:r>
        <w:t xml:space="preserve"> </w:t>
      </w:r>
      <w:r>
        <w:rPr>
          <w:bCs/>
          <w:b/>
        </w:rPr>
        <w:t xml:space="preserve">88.400 em 2034</w:t>
      </w:r>
      <w:r>
        <w:t xml:space="preserve">, uma queda projetada de aproximadamente</w:t>
      </w:r>
      <w:r>
        <w:t xml:space="preserve"> </w:t>
      </w:r>
      <w:r>
        <w:rPr>
          <w:bCs/>
          <w:b/>
        </w:rPr>
        <w:t xml:space="preserve">7%</w:t>
      </w:r>
      <w:r>
        <w:t xml:space="preserve">. Não misture as estimativas salariais de maio de 2025 com o dado de salário mediano de maio de 2024 sem identificar o ano de referência.</w:t>
      </w:r>
    </w:p>
    <w:bookmarkEnd w:id="31"/>
    <w:bookmarkStart w:id="32" w:name="Xb60c274bef4a584c3d491cbae55e9ba0482944f"/>
    <w:p>
      <w:pPr>
        <w:pStyle w:val="Heading3"/>
      </w:pPr>
      <w:r>
        <w:t xml:space="preserve">Estados Unidos — estimativa atual não governamental de mercado</w:t>
      </w:r>
    </w:p>
    <w:p>
      <w:pPr>
        <w:pStyle w:val="FirstParagraph"/>
      </w:pPr>
      <w:r>
        <w:t xml:space="preserve">A página salarial de Human Resources Assistant do Indeed, atualizada em</w:t>
      </w:r>
      <w:r>
        <w:t xml:space="preserve"> </w:t>
      </w:r>
      <w:r>
        <w:rPr>
          <w:bCs/>
          <w:b/>
        </w:rPr>
        <w:t xml:space="preserve">20 de julho de 2026</w:t>
      </w:r>
      <w:r>
        <w:t xml:space="preserve">, informa salário-base médio de</w:t>
      </w:r>
      <w:r>
        <w:t xml:space="preserve"> </w:t>
      </w:r>
      <w:r>
        <w:rPr>
          <w:bCs/>
          <w:b/>
        </w:rPr>
        <w:t xml:space="preserve">US$21,76 por hora</w:t>
      </w:r>
      <w:r>
        <w:t xml:space="preserve"> </w:t>
      </w:r>
      <w:r>
        <w:t xml:space="preserve">nos Estados Unidos, com valor baixo exibido de</w:t>
      </w:r>
      <w:r>
        <w:t xml:space="preserve"> </w:t>
      </w:r>
      <w:r>
        <w:rPr>
          <w:bCs/>
          <w:b/>
        </w:rPr>
        <w:t xml:space="preserve">US$16,09</w:t>
      </w:r>
      <w:r>
        <w:t xml:space="preserve"> </w:t>
      </w:r>
      <w:r>
        <w:t xml:space="preserve">e alto de</w:t>
      </w:r>
      <w:r>
        <w:t xml:space="preserve"> </w:t>
      </w:r>
      <w:r>
        <w:rPr>
          <w:bCs/>
          <w:b/>
        </w:rPr>
        <w:t xml:space="preserve">US$29,42</w:t>
      </w:r>
      <w:r>
        <w:t xml:space="preserve"> </w:t>
      </w:r>
      <w:r>
        <w:t xml:space="preserve">por hora, com base em 7,8 mil salários de anúncios de emprego dos 36 meses anteriores.</w:t>
      </w:r>
    </w:p>
    <w:p>
      <w:pPr>
        <w:pStyle w:val="BodyText"/>
      </w:pPr>
      <w:r>
        <w:t xml:space="preserve">Esta é uma estimativa não governamental de mercado. Não é uma estatística oficial, salário garantido nem substituto para pesquisa de vagas locais.</w:t>
      </w:r>
    </w:p>
    <w:bookmarkEnd w:id="32"/>
    <w:bookmarkStart w:id="33" w:name="canadá-dados-oficiais-do-job-bank"/>
    <w:p>
      <w:pPr>
        <w:pStyle w:val="Heading3"/>
      </w:pPr>
      <w:r>
        <w:t xml:space="preserve">Canadá — dados oficiais do Job Bank</w:t>
      </w:r>
    </w:p>
    <w:p>
      <w:pPr>
        <w:pStyle w:val="FirstParagraph"/>
      </w:pPr>
      <w:r>
        <w:t xml:space="preserve">O Government of Canada Job Bank associa Human Resources Assistant a</w:t>
      </w:r>
      <w:r>
        <w:t xml:space="preserve"> </w:t>
      </w:r>
      <w:r>
        <w:rPr>
          <w:bCs/>
          <w:b/>
        </w:rPr>
        <w:t xml:space="preserve">Personnel clerks, NOC 14102</w:t>
      </w:r>
      <w:r>
        <w:t xml:space="preserve">. Os salários nacionais atualizados em</w:t>
      </w:r>
      <w:r>
        <w:t xml:space="preserve"> </w:t>
      </w:r>
      <w:r>
        <w:rPr>
          <w:bCs/>
          <w:b/>
        </w:rPr>
        <w:t xml:space="preserve">19 de novembro de 2025</w:t>
      </w:r>
      <w:r>
        <w:t xml:space="preserve"> </w:t>
      </w:r>
      <w:r>
        <w:t xml:space="preserve">são:</w:t>
      </w:r>
    </w:p>
    <w:p>
      <w:pPr>
        <w:numPr>
          <w:ilvl w:val="0"/>
          <w:numId w:val="1008"/>
        </w:numPr>
        <w:pStyle w:val="Compact"/>
      </w:pPr>
      <w:r>
        <w:t xml:space="preserve">baixo:</w:t>
      </w:r>
      <w:r>
        <w:t xml:space="preserve"> </w:t>
      </w:r>
      <w:r>
        <w:rPr>
          <w:bCs/>
          <w:b/>
        </w:rPr>
        <w:t xml:space="preserve">C$21,75/hora</w:t>
      </w:r>
      <w:r>
        <w:t xml:space="preserve">;</w:t>
      </w:r>
    </w:p>
    <w:p>
      <w:pPr>
        <w:numPr>
          <w:ilvl w:val="0"/>
          <w:numId w:val="1008"/>
        </w:numPr>
        <w:pStyle w:val="Compact"/>
      </w:pPr>
      <w:r>
        <w:t xml:space="preserve">mediano:</w:t>
      </w:r>
      <w:r>
        <w:t xml:space="preserve"> </w:t>
      </w:r>
      <w:r>
        <w:rPr>
          <w:bCs/>
          <w:b/>
        </w:rPr>
        <w:t xml:space="preserve">C$27,88/hora</w:t>
      </w:r>
      <w:r>
        <w:t xml:space="preserve">; e</w:t>
      </w:r>
    </w:p>
    <w:p>
      <w:pPr>
        <w:numPr>
          <w:ilvl w:val="0"/>
          <w:numId w:val="1008"/>
        </w:numPr>
        <w:pStyle w:val="Compact"/>
      </w:pPr>
      <w:r>
        <w:t xml:space="preserve">alto:</w:t>
      </w:r>
      <w:r>
        <w:t xml:space="preserve"> </w:t>
      </w:r>
      <w:r>
        <w:rPr>
          <w:bCs/>
          <w:b/>
        </w:rPr>
        <w:t xml:space="preserve">C$38,46/hora</w:t>
      </w:r>
      <w:r>
        <w:t xml:space="preserve">.</w:t>
      </w:r>
    </w:p>
    <w:p>
      <w:pPr>
        <w:pStyle w:val="FirstParagraph"/>
      </w:pPr>
      <w:r>
        <w:t xml:space="preserve">O Job Bank identifica o período de referência como</w:t>
      </w:r>
      <w:r>
        <w:t xml:space="preserve"> </w:t>
      </w:r>
      <w:r>
        <w:rPr>
          <w:bCs/>
          <w:b/>
        </w:rPr>
        <w:t xml:space="preserve">2023–2024</w:t>
      </w:r>
      <w:r>
        <w:t xml:space="preserve"> </w:t>
      </w:r>
      <w:r>
        <w:t xml:space="preserve">e informa a Labour Force Survey, Statistics Canada, como fonte.</w:t>
      </w:r>
    </w:p>
    <w:bookmarkEnd w:id="33"/>
    <w:bookmarkStart w:id="34" w:name="colômbia-e-américa-latina"/>
    <w:p>
      <w:pPr>
        <w:pStyle w:val="Heading3"/>
      </w:pPr>
      <w:r>
        <w:t xml:space="preserve">Colômbia e América Latina</w:t>
      </w:r>
    </w:p>
    <w:p>
      <w:pPr>
        <w:pStyle w:val="FirstParagraph"/>
      </w:pPr>
      <w:r>
        <w:t xml:space="preserve">Não invente um salário nacional para</w:t>
      </w:r>
      <w:r>
        <w:t xml:space="preserve"> </w:t>
      </w:r>
      <w:r>
        <w:rPr>
          <w:rStyle w:val="VerbatimChar"/>
        </w:rPr>
        <w:t xml:space="preserve">auxiliar de recursos humanos</w:t>
      </w:r>
      <w:r>
        <w:t xml:space="preserve"> </w:t>
      </w:r>
      <w:r>
        <w:t xml:space="preserve">ou</w:t>
      </w:r>
      <w:r>
        <w:t xml:space="preserve"> </w:t>
      </w:r>
      <w:r>
        <w:rPr>
          <w:rStyle w:val="VerbatimChar"/>
        </w:rPr>
        <w:t xml:space="preserve">auxiliar de talento humano</w:t>
      </w:r>
      <w:r>
        <w:t xml:space="preserve"> </w:t>
      </w:r>
      <w:r>
        <w:t xml:space="preserve">quando não houver uma série oficial diretamente comparável verificada. Na Colômbia, consulte vagas atuais do Servicio Público de Empleo, da Agencia Pública de Empleo do SENA, empregadores e fontes locais confiáveis. Registre título, cidade, salário mensal, benefícios, tipo de contrato, escolaridade, experiência, software e atribuições.</w:t>
      </w:r>
    </w:p>
    <w:p>
      <w:pPr>
        <w:pStyle w:val="BodyText"/>
      </w:pPr>
      <w:r>
        <w:t xml:space="preserve">Na América Latina, folha de pagamento, previdência/seguridade social, legislação trabalhista, privacidade, benefícios e processos de contratação variam significativamente por país. Compare títulos locais e tarefas reais, em vez de traduzir literalmente um cargo dos Estados Unidos.</w:t>
      </w:r>
    </w:p>
    <w:bookmarkEnd w:id="34"/>
    <w:bookmarkEnd w:id="35"/>
    <w:bookmarkStart w:id="36" w:name="Xb0621bd4804afecb36d96092b1616c124d4fdae"/>
    <w:p>
      <w:pPr>
        <w:pStyle w:val="Heading2"/>
      </w:pPr>
      <w:r>
        <w:t xml:space="preserve">7. Educação, credenciais e aprendizagem com prioridade para opções gratuitas</w:t>
      </w:r>
    </w:p>
    <w:p>
      <w:pPr>
        <w:pStyle w:val="FirstParagraph"/>
      </w:pPr>
      <w:r>
        <w:t xml:space="preserve">Os requisitos para assistentes de recursos humanos variam. Alguns empregadores aceitam ensino médio mais experiência administrativa; outros preferem formação técnica, associate degree, estudos universitários ou bacharelado.</w:t>
      </w:r>
    </w:p>
    <w:p>
      <w:pPr>
        <w:pStyle w:val="BodyText"/>
      </w:pPr>
      <w:r>
        <w:t xml:space="preserve">O Government of Canada Job Bank informa que Personnel clerks geralmente precisam de diploma de ensino médio ou várias semanas de treinamento no trabalho. Na Colômbia, o SENA atualmente lista um programa</w:t>
      </w:r>
      <w:r>
        <w:t xml:space="preserve"> </w:t>
      </w:r>
      <w:r>
        <w:rPr>
          <w:bCs/>
          <w:b/>
        </w:rPr>
        <w:t xml:space="preserve">Técnico en Talento Humano</w:t>
      </w:r>
      <w:r>
        <w:t xml:space="preserve"> </w:t>
      </w:r>
      <w:r>
        <w:t xml:space="preserve">com</w:t>
      </w:r>
      <w:r>
        <w:t xml:space="preserve"> </w:t>
      </w:r>
      <w:r>
        <w:rPr>
          <w:bCs/>
          <w:b/>
        </w:rPr>
        <w:t xml:space="preserve">2.208 horas</w:t>
      </w:r>
      <w:r>
        <w:t xml:space="preserve">, incluindo competências relevantes para apoio de RH, documentação, ferramentas digitais, atendimento ao cliente, direitos no trabalho e etapa prática. O SENA também lista ofertas complementares mais curtas, como</w:t>
      </w:r>
      <w:r>
        <w:t xml:space="preserve"> </w:t>
      </w:r>
      <w:r>
        <w:rPr>
          <w:bCs/>
          <w:b/>
        </w:rPr>
        <w:t xml:space="preserve">Herramientas para la Gestión del Talento Humano</w:t>
      </w:r>
      <w:r>
        <w:t xml:space="preserve">, curso virtual de</w:t>
      </w:r>
      <w:r>
        <w:t xml:space="preserve"> </w:t>
      </w:r>
      <w:r>
        <w:rPr>
          <w:bCs/>
          <w:b/>
        </w:rPr>
        <w:t xml:space="preserve">48 horas</w:t>
      </w:r>
      <w:r>
        <w:t xml:space="preserve">.</w:t>
      </w:r>
    </w:p>
    <w:p>
      <w:pPr>
        <w:pStyle w:val="BodyText"/>
      </w:pPr>
      <w:r>
        <w:t xml:space="preserve">Uma sequência que prioriza opções gratuitas pode incluir:</w:t>
      </w:r>
    </w:p>
    <w:p>
      <w:pPr>
        <w:numPr>
          <w:ilvl w:val="0"/>
          <w:numId w:val="1009"/>
        </w:numPr>
        <w:pStyle w:val="Compact"/>
      </w:pPr>
      <w:r>
        <w:t xml:space="preserve">bibliotecas públicas e programas de habilidades digitais;</w:t>
      </w:r>
    </w:p>
    <w:p>
      <w:pPr>
        <w:numPr>
          <w:ilvl w:val="0"/>
          <w:numId w:val="1009"/>
        </w:numPr>
        <w:pStyle w:val="Compact"/>
      </w:pPr>
      <w:r>
        <w:t xml:space="preserve">prática com planilhas e gestão documental;</w:t>
      </w:r>
    </w:p>
    <w:p>
      <w:pPr>
        <w:numPr>
          <w:ilvl w:val="0"/>
          <w:numId w:val="1009"/>
        </w:numPr>
        <w:pStyle w:val="Compact"/>
      </w:pPr>
      <w:r>
        <w:t xml:space="preserve">conscientização sobre privacidade e cibersegurança;</w:t>
      </w:r>
    </w:p>
    <w:p>
      <w:pPr>
        <w:numPr>
          <w:ilvl w:val="0"/>
          <w:numId w:val="1009"/>
        </w:numPr>
        <w:pStyle w:val="Compact"/>
      </w:pPr>
      <w:r>
        <w:t xml:space="preserve">oficinas de sistemas públicos de emprego;</w:t>
      </w:r>
    </w:p>
    <w:p>
      <w:pPr>
        <w:numPr>
          <w:ilvl w:val="0"/>
          <w:numId w:val="1009"/>
        </w:numPr>
        <w:pStyle w:val="Compact"/>
      </w:pPr>
      <w:r>
        <w:t xml:space="preserve">SENA ou outras opções públicas de educação técnica quando disponíveis;</w:t>
      </w:r>
    </w:p>
    <w:p>
      <w:pPr>
        <w:numPr>
          <w:ilvl w:val="0"/>
          <w:numId w:val="1009"/>
        </w:numPr>
        <w:pStyle w:val="Compact"/>
      </w:pPr>
      <w:r>
        <w:t xml:space="preserve">integração e plataformas internas de aprendizagem do empregador;</w:t>
      </w:r>
    </w:p>
    <w:p>
      <w:pPr>
        <w:numPr>
          <w:ilvl w:val="0"/>
          <w:numId w:val="1009"/>
        </w:numPr>
        <w:pStyle w:val="Compact"/>
      </w:pPr>
      <w:r>
        <w:t xml:space="preserve">cursos abertos de comunicação, gestão de registros, redação empresarial e alfabetização de dados; e</w:t>
      </w:r>
    </w:p>
    <w:p>
      <w:pPr>
        <w:numPr>
          <w:ilvl w:val="0"/>
          <w:numId w:val="1009"/>
        </w:numPr>
        <w:pStyle w:val="Compact"/>
      </w:pPr>
      <w:r>
        <w:t xml:space="preserve">treinamento interno supervisionado entre funções.</w:t>
      </w:r>
    </w:p>
    <w:p>
      <w:pPr>
        <w:pStyle w:val="FirstParagraph"/>
      </w:pPr>
      <w:r>
        <w:t xml:space="preserve">Pague por uma credencial apenas quando puder identificar o empregador, promoção, exame, crédito ou requisito de habilidade específico que ela atende.</w:t>
      </w:r>
    </w:p>
    <w:bookmarkEnd w:id="36"/>
    <w:bookmarkStart w:id="40" w:name="Xb1095ee61cd2d666b60958239231901e35bdf30"/>
    <w:p>
      <w:pPr>
        <w:pStyle w:val="Heading2"/>
      </w:pPr>
      <w:r>
        <w:t xml:space="preserve">8. Financiamento, bolsas, apoio do empregador e aprendizagem baseada no trabalho</w:t>
      </w:r>
    </w:p>
    <w:bookmarkStart w:id="37" w:name="bolsas-subsídios-e-apoio-público"/>
    <w:p>
      <w:pPr>
        <w:pStyle w:val="Heading3"/>
      </w:pPr>
      <w:r>
        <w:t xml:space="preserve">Bolsas, subsídios e apoio público</w:t>
      </w:r>
    </w:p>
    <w:p>
      <w:pPr>
        <w:pStyle w:val="FirstParagraph"/>
      </w:pPr>
      <w:r>
        <w:t xml:space="preserve">Verifique elegibilidade para subsídios públicos, apoio de instituições de ensino superior, programas para adultos, apoio de treinamento relacionado a deficiência, financiamento de desenvolvimento da força de trabalho, benefícios educacionais sindicais, benefícios para veteranos e bolsas locais antes de contrair dívida. As regras variam por país e jurisdição.</w:t>
      </w:r>
    </w:p>
    <w:bookmarkEnd w:id="37"/>
    <w:bookmarkStart w:id="38" w:name="educação-apoiada-pelo-empregador"/>
    <w:p>
      <w:pPr>
        <w:pStyle w:val="Heading3"/>
      </w:pPr>
      <w:r>
        <w:t xml:space="preserve">Educação apoiada pelo empregador</w:t>
      </w:r>
    </w:p>
    <w:p>
      <w:pPr>
        <w:pStyle w:val="FirstParagraph"/>
      </w:pPr>
      <w:r>
        <w:t xml:space="preserve">Empregadores podem oferecer pagamento direto de mensalidade, reembolso, taxas de certificação, bolsas, tempo de estudo remunerado, academias internas ou empréstimos educacionais perdoáveis. Obtenha os termos por escrito.</w:t>
      </w:r>
    </w:p>
    <w:p>
      <w:pPr>
        <w:pStyle w:val="BodyText"/>
      </w:pPr>
      <w:r>
        <w:t xml:space="preserve">Nos Estados Unidos, a orientação do IRS atualizada em abril de 2026 informa que benefícios qualificáveis sob um programa de assistência educacional Section 127 podem ser excluídos da renda bruta até</w:t>
      </w:r>
      <w:r>
        <w:t xml:space="preserve"> </w:t>
      </w:r>
      <w:r>
        <w:rPr>
          <w:bCs/>
          <w:b/>
        </w:rPr>
        <w:t xml:space="preserve">US$5.250 por ano-calendário em 2025 e 2026</w:t>
      </w:r>
      <w:r>
        <w:t xml:space="preserve">. O valor está sujeito a ajuste por custo de vida para anos tributáveis posteriores a 2026. Nem todo empregador oferece plano Section 127 e nem toda despesa educacional se qualifica.</w:t>
      </w:r>
    </w:p>
    <w:p>
      <w:pPr>
        <w:pStyle w:val="BodyText"/>
      </w:pPr>
      <w:r>
        <w:t xml:space="preserve">Antes de aceitar educação financiada pelo empregador, verifique:</w:t>
      </w:r>
    </w:p>
    <w:p>
      <w:pPr>
        <w:numPr>
          <w:ilvl w:val="0"/>
          <w:numId w:val="1010"/>
        </w:numPr>
        <w:pStyle w:val="Compact"/>
      </w:pPr>
      <w:r>
        <w:t xml:space="preserve">o que é coberto;</w:t>
      </w:r>
    </w:p>
    <w:p>
      <w:pPr>
        <w:numPr>
          <w:ilvl w:val="0"/>
          <w:numId w:val="1010"/>
        </w:numPr>
        <w:pStyle w:val="Compact"/>
      </w:pPr>
      <w:r>
        <w:t xml:space="preserve">se o pagamento é direto ou por reembolso;</w:t>
      </w:r>
    </w:p>
    <w:p>
      <w:pPr>
        <w:numPr>
          <w:ilvl w:val="0"/>
          <w:numId w:val="1010"/>
        </w:numPr>
        <w:pStyle w:val="Compact"/>
      </w:pPr>
      <w:r>
        <w:t xml:space="preserve">requisitos de nota ou conclusão;</w:t>
      </w:r>
    </w:p>
    <w:p>
      <w:pPr>
        <w:numPr>
          <w:ilvl w:val="0"/>
          <w:numId w:val="1010"/>
        </w:numPr>
        <w:pStyle w:val="Compact"/>
      </w:pPr>
      <w:r>
        <w:t xml:space="preserve">se podem incidir impostos;</w:t>
      </w:r>
    </w:p>
    <w:p>
      <w:pPr>
        <w:numPr>
          <w:ilvl w:val="0"/>
          <w:numId w:val="1010"/>
        </w:numPr>
        <w:pStyle w:val="Compact"/>
      </w:pPr>
      <w:r>
        <w:t xml:space="preserve">a data de início do compromisso de serviço;</w:t>
      </w:r>
    </w:p>
    <w:p>
      <w:pPr>
        <w:numPr>
          <w:ilvl w:val="0"/>
          <w:numId w:val="1010"/>
        </w:numPr>
        <w:pStyle w:val="Compact"/>
      </w:pPr>
      <w:r>
        <w:t xml:space="preserve">a fórmula de reembolso;</w:t>
      </w:r>
    </w:p>
    <w:p>
      <w:pPr>
        <w:numPr>
          <w:ilvl w:val="0"/>
          <w:numId w:val="1010"/>
        </w:numPr>
        <w:pStyle w:val="Compact"/>
      </w:pPr>
      <w:r>
        <w:t xml:space="preserve">tratamento de demissão, reestruturação, deficiência, ativação militar, aposentadoria, transferência ou desligamento determinado pelo empregador; e</w:t>
      </w:r>
    </w:p>
    <w:p>
      <w:pPr>
        <w:numPr>
          <w:ilvl w:val="0"/>
          <w:numId w:val="1010"/>
        </w:numPr>
        <w:pStyle w:val="Compact"/>
      </w:pPr>
      <w:r>
        <w:t xml:space="preserve">se deduções do salário final são permitidas onde você trabalha.</w:t>
      </w:r>
    </w:p>
    <w:bookmarkEnd w:id="38"/>
    <w:bookmarkStart w:id="39" w:name="X56604e823da4937b17e1ba2bfc4e888b4b43a4a"/>
    <w:p>
      <w:pPr>
        <w:pStyle w:val="Heading3"/>
      </w:pPr>
      <w:r>
        <w:t xml:space="preserve">Aprendizagens e aprendizagem baseada no trabalho</w:t>
      </w:r>
    </w:p>
    <w:p>
      <w:pPr>
        <w:pStyle w:val="FirstParagraph"/>
      </w:pPr>
      <w:r>
        <w:t xml:space="preserve">Pesquise oportunidades atuais de Registered Apprenticeship no Apprenticeship.gov nos Estados Unidos, mas não presuma que exista uma aprendizagem específica de assistente de RH em toda região. Considere também estágios, educação cooperativa, programas de treinamento remunerado, job shadowing, rotações e mobilidade interna supervisionada.</w:t>
      </w:r>
    </w:p>
    <w:p>
      <w:pPr>
        <w:pStyle w:val="BodyText"/>
      </w:pPr>
      <w:r>
        <w:t xml:space="preserve">No Canadá, consulte sistemas provinciais ou territoriais de emprego e treinamento além do Job Bank. Na Colômbia, o SENA combina treinamento público com um ecossistema de serviços de emprego, e alguns programas técnicos incluem etapas práticas.</w:t>
      </w:r>
    </w:p>
    <w:bookmarkEnd w:id="39"/>
    <w:bookmarkEnd w:id="40"/>
    <w:bookmarkStart w:id="41" w:name="acessibilidade-e-inclusão"/>
    <w:p>
      <w:pPr>
        <w:pStyle w:val="Heading2"/>
      </w:pPr>
      <w:r>
        <w:t xml:space="preserve">9. Acessibilidade e inclusão</w:t>
      </w:r>
    </w:p>
    <w:p>
      <w:pPr>
        <w:pStyle w:val="FirstParagraph"/>
      </w:pPr>
      <w:r>
        <w:t xml:space="preserve">A acessibilidade deve ser verificada ao longo de todo o caminho, não apenas na admissão a uma sala de aula.</w:t>
      </w:r>
    </w:p>
    <w:p>
      <w:pPr>
        <w:pStyle w:val="BodyText"/>
      </w:pPr>
      <w:r>
        <w:t xml:space="preserve">Pergunte sobre:</w:t>
      </w:r>
    </w:p>
    <w:p>
      <w:pPr>
        <w:numPr>
          <w:ilvl w:val="0"/>
          <w:numId w:val="1011"/>
        </w:numPr>
        <w:pStyle w:val="Compact"/>
      </w:pPr>
      <w:r>
        <w:t xml:space="preserve">candidaturas e plataformas de aprendizagem acessíveis;</w:t>
      </w:r>
    </w:p>
    <w:p>
      <w:pPr>
        <w:numPr>
          <w:ilvl w:val="0"/>
          <w:numId w:val="1011"/>
        </w:numPr>
        <w:pStyle w:val="Compact"/>
      </w:pPr>
      <w:r>
        <w:t xml:space="preserve">compatibilidade com leitores de tela e teclado;</w:t>
      </w:r>
    </w:p>
    <w:p>
      <w:pPr>
        <w:numPr>
          <w:ilvl w:val="0"/>
          <w:numId w:val="1011"/>
        </w:numPr>
        <w:pStyle w:val="Compact"/>
      </w:pPr>
      <w:r>
        <w:t xml:space="preserve">legendas e interpretação;</w:t>
      </w:r>
    </w:p>
    <w:p>
      <w:pPr>
        <w:numPr>
          <w:ilvl w:val="0"/>
          <w:numId w:val="1011"/>
        </w:numPr>
        <w:pStyle w:val="Compact"/>
      </w:pPr>
      <w:r>
        <w:t xml:space="preserve">documentos acessíveis;</w:t>
      </w:r>
    </w:p>
    <w:p>
      <w:pPr>
        <w:numPr>
          <w:ilvl w:val="0"/>
          <w:numId w:val="1011"/>
        </w:numPr>
        <w:pStyle w:val="Compact"/>
      </w:pPr>
      <w:r>
        <w:t xml:space="preserve">provas em ambientes tranquilos ou com menos distrações;</w:t>
      </w:r>
    </w:p>
    <w:p>
      <w:pPr>
        <w:numPr>
          <w:ilvl w:val="0"/>
          <w:numId w:val="1011"/>
        </w:numPr>
        <w:pStyle w:val="Compact"/>
      </w:pPr>
      <w:r>
        <w:t xml:space="preserve">estações de trabalho ergonômicas;</w:t>
      </w:r>
    </w:p>
    <w:p>
      <w:pPr>
        <w:numPr>
          <w:ilvl w:val="0"/>
          <w:numId w:val="1011"/>
        </w:numPr>
        <w:pStyle w:val="Compact"/>
      </w:pPr>
      <w:r>
        <w:t xml:space="preserve">horários flexíveis;</w:t>
      </w:r>
    </w:p>
    <w:p>
      <w:pPr>
        <w:numPr>
          <w:ilvl w:val="0"/>
          <w:numId w:val="1011"/>
        </w:numPr>
        <w:pStyle w:val="Compact"/>
      </w:pPr>
      <w:r>
        <w:t xml:space="preserve">acesso a transporte e prática profissional;</w:t>
      </w:r>
    </w:p>
    <w:p>
      <w:pPr>
        <w:numPr>
          <w:ilvl w:val="0"/>
          <w:numId w:val="1011"/>
        </w:numPr>
        <w:pStyle w:val="Compact"/>
      </w:pPr>
      <w:r>
        <w:t xml:space="preserve">formas alternativas de demonstrar competência; e</w:t>
      </w:r>
    </w:p>
    <w:p>
      <w:pPr>
        <w:numPr>
          <w:ilvl w:val="0"/>
          <w:numId w:val="1011"/>
        </w:numPr>
        <w:pStyle w:val="Compact"/>
      </w:pPr>
      <w:r>
        <w:t xml:space="preserve">procedimentos separados de adaptação para escola, empregador, patrocinador de aprendizagem, local de prática e entidade avaliadora.</w:t>
      </w:r>
    </w:p>
    <w:p>
      <w:pPr>
        <w:pStyle w:val="FirstParagraph"/>
      </w:pPr>
      <w:r>
        <w:t xml:space="preserve">Não presuma que a admissão a um programa garanta que toda colocação, sistema ou local de trabalho seja acessível.</w:t>
      </w:r>
    </w:p>
    <w:bookmarkEnd w:id="41"/>
    <w:bookmarkStart w:id="42" w:name="X972b7554382181baeee781f8faf5ef35293c074"/>
    <w:p>
      <w:pPr>
        <w:pStyle w:val="Heading2"/>
      </w:pPr>
      <w:r>
        <w:t xml:space="preserve">10. Privacidade, cibersegurança, integridade de registros e IA responsável</w:t>
      </w:r>
    </w:p>
    <w:p>
      <w:pPr>
        <w:pStyle w:val="FirstParagraph"/>
      </w:pPr>
      <w:r>
        <w:t xml:space="preserve">O apoio em RH é uma função de alta confiança informacional.</w:t>
      </w:r>
    </w:p>
    <w:p>
      <w:pPr>
        <w:numPr>
          <w:ilvl w:val="0"/>
          <w:numId w:val="1012"/>
        </w:numPr>
        <w:pStyle w:val="Compact"/>
      </w:pPr>
      <w:r>
        <w:t xml:space="preserve">Use apenas sistemas, contas, dispositivos e locais de armazenamento aprovados.</w:t>
      </w:r>
    </w:p>
    <w:p>
      <w:pPr>
        <w:numPr>
          <w:ilvl w:val="0"/>
          <w:numId w:val="1012"/>
        </w:numPr>
        <w:pStyle w:val="Compact"/>
      </w:pPr>
      <w:r>
        <w:t xml:space="preserve">Use autenticação multifator quando disponível.</w:t>
      </w:r>
    </w:p>
    <w:p>
      <w:pPr>
        <w:numPr>
          <w:ilvl w:val="0"/>
          <w:numId w:val="1012"/>
        </w:numPr>
        <w:pStyle w:val="Compact"/>
      </w:pPr>
      <w:r>
        <w:t xml:space="preserve">Verifique solicitações incomuns para alterar dados bancários, identidade, benefícios ou informações relacionadas à folha de empregados.</w:t>
      </w:r>
    </w:p>
    <w:p>
      <w:pPr>
        <w:numPr>
          <w:ilvl w:val="0"/>
          <w:numId w:val="1012"/>
        </w:numPr>
        <w:pStyle w:val="Compact"/>
      </w:pPr>
      <w:r>
        <w:t xml:space="preserve">Siga o princípio de menor privilégio e práticas de mesa limpa.</w:t>
      </w:r>
    </w:p>
    <w:p>
      <w:pPr>
        <w:numPr>
          <w:ilvl w:val="0"/>
          <w:numId w:val="1012"/>
        </w:numPr>
        <w:pStyle w:val="Compact"/>
      </w:pPr>
      <w:r>
        <w:t xml:space="preserve">Não encaminhe registros de empregados para e-mail pessoal ou armazenamento em nuvem pessoal.</w:t>
      </w:r>
    </w:p>
    <w:p>
      <w:pPr>
        <w:numPr>
          <w:ilvl w:val="0"/>
          <w:numId w:val="1012"/>
        </w:numPr>
        <w:pStyle w:val="Compact"/>
      </w:pPr>
      <w:r>
        <w:t xml:space="preserve">Não cole informações confidenciais de candidatos ou empregados em ferramentas públicas de IA.</w:t>
      </w:r>
    </w:p>
    <w:p>
      <w:pPr>
        <w:numPr>
          <w:ilvl w:val="0"/>
          <w:numId w:val="1012"/>
        </w:numPr>
        <w:pStyle w:val="Compact"/>
      </w:pPr>
      <w:r>
        <w:t xml:space="preserve">Verifique resumos, cartas, classificações ou explicações de políticas gerados por IA antes do uso.</w:t>
      </w:r>
    </w:p>
    <w:p>
      <w:pPr>
        <w:numPr>
          <w:ilvl w:val="0"/>
          <w:numId w:val="1012"/>
        </w:numPr>
        <w:pStyle w:val="Compact"/>
      </w:pPr>
      <w:r>
        <w:t xml:space="preserve">Preserve registros exigidos e não exclua material por ser inconveniente.</w:t>
      </w:r>
    </w:p>
    <w:p>
      <w:pPr>
        <w:numPr>
          <w:ilvl w:val="0"/>
          <w:numId w:val="1012"/>
        </w:numPr>
        <w:pStyle w:val="Compact"/>
      </w:pPr>
      <w:r>
        <w:t xml:space="preserve">Escale suspeitas de phishing, personificação, desvio de folha, roubo de identidade, acesso não autorizado ou vazamento de dados.</w:t>
      </w:r>
    </w:p>
    <w:p>
      <w:pPr>
        <w:pStyle w:val="FirstParagraph"/>
      </w:pPr>
      <w:r>
        <w:t xml:space="preserve">A IA pode ajudar a redigir comunicações rotineiras, resumir material aprovado, classificar trabalho administrativo não sensível ou auxiliar no agendamento quando a governança permitir. Ela não deve ser tratada como responsável por decisões de contratação, promoção, disciplina, adaptação, remuneração, desligamento ou outras decisões de emprego com consequências significativas.</w:t>
      </w:r>
    </w:p>
    <w:bookmarkEnd w:id="42"/>
    <w:bookmarkStart w:id="43" w:name="construa-evidências-de-capacidade"/>
    <w:p>
      <w:pPr>
        <w:pStyle w:val="Heading2"/>
      </w:pPr>
      <w:r>
        <w:t xml:space="preserve">11. Construa evidências de capacidade</w:t>
      </w:r>
    </w:p>
    <w:p>
      <w:pPr>
        <w:pStyle w:val="FirstParagraph"/>
      </w:pPr>
      <w:r>
        <w:t xml:space="preserve">Você pode demonstrar habilidades úteis sem expor informações reais de empregados.</w:t>
      </w:r>
    </w:p>
    <w:p>
      <w:pPr>
        <w:pStyle w:val="BodyText"/>
      </w:pPr>
      <w:r>
        <w:t xml:space="preserve">Crie exemplos fictícios ou totalmente sanitizados, como:</w:t>
      </w:r>
    </w:p>
    <w:p>
      <w:pPr>
        <w:numPr>
          <w:ilvl w:val="0"/>
          <w:numId w:val="1013"/>
        </w:numPr>
        <w:pStyle w:val="Compact"/>
      </w:pPr>
      <w:r>
        <w:t xml:space="preserve">uma lista de verificação de integração;</w:t>
      </w:r>
    </w:p>
    <w:p>
      <w:pPr>
        <w:numPr>
          <w:ilvl w:val="0"/>
          <w:numId w:val="1013"/>
        </w:numPr>
        <w:pStyle w:val="Compact"/>
      </w:pPr>
      <w:r>
        <w:t xml:space="preserve">um rastreador de agendamento de entrevistas;</w:t>
      </w:r>
    </w:p>
    <w:p>
      <w:pPr>
        <w:numPr>
          <w:ilvl w:val="0"/>
          <w:numId w:val="1013"/>
        </w:numPr>
        <w:pStyle w:val="Compact"/>
      </w:pPr>
      <w:r>
        <w:t xml:space="preserve">uma lista de qualidade de arquivos de pessoal;</w:t>
      </w:r>
    </w:p>
    <w:p>
      <w:pPr>
        <w:numPr>
          <w:ilvl w:val="0"/>
          <w:numId w:val="1013"/>
        </w:numPr>
        <w:pStyle w:val="Compact"/>
      </w:pPr>
      <w:r>
        <w:t xml:space="preserve">um rastreador de presença em treinamento;</w:t>
      </w:r>
    </w:p>
    <w:p>
      <w:pPr>
        <w:numPr>
          <w:ilvl w:val="0"/>
          <w:numId w:val="1013"/>
        </w:numPr>
        <w:pStyle w:val="Compact"/>
      </w:pPr>
      <w:r>
        <w:t xml:space="preserve">um mapa de encaminhamento de solicitações de adaptação que evite julgamento médico;</w:t>
      </w:r>
    </w:p>
    <w:p>
      <w:pPr>
        <w:numPr>
          <w:ilvl w:val="0"/>
          <w:numId w:val="1013"/>
        </w:numPr>
        <w:pStyle w:val="Compact"/>
      </w:pPr>
      <w:r>
        <w:t xml:space="preserve">um rastreador de recrutamento que separe critérios ligados ao trabalho de informações proibidas ou irrelevantes;</w:t>
      </w:r>
    </w:p>
    <w:p>
      <w:pPr>
        <w:numPr>
          <w:ilvl w:val="0"/>
          <w:numId w:val="1013"/>
        </w:numPr>
        <w:pStyle w:val="Compact"/>
      </w:pPr>
      <w:r>
        <w:t xml:space="preserve">uma lista de retenção de registros baseada em política fictícia; ou</w:t>
      </w:r>
    </w:p>
    <w:p>
      <w:pPr>
        <w:numPr>
          <w:ilvl w:val="0"/>
          <w:numId w:val="1013"/>
        </w:numPr>
        <w:pStyle w:val="Compact"/>
      </w:pPr>
      <w:r>
        <w:t xml:space="preserve">um painel de documentos ausentes e prazos usando dados inventados.</w:t>
      </w:r>
    </w:p>
    <w:p>
      <w:pPr>
        <w:pStyle w:val="FirstParagraph"/>
      </w:pPr>
      <w:r>
        <w:t xml:space="preserve">Para cada projeto, explique o problema, sua função, o processo, o controle, o resultado e o que aprendeu. Não use formulários proprietários, dados reais de empregados ou capturas confidenciais.</w:t>
      </w:r>
    </w:p>
    <w:bookmarkEnd w:id="43"/>
    <w:bookmarkStart w:id="44" w:name="preparação-para-entrevistas"/>
    <w:p>
      <w:pPr>
        <w:pStyle w:val="Heading2"/>
      </w:pPr>
      <w:r>
        <w:t xml:space="preserve">12. Preparação para entrevistas</w:t>
      </w:r>
    </w:p>
    <w:p>
      <w:pPr>
        <w:pStyle w:val="FirstParagraph"/>
      </w:pPr>
      <w:r>
        <w:t xml:space="preserve">Pratique perguntas como:</w:t>
      </w:r>
    </w:p>
    <w:p>
      <w:pPr>
        <w:numPr>
          <w:ilvl w:val="0"/>
          <w:numId w:val="1014"/>
        </w:numPr>
        <w:pStyle w:val="Compact"/>
      </w:pPr>
      <w:r>
        <w:t xml:space="preserve">O que você faria se um gerente pedisse detalhes médicos de um empregado?</w:t>
      </w:r>
    </w:p>
    <w:p>
      <w:pPr>
        <w:numPr>
          <w:ilvl w:val="0"/>
          <w:numId w:val="1014"/>
        </w:numPr>
        <w:pStyle w:val="Compact"/>
      </w:pPr>
      <w:r>
        <w:t xml:space="preserve">Como lidaria com um registro de antecedentes incompleto ou contestado?</w:t>
      </w:r>
    </w:p>
    <w:p>
      <w:pPr>
        <w:numPr>
          <w:ilvl w:val="0"/>
          <w:numId w:val="1014"/>
        </w:numPr>
        <w:pStyle w:val="Compact"/>
      </w:pPr>
      <w:r>
        <w:t xml:space="preserve">O que faria se um empregado pedisse interpretação de uma lei ou regra de benefícios que você não está autorizado a interpretar?</w:t>
      </w:r>
    </w:p>
    <w:p>
      <w:pPr>
        <w:numPr>
          <w:ilvl w:val="0"/>
          <w:numId w:val="1014"/>
        </w:numPr>
        <w:pStyle w:val="Compact"/>
      </w:pPr>
      <w:r>
        <w:t xml:space="preserve">Como protegeria informações confidenciais continuando prestativo?</w:t>
      </w:r>
    </w:p>
    <w:p>
      <w:pPr>
        <w:numPr>
          <w:ilvl w:val="0"/>
          <w:numId w:val="1014"/>
        </w:numPr>
        <w:pStyle w:val="Compact"/>
      </w:pPr>
      <w:r>
        <w:t xml:space="preserve">Como priorizaria vários prazos de integração?</w:t>
      </w:r>
    </w:p>
    <w:p>
      <w:pPr>
        <w:numPr>
          <w:ilvl w:val="0"/>
          <w:numId w:val="1014"/>
        </w:numPr>
        <w:pStyle w:val="Compact"/>
      </w:pPr>
      <w:r>
        <w:t xml:space="preserve">O que faria se um rascunho gerado por IA contivesse uma afirmação que você não consegue verificar?</w:t>
      </w:r>
    </w:p>
    <w:p>
      <w:pPr>
        <w:pStyle w:val="FirstParagraph"/>
      </w:pPr>
      <w:r>
        <w:t xml:space="preserve">Respostas fortes mostram situação, responsabilidade, ação, evidência, limite, escalonamento e resultado. Não finja que velocidade é mais importante que precisão ou tratamento em conformidade com a lei.</w:t>
      </w:r>
    </w:p>
    <w:bookmarkEnd w:id="44"/>
    <w:bookmarkStart w:id="48" w:name="primeiros-30-60-e-90-dias"/>
    <w:p>
      <w:pPr>
        <w:pStyle w:val="Heading2"/>
      </w:pPr>
      <w:r>
        <w:t xml:space="preserve">13. Primeiros 30, 60 e 90 dias</w:t>
      </w:r>
    </w:p>
    <w:bookmarkStart w:id="45" w:name="primeiros-30-dias"/>
    <w:p>
      <w:pPr>
        <w:pStyle w:val="Heading3"/>
      </w:pPr>
      <w:r>
        <w:t xml:space="preserve">Primeiros 30 dias</w:t>
      </w:r>
    </w:p>
    <w:p>
      <w:pPr>
        <w:pStyle w:val="FirstParagraph"/>
      </w:pPr>
      <w:r>
        <w:t xml:space="preserve">Aprenda políticas, sistemas, terminologia, expectativas de privacidade, limites da função, padrões de registros, caminhos de escalonamento, procedimentos de adaptação e requisitos de cibersegurança.</w:t>
      </w:r>
    </w:p>
    <w:bookmarkEnd w:id="45"/>
    <w:bookmarkStart w:id="46" w:name="dias-3160"/>
    <w:p>
      <w:pPr>
        <w:pStyle w:val="Heading3"/>
      </w:pPr>
      <w:r>
        <w:t xml:space="preserve">Dias 31–60</w:t>
      </w:r>
    </w:p>
    <w:p>
      <w:pPr>
        <w:pStyle w:val="FirstParagraph"/>
      </w:pPr>
      <w:r>
        <w:t xml:space="preserve">Execute trabalho de rotina com revisão. Fortaleça a precisão dos dados, documente decisões, peça feedback, aprenda exceções recorrentes e construa listas de verificação confiáveis.</w:t>
      </w:r>
    </w:p>
    <w:bookmarkEnd w:id="46"/>
    <w:bookmarkStart w:id="47" w:name="dias-6190"/>
    <w:p>
      <w:pPr>
        <w:pStyle w:val="Heading3"/>
      </w:pPr>
      <w:r>
        <w:t xml:space="preserve">Dias 61–90</w:t>
      </w:r>
    </w:p>
    <w:p>
      <w:pPr>
        <w:pStyle w:val="FirstParagraph"/>
      </w:pPr>
      <w:r>
        <w:t xml:space="preserve">Assuma uma carga de trabalho mais ampla dentro de sua autoridade. Proponha uma melhoria de processo baseada em evidências, documente metas de desenvolvimento e identifique a próxima habilidade ou credencial com valor profissional verificado.</w:t>
      </w:r>
    </w:p>
    <w:bookmarkEnd w:id="47"/>
    <w:bookmarkEnd w:id="48"/>
    <w:bookmarkStart w:id="49" w:name="X5200d0b26f5b35c575d5006098dd476f689d3cb"/>
    <w:p>
      <w:pPr>
        <w:pStyle w:val="Heading2"/>
      </w:pPr>
      <w:r>
        <w:t xml:space="preserve">14. Progressão, portabilidade e planejamento de saída</w:t>
      </w:r>
    </w:p>
    <w:p>
      <w:pPr>
        <w:pStyle w:val="FirstParagraph"/>
      </w:pPr>
      <w:r>
        <w:t xml:space="preserve">O apoio de recursos humanos pode levar a funções como:</w:t>
      </w:r>
    </w:p>
    <w:p>
      <w:pPr>
        <w:numPr>
          <w:ilvl w:val="0"/>
          <w:numId w:val="1015"/>
        </w:numPr>
        <w:pStyle w:val="Compact"/>
      </w:pPr>
      <w:r>
        <w:t xml:space="preserve">coordenador de RH;</w:t>
      </w:r>
    </w:p>
    <w:p>
      <w:pPr>
        <w:numPr>
          <w:ilvl w:val="0"/>
          <w:numId w:val="1015"/>
        </w:numPr>
        <w:pStyle w:val="Compact"/>
      </w:pPr>
      <w:r>
        <w:t xml:space="preserve">coordenador de recrutamento;</w:t>
      </w:r>
    </w:p>
    <w:p>
      <w:pPr>
        <w:numPr>
          <w:ilvl w:val="0"/>
          <w:numId w:val="1015"/>
        </w:numPr>
        <w:pStyle w:val="Compact"/>
      </w:pPr>
      <w:r>
        <w:t xml:space="preserve">coordenador de benefícios ou licenças;</w:t>
      </w:r>
    </w:p>
    <w:p>
      <w:pPr>
        <w:numPr>
          <w:ilvl w:val="0"/>
          <w:numId w:val="1015"/>
        </w:numPr>
        <w:pStyle w:val="Compact"/>
      </w:pPr>
      <w:r>
        <w:t xml:space="preserve">coordenador de aprendizagem e desenvolvimento;</w:t>
      </w:r>
    </w:p>
    <w:p>
      <w:pPr>
        <w:numPr>
          <w:ilvl w:val="0"/>
          <w:numId w:val="1015"/>
        </w:numPr>
        <w:pStyle w:val="Compact"/>
      </w:pPr>
      <w:r>
        <w:t xml:space="preserve">suporte de HRIS;</w:t>
      </w:r>
    </w:p>
    <w:p>
      <w:pPr>
        <w:numPr>
          <w:ilvl w:val="0"/>
          <w:numId w:val="1015"/>
        </w:numPr>
        <w:pStyle w:val="Compact"/>
      </w:pPr>
      <w:r>
        <w:t xml:space="preserve">coordenador de people operations;</w:t>
      </w:r>
    </w:p>
    <w:p>
      <w:pPr>
        <w:numPr>
          <w:ilvl w:val="0"/>
          <w:numId w:val="1015"/>
        </w:numPr>
        <w:pStyle w:val="Compact"/>
      </w:pPr>
      <w:r>
        <w:t xml:space="preserve">apoio de folha de pagamento;</w:t>
      </w:r>
    </w:p>
    <w:p>
      <w:pPr>
        <w:numPr>
          <w:ilvl w:val="0"/>
          <w:numId w:val="1015"/>
        </w:numPr>
        <w:pStyle w:val="Compact"/>
      </w:pPr>
      <w:r>
        <w:t xml:space="preserve">apoio de relações com empregados; ou</w:t>
      </w:r>
    </w:p>
    <w:p>
      <w:pPr>
        <w:numPr>
          <w:ilvl w:val="0"/>
          <w:numId w:val="1015"/>
        </w:numPr>
        <w:pStyle w:val="Compact"/>
      </w:pPr>
      <w:r>
        <w:t xml:space="preserve">especialista de recursos humanos após educação, experiência e desenvolvimento adicionais específicos da função.</w:t>
      </w:r>
    </w:p>
    <w:p>
      <w:pPr>
        <w:pStyle w:val="FirstParagraph"/>
      </w:pPr>
      <w:r>
        <w:t xml:space="preserve">Habilidades portáteis incluem integridade de registros, confidencialidade, agendamento, redação empresarial, planilhas, documentação de fluxos, atendimento ao cliente, navegação de políticas, qualidade de dados e julgamento de escalonamento.</w:t>
      </w:r>
    </w:p>
    <w:p>
      <w:pPr>
        <w:pStyle w:val="BodyText"/>
      </w:pPr>
      <w:r>
        <w:t xml:space="preserve">Um bom caminho profissional também tem um plano de saída. Se o trabalho se tornar repetitivo demais, automatizado, inacessível, estressante ou mal remunerado, preserve evidências de suas habilidades transferíveis e considere mudar antes que custos já incorridos o prendam.</w:t>
      </w:r>
    </w:p>
    <w:bookmarkEnd w:id="49"/>
    <w:bookmarkStart w:id="50" w:name="Xe2cfb2f18e13759a6998950464a02803c898421"/>
    <w:p>
      <w:pPr>
        <w:pStyle w:val="Heading2"/>
      </w:pPr>
      <w:r>
        <w:t xml:space="preserve">15. Antes de se matricular, tomar empréstimo, mudar de cidade ou assinar</w:t>
      </w:r>
    </w:p>
    <w:p>
      <w:pPr>
        <w:pStyle w:val="FirstParagraph"/>
      </w:pPr>
      <w:r>
        <w:t xml:space="preserve">Verifique:</w:t>
      </w:r>
    </w:p>
    <w:p>
      <w:pPr>
        <w:numPr>
          <w:ilvl w:val="0"/>
          <w:numId w:val="1016"/>
        </w:numPr>
        <w:pStyle w:val="Compact"/>
      </w:pPr>
      <w:r>
        <w:t xml:space="preserve">o título exato e as tarefas no mercado-alvo;</w:t>
      </w:r>
    </w:p>
    <w:p>
      <w:pPr>
        <w:numPr>
          <w:ilvl w:val="0"/>
          <w:numId w:val="1016"/>
        </w:numPr>
        <w:pStyle w:val="Compact"/>
      </w:pPr>
      <w:r>
        <w:t xml:space="preserve">remuneração local atual e tipo de contrato;</w:t>
      </w:r>
    </w:p>
    <w:p>
      <w:pPr>
        <w:numPr>
          <w:ilvl w:val="0"/>
          <w:numId w:val="1016"/>
        </w:numPr>
        <w:pStyle w:val="Compact"/>
      </w:pPr>
      <w:r>
        <w:t xml:space="preserve">escolaridade e experiência mínimas;</w:t>
      </w:r>
    </w:p>
    <w:p>
      <w:pPr>
        <w:numPr>
          <w:ilvl w:val="0"/>
          <w:numId w:val="1016"/>
        </w:numPr>
        <w:pStyle w:val="Compact"/>
      </w:pPr>
      <w:r>
        <w:t xml:space="preserve">se uma credencial é legalmente obrigatória, preferida ou opcional;</w:t>
      </w:r>
    </w:p>
    <w:p>
      <w:pPr>
        <w:numPr>
          <w:ilvl w:val="0"/>
          <w:numId w:val="1016"/>
        </w:numPr>
        <w:pStyle w:val="Compact"/>
      </w:pPr>
      <w:r>
        <w:t xml:space="preserve">custo total do treinamento;</w:t>
      </w:r>
    </w:p>
    <w:p>
      <w:pPr>
        <w:numPr>
          <w:ilvl w:val="0"/>
          <w:numId w:val="1016"/>
        </w:numPr>
        <w:pStyle w:val="Compact"/>
      </w:pPr>
      <w:r>
        <w:t xml:space="preserve">regras de reembolso e desistência;</w:t>
      </w:r>
    </w:p>
    <w:p>
      <w:pPr>
        <w:numPr>
          <w:ilvl w:val="0"/>
          <w:numId w:val="1016"/>
        </w:numPr>
        <w:pStyle w:val="Compact"/>
      </w:pPr>
      <w:r>
        <w:t xml:space="preserve">acreditação ou reconhecimento público quando relevante;</w:t>
      </w:r>
    </w:p>
    <w:p>
      <w:pPr>
        <w:numPr>
          <w:ilvl w:val="0"/>
          <w:numId w:val="1016"/>
        </w:numPr>
        <w:pStyle w:val="Compact"/>
      </w:pPr>
      <w:r>
        <w:t xml:space="preserve">se créditos são transferíveis;</w:t>
      </w:r>
    </w:p>
    <w:p>
      <w:pPr>
        <w:numPr>
          <w:ilvl w:val="0"/>
          <w:numId w:val="1016"/>
        </w:numPr>
        <w:pStyle w:val="Compact"/>
      </w:pPr>
      <w:r>
        <w:t xml:space="preserve">disponibilidade de aprendizagem ou etapa prática;</w:t>
      </w:r>
    </w:p>
    <w:p>
      <w:pPr>
        <w:numPr>
          <w:ilvl w:val="0"/>
          <w:numId w:val="1016"/>
        </w:numPr>
        <w:pStyle w:val="Compact"/>
      </w:pPr>
      <w:r>
        <w:t xml:space="preserve">acessibilidade ao longo de todo o caminho;</w:t>
      </w:r>
    </w:p>
    <w:p>
      <w:pPr>
        <w:numPr>
          <w:ilvl w:val="0"/>
          <w:numId w:val="1016"/>
        </w:numPr>
        <w:pStyle w:val="Compact"/>
      </w:pPr>
      <w:r>
        <w:t xml:space="preserve">termos de apoio educacional do empregador e condições de reembolso;</w:t>
      </w:r>
    </w:p>
    <w:p>
      <w:pPr>
        <w:numPr>
          <w:ilvl w:val="0"/>
          <w:numId w:val="1016"/>
        </w:numPr>
        <w:pStyle w:val="Compact"/>
      </w:pPr>
      <w:r>
        <w:t xml:space="preserve">requisitos de colocação não remunerada;</w:t>
      </w:r>
    </w:p>
    <w:p>
      <w:pPr>
        <w:numPr>
          <w:ilvl w:val="0"/>
          <w:numId w:val="1016"/>
        </w:numPr>
        <w:pStyle w:val="Compact"/>
      </w:pPr>
      <w:r>
        <w:t xml:space="preserve">requisitos de autorização de trabalho; e</w:t>
      </w:r>
    </w:p>
    <w:p>
      <w:pPr>
        <w:numPr>
          <w:ilvl w:val="0"/>
          <w:numId w:val="1016"/>
        </w:numPr>
        <w:pStyle w:val="Compact"/>
      </w:pPr>
      <w:r>
        <w:t xml:space="preserve">se o caminho ainda faz sentido em um cenário realista de baixa remuneração.</w:t>
      </w:r>
    </w:p>
    <w:bookmarkEnd w:id="50"/>
    <w:bookmarkStart w:id="51" w:name="esta-carreira-é-adequada-para-mim"/>
    <w:p>
      <w:pPr>
        <w:pStyle w:val="Heading2"/>
      </w:pPr>
      <w:r>
        <w:t xml:space="preserve">16. Esta carreira é adequada para mim?</w:t>
      </w:r>
    </w:p>
    <w:p>
      <w:pPr>
        <w:pStyle w:val="FirstParagraph"/>
      </w:pPr>
      <w:r>
        <w:t xml:space="preserve">Marque cada item como</w:t>
      </w:r>
      <w:r>
        <w:t xml:space="preserve"> </w:t>
      </w:r>
      <w:r>
        <w:rPr>
          <w:bCs/>
          <w:b/>
        </w:rPr>
        <w:t xml:space="preserve">Sim</w:t>
      </w:r>
      <w:r>
        <w:t xml:space="preserve">,</w:t>
      </w:r>
      <w:r>
        <w:t xml:space="preserve"> </w:t>
      </w:r>
      <w:r>
        <w:rPr>
          <w:bCs/>
          <w:b/>
        </w:rPr>
        <w:t xml:space="preserve">Ainda não</w:t>
      </w:r>
      <w:r>
        <w:t xml:space="preserve"> </w:t>
      </w:r>
      <w:r>
        <w:t xml:space="preserve">ou</w:t>
      </w:r>
      <w:r>
        <w:t xml:space="preserve"> </w:t>
      </w:r>
      <w:r>
        <w:rPr>
          <w:bCs/>
          <w:b/>
        </w:rPr>
        <w:t xml:space="preserve">Preocupação importante</w:t>
      </w:r>
      <w:r>
        <w:t xml:space="preserve">:</w:t>
      </w:r>
    </w:p>
    <w:p>
      <w:pPr>
        <w:numPr>
          <w:ilvl w:val="0"/>
          <w:numId w:val="1017"/>
        </w:numPr>
        <w:pStyle w:val="Compact"/>
      </w:pPr>
      <w:r>
        <w:t xml:space="preserve">Entendo o trabalho real e testei meu interesse.</w:t>
      </w:r>
    </w:p>
    <w:p>
      <w:pPr>
        <w:numPr>
          <w:ilvl w:val="0"/>
          <w:numId w:val="1017"/>
        </w:numPr>
        <w:pStyle w:val="Compact"/>
      </w:pPr>
      <w:r>
        <w:t xml:space="preserve">Consigo proteger informações sensíveis sem cortar caminhos.</w:t>
      </w:r>
    </w:p>
    <w:p>
      <w:pPr>
        <w:numPr>
          <w:ilvl w:val="0"/>
          <w:numId w:val="1017"/>
        </w:numPr>
        <w:pStyle w:val="Compact"/>
      </w:pPr>
      <w:r>
        <w:t xml:space="preserve">Verifiquei requisitos e salários locais atuais.</w:t>
      </w:r>
    </w:p>
    <w:p>
      <w:pPr>
        <w:numPr>
          <w:ilvl w:val="0"/>
          <w:numId w:val="1017"/>
        </w:numPr>
        <w:pStyle w:val="Compact"/>
      </w:pPr>
      <w:r>
        <w:t xml:space="preserve">Consigo entrar sem assumir dívida insustentável.</w:t>
      </w:r>
    </w:p>
    <w:p>
      <w:pPr>
        <w:numPr>
          <w:ilvl w:val="0"/>
          <w:numId w:val="1017"/>
        </w:numPr>
        <w:pStyle w:val="Compact"/>
      </w:pPr>
      <w:r>
        <w:t xml:space="preserve">Entendo qualquer obrigação de reembolso ao empregador.</w:t>
      </w:r>
    </w:p>
    <w:p>
      <w:pPr>
        <w:numPr>
          <w:ilvl w:val="0"/>
          <w:numId w:val="1017"/>
        </w:numPr>
        <w:pStyle w:val="Compact"/>
      </w:pPr>
      <w:r>
        <w:t xml:space="preserve">Verifiquei acessibilidade para treinamento e trabalho.</w:t>
      </w:r>
    </w:p>
    <w:p>
      <w:pPr>
        <w:numPr>
          <w:ilvl w:val="0"/>
          <w:numId w:val="1017"/>
        </w:numPr>
        <w:pStyle w:val="Compact"/>
      </w:pPr>
      <w:r>
        <w:t xml:space="preserve">O horário e o impacto familiar são viáveis.</w:t>
      </w:r>
    </w:p>
    <w:p>
      <w:pPr>
        <w:numPr>
          <w:ilvl w:val="0"/>
          <w:numId w:val="1017"/>
        </w:numPr>
        <w:pStyle w:val="Compact"/>
      </w:pPr>
      <w:r>
        <w:t xml:space="preserve">Consigo trabalhar dentro dos limites da função e escalar adequadamente.</w:t>
      </w:r>
    </w:p>
    <w:p>
      <w:pPr>
        <w:numPr>
          <w:ilvl w:val="0"/>
          <w:numId w:val="1017"/>
        </w:numPr>
        <w:pStyle w:val="Compact"/>
      </w:pPr>
      <w:r>
        <w:t xml:space="preserve">Tenho plano realista de progressão ou saída.</w:t>
      </w:r>
    </w:p>
    <w:p>
      <w:pPr>
        <w:pStyle w:val="FirstParagraph"/>
      </w:pPr>
      <w:r>
        <w:t xml:space="preserve">Um</w:t>
      </w:r>
      <w:r>
        <w:t xml:space="preserve"> </w:t>
      </w:r>
      <w:r>
        <w:t xml:space="preserve">“</w:t>
      </w:r>
      <w:r>
        <w:t xml:space="preserve">Ainda não</w:t>
      </w:r>
      <w:r>
        <w:t xml:space="preserve">”</w:t>
      </w:r>
      <w:r>
        <w:t xml:space="preserve"> </w:t>
      </w:r>
      <w:r>
        <w:t xml:space="preserve">pode virar uma ação. Uma</w:t>
      </w:r>
      <w:r>
        <w:t xml:space="preserve"> </w:t>
      </w:r>
      <w:r>
        <w:t xml:space="preserve">“</w:t>
      </w:r>
      <w:r>
        <w:t xml:space="preserve">Preocupação importante</w:t>
      </w:r>
      <w:r>
        <w:t xml:space="preserve">”</w:t>
      </w:r>
      <w:r>
        <w:t xml:space="preserve"> </w:t>
      </w:r>
      <w:r>
        <w:t xml:space="preserve">deve ser resolvida antes de gastar valor significativo ou assumir compromisso irreversível.</w:t>
      </w:r>
    </w:p>
    <w:bookmarkEnd w:id="51"/>
    <w:bookmarkStart w:id="52" w:name="plano-de-ação-de-doze-semanas"/>
    <w:p>
      <w:pPr>
        <w:pStyle w:val="Heading2"/>
      </w:pPr>
      <w:r>
        <w:t xml:space="preserve">17. Plano de ação de doze semanas</w:t>
      </w:r>
    </w:p>
    <w:p>
      <w:pPr>
        <w:numPr>
          <w:ilvl w:val="0"/>
          <w:numId w:val="1018"/>
        </w:numPr>
        <w:pStyle w:val="Compact"/>
      </w:pPr>
      <w:r>
        <w:rPr>
          <w:bCs/>
          <w:b/>
        </w:rPr>
        <w:t xml:space="preserve">Semana 1:</w:t>
      </w:r>
      <w:r>
        <w:t xml:space="preserve"> </w:t>
      </w:r>
      <w:r>
        <w:t xml:space="preserve">reúna 10–20 vagas locais atuais e registre títulos, remuneração, escolaridade, experiência e software.</w:t>
      </w:r>
    </w:p>
    <w:p>
      <w:pPr>
        <w:numPr>
          <w:ilvl w:val="0"/>
          <w:numId w:val="1018"/>
        </w:numPr>
        <w:pStyle w:val="Compact"/>
      </w:pPr>
      <w:r>
        <w:rPr>
          <w:bCs/>
          <w:b/>
        </w:rPr>
        <w:t xml:space="preserve">Semana 2:</w:t>
      </w:r>
      <w:r>
        <w:t xml:space="preserve"> </w:t>
      </w:r>
      <w:r>
        <w:t xml:space="preserve">identifique as tarefas que aparecem com mais frequência.</w:t>
      </w:r>
    </w:p>
    <w:p>
      <w:pPr>
        <w:numPr>
          <w:ilvl w:val="0"/>
          <w:numId w:val="1018"/>
        </w:numPr>
        <w:pStyle w:val="Compact"/>
      </w:pPr>
      <w:r>
        <w:rPr>
          <w:bCs/>
          <w:b/>
        </w:rPr>
        <w:t xml:space="preserve">Semana 3:</w:t>
      </w:r>
      <w:r>
        <w:t xml:space="preserve"> </w:t>
      </w:r>
      <w:r>
        <w:t xml:space="preserve">teste essas tarefas com prática gratuita usando dados fictícios.</w:t>
      </w:r>
    </w:p>
    <w:p>
      <w:pPr>
        <w:numPr>
          <w:ilvl w:val="0"/>
          <w:numId w:val="1018"/>
        </w:numPr>
        <w:pStyle w:val="Compact"/>
      </w:pPr>
      <w:r>
        <w:rPr>
          <w:bCs/>
          <w:b/>
        </w:rPr>
        <w:t xml:space="preserve">Semana 4:</w:t>
      </w:r>
      <w:r>
        <w:t xml:space="preserve"> </w:t>
      </w:r>
      <w:r>
        <w:t xml:space="preserve">compare suas habilidades atuais com as evidências das vagas.</w:t>
      </w:r>
    </w:p>
    <w:p>
      <w:pPr>
        <w:numPr>
          <w:ilvl w:val="0"/>
          <w:numId w:val="1018"/>
        </w:numPr>
        <w:pStyle w:val="Compact"/>
      </w:pPr>
      <w:r>
        <w:rPr>
          <w:bCs/>
          <w:b/>
        </w:rPr>
        <w:t xml:space="preserve">Semana 5:</w:t>
      </w:r>
      <w:r>
        <w:t xml:space="preserve"> </w:t>
      </w:r>
      <w:r>
        <w:t xml:space="preserve">identifique aprendizagem gratuita, pública ou apoiada por empregador que feche as lacunas mais importantes.</w:t>
      </w:r>
    </w:p>
    <w:p>
      <w:pPr>
        <w:numPr>
          <w:ilvl w:val="0"/>
          <w:numId w:val="1018"/>
        </w:numPr>
        <w:pStyle w:val="Compact"/>
      </w:pPr>
      <w:r>
        <w:rPr>
          <w:bCs/>
          <w:b/>
        </w:rPr>
        <w:t xml:space="preserve">Semana 6:</w:t>
      </w:r>
      <w:r>
        <w:t xml:space="preserve"> </w:t>
      </w:r>
      <w:r>
        <w:t xml:space="preserve">verifique financiamento, bolsas, aprendizagem ou apoio educacional do empregador.</w:t>
      </w:r>
    </w:p>
    <w:p>
      <w:pPr>
        <w:numPr>
          <w:ilvl w:val="0"/>
          <w:numId w:val="1018"/>
        </w:numPr>
        <w:pStyle w:val="Compact"/>
      </w:pPr>
      <w:r>
        <w:rPr>
          <w:bCs/>
          <w:b/>
        </w:rPr>
        <w:t xml:space="preserve">Semana 7:</w:t>
      </w:r>
      <w:r>
        <w:t xml:space="preserve"> </w:t>
      </w:r>
      <w:r>
        <w:t xml:space="preserve">crie um projeto de portfólio seguro para privacidade.</w:t>
      </w:r>
    </w:p>
    <w:p>
      <w:pPr>
        <w:numPr>
          <w:ilvl w:val="0"/>
          <w:numId w:val="1018"/>
        </w:numPr>
        <w:pStyle w:val="Compact"/>
      </w:pPr>
      <w:r>
        <w:rPr>
          <w:bCs/>
          <w:b/>
        </w:rPr>
        <w:t xml:space="preserve">Semana 8:</w:t>
      </w:r>
      <w:r>
        <w:t xml:space="preserve"> </w:t>
      </w:r>
      <w:r>
        <w:t xml:space="preserve">crie um segundo projeto focado em precisão de registros ou controle de fluxo.</w:t>
      </w:r>
    </w:p>
    <w:p>
      <w:pPr>
        <w:numPr>
          <w:ilvl w:val="0"/>
          <w:numId w:val="1018"/>
        </w:numPr>
        <w:pStyle w:val="Compact"/>
      </w:pPr>
      <w:r>
        <w:rPr>
          <w:bCs/>
          <w:b/>
        </w:rPr>
        <w:t xml:space="preserve">Semana 9:</w:t>
      </w:r>
      <w:r>
        <w:t xml:space="preserve"> </w:t>
      </w:r>
      <w:r>
        <w:t xml:space="preserve">revise seu currículo usando evidências verdadeiras de trabalho anterior e nova prática.</w:t>
      </w:r>
    </w:p>
    <w:p>
      <w:pPr>
        <w:numPr>
          <w:ilvl w:val="0"/>
          <w:numId w:val="1018"/>
        </w:numPr>
        <w:pStyle w:val="Compact"/>
      </w:pPr>
      <w:r>
        <w:rPr>
          <w:bCs/>
          <w:b/>
        </w:rPr>
        <w:t xml:space="preserve">Semana 10:</w:t>
      </w:r>
      <w:r>
        <w:t xml:space="preserve"> </w:t>
      </w:r>
      <w:r>
        <w:t xml:space="preserve">pratique entrevistas e cenários de escalonamento.</w:t>
      </w:r>
    </w:p>
    <w:p>
      <w:pPr>
        <w:numPr>
          <w:ilvl w:val="0"/>
          <w:numId w:val="1018"/>
        </w:numPr>
        <w:pStyle w:val="Compact"/>
      </w:pPr>
      <w:r>
        <w:rPr>
          <w:bCs/>
          <w:b/>
        </w:rPr>
        <w:t xml:space="preserve">Semana 11:</w:t>
      </w:r>
      <w:r>
        <w:t xml:space="preserve"> </w:t>
      </w:r>
      <w:r>
        <w:t xml:space="preserve">candidate-se seletivamente a funções compatíveis com suas capacidades verificadas.</w:t>
      </w:r>
    </w:p>
    <w:p>
      <w:pPr>
        <w:numPr>
          <w:ilvl w:val="0"/>
          <w:numId w:val="1018"/>
        </w:numPr>
        <w:pStyle w:val="Compact"/>
      </w:pPr>
      <w:r>
        <w:rPr>
          <w:bCs/>
          <w:b/>
        </w:rPr>
        <w:t xml:space="preserve">Semana 12:</w:t>
      </w:r>
      <w:r>
        <w:t xml:space="preserve"> </w:t>
      </w:r>
      <w:r>
        <w:t xml:space="preserve">revise os resultados e decida se continua, muda o título-alvo ou busca treinamento adicional.</w:t>
      </w:r>
    </w:p>
    <w:bookmarkEnd w:id="52"/>
    <w:bookmarkStart w:id="56" w:name="planilhas-de-trabalho"/>
    <w:p>
      <w:pPr>
        <w:pStyle w:val="Heading2"/>
      </w:pPr>
      <w:r>
        <w:t xml:space="preserve">18. Planilhas de trabalho</w:t>
      </w:r>
    </w:p>
    <w:bookmarkStart w:id="53" w:name="comparação-de-vagas-locais"/>
    <w:p>
      <w:pPr>
        <w:pStyle w:val="Heading3"/>
      </w:pPr>
      <w:r>
        <w:t xml:space="preserve">Comparação de vagas locais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Campo</w:t>
            </w:r>
          </w:p>
        </w:tc>
        <w:tc>
          <w:tcPr/>
          <w:p>
            <w:pPr>
              <w:pStyle w:val="Compact"/>
              <w:jc w:val="left"/>
            </w:pPr>
            <w:r>
              <w:t xml:space="preserve">Vaga 1</w:t>
            </w:r>
          </w:p>
        </w:tc>
        <w:tc>
          <w:tcPr/>
          <w:p>
            <w:pPr>
              <w:pStyle w:val="Compact"/>
              <w:jc w:val="left"/>
            </w:pPr>
            <w:r>
              <w:t xml:space="preserve">Vaga 2</w:t>
            </w:r>
          </w:p>
        </w:tc>
        <w:tc>
          <w:tcPr/>
          <w:p>
            <w:pPr>
              <w:pStyle w:val="Compact"/>
              <w:jc w:val="left"/>
            </w:pPr>
            <w:r>
              <w:t xml:space="preserve">Vaga 3</w:t>
            </w:r>
          </w:p>
        </w:tc>
      </w:tr>
      <w:tr>
        <w:tc>
          <w:tcPr/>
          <w:p>
            <w:pPr>
              <w:pStyle w:val="Compact"/>
              <w:jc w:val="left"/>
            </w:pPr>
            <w:r>
              <w:t xml:space="preserve">Título exato</w:t>
            </w:r>
          </w:p>
        </w:tc>
        <w:tc>
          <w:tcPr/>
          <w:p>
            <w:pPr>
              <w:pStyle w:val="Compact"/>
            </w:pPr>
          </w:p>
        </w:tc>
        <w:tc>
          <w:tcPr/>
          <w:p>
            <w:pPr>
              <w:pStyle w:val="Compact"/>
            </w:pPr>
          </w:p>
        </w:tc>
        <w:tc>
          <w:tcPr/>
          <w:p>
            <w:pPr>
              <w:pStyle w:val="Compact"/>
            </w:pPr>
          </w:p>
        </w:tc>
      </w:tr>
      <w:tr>
        <w:tc>
          <w:tcPr/>
          <w:p>
            <w:pPr>
              <w:pStyle w:val="Compact"/>
              <w:jc w:val="left"/>
            </w:pPr>
            <w:r>
              <w:t xml:space="preserve">Localização</w:t>
            </w:r>
          </w:p>
        </w:tc>
        <w:tc>
          <w:tcPr/>
          <w:p>
            <w:pPr>
              <w:pStyle w:val="Compact"/>
            </w:pPr>
          </w:p>
        </w:tc>
        <w:tc>
          <w:tcPr/>
          <w:p>
            <w:pPr>
              <w:pStyle w:val="Compact"/>
            </w:pPr>
          </w:p>
        </w:tc>
        <w:tc>
          <w:tcPr/>
          <w:p>
            <w:pPr>
              <w:pStyle w:val="Compact"/>
            </w:pPr>
          </w:p>
        </w:tc>
      </w:tr>
      <w:tr>
        <w:tc>
          <w:tcPr/>
          <w:p>
            <w:pPr>
              <w:pStyle w:val="Compact"/>
              <w:jc w:val="left"/>
            </w:pPr>
            <w:r>
              <w:t xml:space="preserve">Remuneração</w:t>
            </w:r>
          </w:p>
        </w:tc>
        <w:tc>
          <w:tcPr/>
          <w:p>
            <w:pPr>
              <w:pStyle w:val="Compact"/>
            </w:pPr>
          </w:p>
        </w:tc>
        <w:tc>
          <w:tcPr/>
          <w:p>
            <w:pPr>
              <w:pStyle w:val="Compact"/>
            </w:pPr>
          </w:p>
        </w:tc>
        <w:tc>
          <w:tcPr/>
          <w:p>
            <w:pPr>
              <w:pStyle w:val="Compact"/>
            </w:pPr>
          </w:p>
        </w:tc>
      </w:tr>
      <w:tr>
        <w:tc>
          <w:tcPr/>
          <w:p>
            <w:pPr>
              <w:pStyle w:val="Compact"/>
              <w:jc w:val="left"/>
            </w:pPr>
            <w:r>
              <w:t xml:space="preserve">Tipo de contrato</w:t>
            </w:r>
          </w:p>
        </w:tc>
        <w:tc>
          <w:tcPr/>
          <w:p>
            <w:pPr>
              <w:pStyle w:val="Compact"/>
            </w:pPr>
          </w:p>
        </w:tc>
        <w:tc>
          <w:tcPr/>
          <w:p>
            <w:pPr>
              <w:pStyle w:val="Compact"/>
            </w:pPr>
          </w:p>
        </w:tc>
        <w:tc>
          <w:tcPr/>
          <w:p>
            <w:pPr>
              <w:pStyle w:val="Compact"/>
            </w:pPr>
          </w:p>
        </w:tc>
      </w:tr>
      <w:tr>
        <w:tc>
          <w:tcPr/>
          <w:p>
            <w:pPr>
              <w:pStyle w:val="Compact"/>
              <w:jc w:val="left"/>
            </w:pPr>
            <w:r>
              <w:t xml:space="preserve">Escolaridade</w:t>
            </w:r>
          </w:p>
        </w:tc>
        <w:tc>
          <w:tcPr/>
          <w:p>
            <w:pPr>
              <w:pStyle w:val="Compact"/>
            </w:pPr>
          </w:p>
        </w:tc>
        <w:tc>
          <w:tcPr/>
          <w:p>
            <w:pPr>
              <w:pStyle w:val="Compact"/>
            </w:pPr>
          </w:p>
        </w:tc>
        <w:tc>
          <w:tcPr/>
          <w:p>
            <w:pPr>
              <w:pStyle w:val="Compact"/>
            </w:pPr>
          </w:p>
        </w:tc>
      </w:tr>
      <w:tr>
        <w:tc>
          <w:tcPr/>
          <w:p>
            <w:pPr>
              <w:pStyle w:val="Compact"/>
              <w:jc w:val="left"/>
            </w:pPr>
            <w:r>
              <w:t xml:space="preserve">Experiência</w:t>
            </w:r>
          </w:p>
        </w:tc>
        <w:tc>
          <w:tcPr/>
          <w:p>
            <w:pPr>
              <w:pStyle w:val="Compact"/>
            </w:pPr>
          </w:p>
        </w:tc>
        <w:tc>
          <w:tcPr/>
          <w:p>
            <w:pPr>
              <w:pStyle w:val="Compact"/>
            </w:pPr>
          </w:p>
        </w:tc>
        <w:tc>
          <w:tcPr/>
          <w:p>
            <w:pPr>
              <w:pStyle w:val="Compact"/>
            </w:pPr>
          </w:p>
        </w:tc>
      </w:tr>
      <w:tr>
        <w:tc>
          <w:tcPr/>
          <w:p>
            <w:pPr>
              <w:pStyle w:val="Compact"/>
              <w:jc w:val="left"/>
            </w:pPr>
            <w:r>
              <w:t xml:space="preserve">Software exigido</w:t>
            </w:r>
          </w:p>
        </w:tc>
        <w:tc>
          <w:tcPr/>
          <w:p>
            <w:pPr>
              <w:pStyle w:val="Compact"/>
            </w:pPr>
          </w:p>
        </w:tc>
        <w:tc>
          <w:tcPr/>
          <w:p>
            <w:pPr>
              <w:pStyle w:val="Compact"/>
            </w:pPr>
          </w:p>
        </w:tc>
        <w:tc>
          <w:tcPr/>
          <w:p>
            <w:pPr>
              <w:pStyle w:val="Compact"/>
            </w:pPr>
          </w:p>
        </w:tc>
      </w:tr>
      <w:tr>
        <w:tc>
          <w:tcPr/>
          <w:p>
            <w:pPr>
              <w:pStyle w:val="Compact"/>
              <w:jc w:val="left"/>
            </w:pPr>
            <w:r>
              <w:t xml:space="preserve">Principais tarefas</w:t>
            </w:r>
          </w:p>
        </w:tc>
        <w:tc>
          <w:tcPr/>
          <w:p>
            <w:pPr>
              <w:pStyle w:val="Compact"/>
            </w:pPr>
          </w:p>
        </w:tc>
        <w:tc>
          <w:tcPr/>
          <w:p>
            <w:pPr>
              <w:pStyle w:val="Compact"/>
            </w:pPr>
          </w:p>
        </w:tc>
        <w:tc>
          <w:tcPr/>
          <w:p>
            <w:pPr>
              <w:pStyle w:val="Compact"/>
            </w:pPr>
          </w:p>
        </w:tc>
      </w:tr>
      <w:tr>
        <w:tc>
          <w:tcPr/>
          <w:p>
            <w:pPr>
              <w:pStyle w:val="Compact"/>
              <w:jc w:val="left"/>
            </w:pPr>
            <w:r>
              <w:t xml:space="preserve">Benefícios</w:t>
            </w:r>
          </w:p>
        </w:tc>
        <w:tc>
          <w:tcPr/>
          <w:p>
            <w:pPr>
              <w:pStyle w:val="Compact"/>
            </w:pPr>
          </w:p>
        </w:tc>
        <w:tc>
          <w:tcPr/>
          <w:p>
            <w:pPr>
              <w:pStyle w:val="Compact"/>
            </w:pPr>
          </w:p>
        </w:tc>
        <w:tc>
          <w:tcPr/>
          <w:p>
            <w:pPr>
              <w:pStyle w:val="Compact"/>
            </w:pPr>
          </w:p>
        </w:tc>
      </w:tr>
      <w:tr>
        <w:tc>
          <w:tcPr/>
          <w:p>
            <w:pPr>
              <w:pStyle w:val="Compact"/>
              <w:jc w:val="left"/>
            </w:pPr>
            <w:r>
              <w:t xml:space="preserve">Data da publicação</w:t>
            </w:r>
          </w:p>
        </w:tc>
        <w:tc>
          <w:tcPr/>
          <w:p>
            <w:pPr>
              <w:pStyle w:val="Compact"/>
            </w:pPr>
          </w:p>
        </w:tc>
        <w:tc>
          <w:tcPr/>
          <w:p>
            <w:pPr>
              <w:pStyle w:val="Compact"/>
            </w:pPr>
          </w:p>
        </w:tc>
        <w:tc>
          <w:tcPr/>
          <w:p>
            <w:pPr>
              <w:pStyle w:val="Compact"/>
            </w:pPr>
          </w:p>
        </w:tc>
      </w:tr>
    </w:tbl>
    <w:bookmarkEnd w:id="53"/>
    <w:bookmarkStart w:id="54" w:name="planilha-de-custos-de-treinamento"/>
    <w:p>
      <w:pPr>
        <w:pStyle w:val="Heading3"/>
      </w:pPr>
      <w:r>
        <w:t xml:space="preserve">Planilha de custos de treinamento</w:t>
      </w:r>
    </w:p>
    <w:tbl>
      <w:tblPr>
        <w:tblStyle w:val="Table"/>
        <w:tblW w:type="pct" w:w="5000"/>
        <w:tblLook w:firstRow="1" w:lastRow="0" w:firstColumn="0" w:lastColumn="0" w:noHBand="0" w:noVBand="0" w:val="0020"/>
        <w:jc w:val="start"/>
      </w:tblPr>
      <w:tblGrid>
        <w:gridCol w:w="1827"/>
        <w:gridCol w:w="2436"/>
        <w:gridCol w:w="1827"/>
        <w:gridCol w:w="1827"/>
      </w:tblGrid>
      <w:tr>
        <w:trPr>
          <w:tblHeader w:val="true"/>
        </w:trPr>
        <w:tc>
          <w:tcPr/>
          <w:p>
            <w:pPr>
              <w:pStyle w:val="Compact"/>
              <w:jc w:val="left"/>
            </w:pPr>
            <w:r>
              <w:t xml:space="preserve">Categoria de custo</w:t>
            </w:r>
          </w:p>
        </w:tc>
        <w:tc>
          <w:tcPr/>
          <w:p>
            <w:pPr>
              <w:pStyle w:val="Compact"/>
              <w:jc w:val="right"/>
            </w:pPr>
            <w:r>
              <w:t xml:space="preserve">Estimativa</w:t>
            </w:r>
          </w:p>
        </w:tc>
        <w:tc>
          <w:tcPr/>
          <w:p>
            <w:pPr>
              <w:pStyle w:val="Compact"/>
              <w:jc w:val="left"/>
            </w:pPr>
            <w:r>
              <w:t xml:space="preserve">Quem pode pagar?</w:t>
            </w:r>
          </w:p>
        </w:tc>
        <w:tc>
          <w:tcPr/>
          <w:p>
            <w:pPr>
              <w:pStyle w:val="Compact"/>
              <w:jc w:val="left"/>
            </w:pPr>
            <w:r>
              <w:t xml:space="preserve">Fonte/data verificada</w:t>
            </w:r>
          </w:p>
        </w:tc>
      </w:tr>
      <w:tr>
        <w:tc>
          <w:tcPr/>
          <w:p>
            <w:pPr>
              <w:pStyle w:val="Compact"/>
              <w:jc w:val="left"/>
            </w:pPr>
            <w:r>
              <w:t xml:space="preserve">Mensalidade e taxas</w:t>
            </w:r>
          </w:p>
        </w:tc>
        <w:tc>
          <w:tcPr/>
          <w:p>
            <w:pPr>
              <w:pStyle w:val="Compact"/>
            </w:pPr>
          </w:p>
        </w:tc>
        <w:tc>
          <w:tcPr/>
          <w:p>
            <w:pPr>
              <w:pStyle w:val="Compact"/>
            </w:pPr>
          </w:p>
        </w:tc>
        <w:tc>
          <w:tcPr/>
          <w:p>
            <w:pPr>
              <w:pStyle w:val="Compact"/>
            </w:pPr>
          </w:p>
        </w:tc>
      </w:tr>
      <w:tr>
        <w:tc>
          <w:tcPr/>
          <w:p>
            <w:pPr>
              <w:pStyle w:val="Compact"/>
              <w:jc w:val="left"/>
            </w:pPr>
            <w:r>
              <w:t xml:space="preserve">Livros e software</w:t>
            </w:r>
          </w:p>
        </w:tc>
        <w:tc>
          <w:tcPr/>
          <w:p>
            <w:pPr>
              <w:pStyle w:val="Compact"/>
            </w:pPr>
          </w:p>
        </w:tc>
        <w:tc>
          <w:tcPr/>
          <w:p>
            <w:pPr>
              <w:pStyle w:val="Compact"/>
            </w:pPr>
          </w:p>
        </w:tc>
        <w:tc>
          <w:tcPr/>
          <w:p>
            <w:pPr>
              <w:pStyle w:val="Compact"/>
            </w:pPr>
          </w:p>
        </w:tc>
      </w:tr>
      <w:tr>
        <w:tc>
          <w:tcPr/>
          <w:p>
            <w:pPr>
              <w:pStyle w:val="Compact"/>
              <w:jc w:val="left"/>
            </w:pPr>
            <w:r>
              <w:t xml:space="preserve">Exames ou credenciais</w:t>
            </w:r>
          </w:p>
        </w:tc>
        <w:tc>
          <w:tcPr/>
          <w:p>
            <w:pPr>
              <w:pStyle w:val="Compact"/>
            </w:pPr>
          </w:p>
        </w:tc>
        <w:tc>
          <w:tcPr/>
          <w:p>
            <w:pPr>
              <w:pStyle w:val="Compact"/>
            </w:pPr>
          </w:p>
        </w:tc>
        <w:tc>
          <w:tcPr/>
          <w:p>
            <w:pPr>
              <w:pStyle w:val="Compact"/>
            </w:pPr>
          </w:p>
        </w:tc>
      </w:tr>
      <w:tr>
        <w:tc>
          <w:tcPr/>
          <w:p>
            <w:pPr>
              <w:pStyle w:val="Compact"/>
              <w:jc w:val="left"/>
            </w:pPr>
            <w:r>
              <w:t xml:space="preserve">Equipamentos e internet</w:t>
            </w:r>
          </w:p>
        </w:tc>
        <w:tc>
          <w:tcPr/>
          <w:p>
            <w:pPr>
              <w:pStyle w:val="Compact"/>
            </w:pPr>
          </w:p>
        </w:tc>
        <w:tc>
          <w:tcPr/>
          <w:p>
            <w:pPr>
              <w:pStyle w:val="Compact"/>
            </w:pPr>
          </w:p>
        </w:tc>
        <w:tc>
          <w:tcPr/>
          <w:p>
            <w:pPr>
              <w:pStyle w:val="Compact"/>
            </w:pPr>
          </w:p>
        </w:tc>
      </w:tr>
      <w:tr>
        <w:tc>
          <w:tcPr/>
          <w:p>
            <w:pPr>
              <w:pStyle w:val="Compact"/>
              <w:jc w:val="left"/>
            </w:pPr>
            <w:r>
              <w:t xml:space="preserve">Transporte</w:t>
            </w:r>
          </w:p>
        </w:tc>
        <w:tc>
          <w:tcPr/>
          <w:p>
            <w:pPr>
              <w:pStyle w:val="Compact"/>
            </w:pPr>
          </w:p>
        </w:tc>
        <w:tc>
          <w:tcPr/>
          <w:p>
            <w:pPr>
              <w:pStyle w:val="Compact"/>
            </w:pPr>
          </w:p>
        </w:tc>
        <w:tc>
          <w:tcPr/>
          <w:p>
            <w:pPr>
              <w:pStyle w:val="Compact"/>
            </w:pPr>
          </w:p>
        </w:tc>
      </w:tr>
      <w:tr>
        <w:tc>
          <w:tcPr/>
          <w:p>
            <w:pPr>
              <w:pStyle w:val="Compact"/>
              <w:jc w:val="left"/>
            </w:pPr>
            <w:r>
              <w:t xml:space="preserve">Cuidado infantil ou de idosos</w:t>
            </w:r>
          </w:p>
        </w:tc>
        <w:tc>
          <w:tcPr/>
          <w:p>
            <w:pPr>
              <w:pStyle w:val="Compact"/>
            </w:pPr>
          </w:p>
        </w:tc>
        <w:tc>
          <w:tcPr/>
          <w:p>
            <w:pPr>
              <w:pStyle w:val="Compact"/>
            </w:pPr>
          </w:p>
        </w:tc>
        <w:tc>
          <w:tcPr/>
          <w:p>
            <w:pPr>
              <w:pStyle w:val="Compact"/>
            </w:pPr>
          </w:p>
        </w:tc>
      </w:tr>
      <w:tr>
        <w:tc>
          <w:tcPr/>
          <w:p>
            <w:pPr>
              <w:pStyle w:val="Compact"/>
              <w:jc w:val="left"/>
            </w:pPr>
            <w:r>
              <w:t xml:space="preserve">Salários perdidos</w:t>
            </w:r>
          </w:p>
        </w:tc>
        <w:tc>
          <w:tcPr/>
          <w:p>
            <w:pPr>
              <w:pStyle w:val="Compact"/>
            </w:pPr>
          </w:p>
        </w:tc>
        <w:tc>
          <w:tcPr/>
          <w:p>
            <w:pPr>
              <w:pStyle w:val="Compact"/>
            </w:pPr>
          </w:p>
        </w:tc>
        <w:tc>
          <w:tcPr/>
          <w:p>
            <w:pPr>
              <w:pStyle w:val="Compact"/>
            </w:pPr>
          </w:p>
        </w:tc>
      </w:tr>
      <w:tr>
        <w:tc>
          <w:tcPr/>
          <w:p>
            <w:pPr>
              <w:pStyle w:val="Compact"/>
              <w:jc w:val="left"/>
            </w:pPr>
            <w:r>
              <w:t xml:space="preserve">Outros custos</w:t>
            </w:r>
          </w:p>
        </w:tc>
        <w:tc>
          <w:tcPr/>
          <w:p>
            <w:pPr>
              <w:pStyle w:val="Compact"/>
            </w:pPr>
          </w:p>
        </w:tc>
        <w:tc>
          <w:tcPr/>
          <w:p>
            <w:pPr>
              <w:pStyle w:val="Compact"/>
            </w:pPr>
          </w:p>
        </w:tc>
        <w:tc>
          <w:tcPr/>
          <w:p>
            <w:pPr>
              <w:pStyle w:val="Compact"/>
            </w:pPr>
          </w:p>
        </w:tc>
      </w:tr>
    </w:tbl>
    <w:bookmarkEnd w:id="54"/>
    <w:bookmarkStart w:id="55" w:name="planilha-de-educação-do-empregador"/>
    <w:p>
      <w:pPr>
        <w:pStyle w:val="Heading3"/>
      </w:pPr>
      <w:r>
        <w:t xml:space="preserve">Planilha de educação do empregador</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Pergunta</w:t>
            </w:r>
          </w:p>
        </w:tc>
        <w:tc>
          <w:tcPr/>
          <w:p>
            <w:pPr>
              <w:pStyle w:val="Compact"/>
              <w:jc w:val="left"/>
            </w:pPr>
            <w:r>
              <w:t xml:space="preserve">Resposta por escrito</w:t>
            </w:r>
          </w:p>
        </w:tc>
      </w:tr>
      <w:tr>
        <w:tc>
          <w:tcPr/>
          <w:p>
            <w:pPr>
              <w:pStyle w:val="Compact"/>
              <w:jc w:val="left"/>
            </w:pPr>
            <w:r>
              <w:t xml:space="preserve">O que é coberto?</w:t>
            </w:r>
          </w:p>
        </w:tc>
        <w:tc>
          <w:tcPr/>
          <w:p>
            <w:pPr>
              <w:pStyle w:val="Compact"/>
            </w:pPr>
          </w:p>
        </w:tc>
      </w:tr>
      <w:tr>
        <w:tc>
          <w:tcPr/>
          <w:p>
            <w:pPr>
              <w:pStyle w:val="Compact"/>
              <w:jc w:val="left"/>
            </w:pPr>
            <w:r>
              <w:t xml:space="preserve">Pagamento direto ou reembolso?</w:t>
            </w:r>
          </w:p>
        </w:tc>
        <w:tc>
          <w:tcPr/>
          <w:p>
            <w:pPr>
              <w:pStyle w:val="Compact"/>
            </w:pPr>
          </w:p>
        </w:tc>
      </w:tr>
      <w:tr>
        <w:tc>
          <w:tcPr/>
          <w:p>
            <w:pPr>
              <w:pStyle w:val="Compact"/>
              <w:jc w:val="left"/>
            </w:pPr>
            <w:r>
              <w:t xml:space="preserve">Exigência de nota ou conclusão?</w:t>
            </w:r>
          </w:p>
        </w:tc>
        <w:tc>
          <w:tcPr/>
          <w:p>
            <w:pPr>
              <w:pStyle w:val="Compact"/>
            </w:pPr>
          </w:p>
        </w:tc>
      </w:tr>
      <w:tr>
        <w:tc>
          <w:tcPr/>
          <w:p>
            <w:pPr>
              <w:pStyle w:val="Compact"/>
              <w:jc w:val="left"/>
            </w:pPr>
            <w:r>
              <w:t xml:space="preserve">Período de emprego obrigatório?</w:t>
            </w:r>
          </w:p>
        </w:tc>
        <w:tc>
          <w:tcPr/>
          <w:p>
            <w:pPr>
              <w:pStyle w:val="Compact"/>
            </w:pPr>
          </w:p>
        </w:tc>
      </w:tr>
      <w:tr>
        <w:tc>
          <w:tcPr/>
          <w:p>
            <w:pPr>
              <w:pStyle w:val="Compact"/>
              <w:jc w:val="left"/>
            </w:pPr>
            <w:r>
              <w:t xml:space="preserve">Fórmula de reembolso proporcional?</w:t>
            </w:r>
          </w:p>
        </w:tc>
        <w:tc>
          <w:tcPr/>
          <w:p>
            <w:pPr>
              <w:pStyle w:val="Compact"/>
            </w:pPr>
          </w:p>
        </w:tc>
      </w:tr>
      <w:tr>
        <w:tc>
          <w:tcPr/>
          <w:p>
            <w:pPr>
              <w:pStyle w:val="Compact"/>
              <w:jc w:val="left"/>
            </w:pPr>
            <w:r>
              <w:t xml:space="preserve">Tratamento de demissão/eliminação do cargo?</w:t>
            </w:r>
          </w:p>
        </w:tc>
        <w:tc>
          <w:tcPr/>
          <w:p>
            <w:pPr>
              <w:pStyle w:val="Compact"/>
            </w:pPr>
          </w:p>
        </w:tc>
      </w:tr>
      <w:tr>
        <w:tc>
          <w:tcPr/>
          <w:p>
            <w:pPr>
              <w:pStyle w:val="Compact"/>
              <w:jc w:val="left"/>
            </w:pPr>
            <w:r>
              <w:t xml:space="preserve">Tratamento de deficiência/serviço militar/aposentadoria/transferência?</w:t>
            </w:r>
          </w:p>
        </w:tc>
        <w:tc>
          <w:tcPr/>
          <w:p>
            <w:pPr>
              <w:pStyle w:val="Compact"/>
            </w:pPr>
          </w:p>
        </w:tc>
      </w:tr>
      <w:tr>
        <w:tc>
          <w:tcPr/>
          <w:p>
            <w:pPr>
              <w:pStyle w:val="Compact"/>
              <w:jc w:val="left"/>
            </w:pPr>
            <w:r>
              <w:t xml:space="preserve">Autoridade para dedução do salário final?</w:t>
            </w:r>
          </w:p>
        </w:tc>
        <w:tc>
          <w:tcPr/>
          <w:p>
            <w:pPr>
              <w:pStyle w:val="Compact"/>
            </w:pPr>
          </w:p>
        </w:tc>
      </w:tr>
      <w:tr>
        <w:tc>
          <w:tcPr/>
          <w:p>
            <w:pPr>
              <w:pStyle w:val="Compact"/>
              <w:jc w:val="left"/>
            </w:pPr>
            <w:r>
              <w:t xml:space="preserve">Quem é dono da credencial e dos registros?</w:t>
            </w:r>
          </w:p>
        </w:tc>
        <w:tc>
          <w:tcPr/>
          <w:p>
            <w:pPr>
              <w:pStyle w:val="Compact"/>
            </w:pPr>
          </w:p>
        </w:tc>
      </w:tr>
    </w:tbl>
    <w:bookmarkEnd w:id="55"/>
    <w:bookmarkEnd w:id="56"/>
    <w:bookmarkStart w:id="60" w:name="fontes-versão-e-manutenção"/>
    <w:p>
      <w:pPr>
        <w:pStyle w:val="Heading2"/>
      </w:pPr>
      <w:r>
        <w:t xml:space="preserve">19. Fontes, versão e manutenção</w:t>
      </w:r>
    </w:p>
    <w:bookmarkStart w:id="57" w:name="fontes-públicas-oficiais-e-primárias"/>
    <w:p>
      <w:pPr>
        <w:pStyle w:val="Heading3"/>
      </w:pPr>
      <w:r>
        <w:t xml:space="preserve">Fontes públicas oficiais e primárias</w:t>
      </w:r>
    </w:p>
    <w:p>
      <w:pPr>
        <w:numPr>
          <w:ilvl w:val="0"/>
          <w:numId w:val="1019"/>
        </w:numPr>
        <w:pStyle w:val="Compact"/>
      </w:pPr>
      <w:r>
        <w:t xml:space="preserve">U.S. Bureau of Labor Statistics, dados salariais ocupacionais nacionais de maio de 2025: https://www.bls.gov/news.release/ocwage.t01.htm</w:t>
      </w:r>
    </w:p>
    <w:p>
      <w:pPr>
        <w:numPr>
          <w:ilvl w:val="0"/>
          <w:numId w:val="1019"/>
        </w:numPr>
        <w:pStyle w:val="Compact"/>
      </w:pPr>
      <w:r>
        <w:t xml:space="preserve">U.S. Bureau of Labor Statistics, Information Clerks Occupational Outlook Handbook: https://www.bls.gov/ooh/office-and-administrative-support/information-clerks.htm</w:t>
      </w:r>
    </w:p>
    <w:p>
      <w:pPr>
        <w:numPr>
          <w:ilvl w:val="0"/>
          <w:numId w:val="1019"/>
        </w:numPr>
        <w:pStyle w:val="Compact"/>
      </w:pPr>
      <w:r>
        <w:t xml:space="preserve">U.S. Bureau of Labor Statistics, Occupational Projections and Worker Characteristics: https://www.bls.gov/emp/tables/occupational-projections-and-characteristics.htm</w:t>
      </w:r>
    </w:p>
    <w:p>
      <w:pPr>
        <w:numPr>
          <w:ilvl w:val="0"/>
          <w:numId w:val="1019"/>
        </w:numPr>
        <w:pStyle w:val="Compact"/>
      </w:pPr>
      <w:r>
        <w:t xml:space="preserve">Government of Canada Job Bank, resumo de Human Resources Assistant: https://www.jobbank.gc.ca/marketreport/summary-occupation/26969/ca</w:t>
      </w:r>
    </w:p>
    <w:p>
      <w:pPr>
        <w:numPr>
          <w:ilvl w:val="0"/>
          <w:numId w:val="1019"/>
        </w:numPr>
        <w:pStyle w:val="Compact"/>
      </w:pPr>
      <w:r>
        <w:t xml:space="preserve">Government of Canada Job Bank, salários de Personnel Clerk: https://www.jobbank.gc.ca/marketreport/wages-occupation/26972/ca</w:t>
      </w:r>
    </w:p>
    <w:p>
      <w:pPr>
        <w:numPr>
          <w:ilvl w:val="0"/>
          <w:numId w:val="1019"/>
        </w:numPr>
        <w:pStyle w:val="Compact"/>
      </w:pPr>
      <w:r>
        <w:t xml:space="preserve">SENA Betowa, Técnico en Talento Humano: https://betowa.sena.edu.co/oferta/talento-humano?programId=224441</w:t>
      </w:r>
    </w:p>
    <w:p>
      <w:pPr>
        <w:numPr>
          <w:ilvl w:val="0"/>
          <w:numId w:val="1019"/>
        </w:numPr>
        <w:pStyle w:val="Compact"/>
      </w:pPr>
      <w:r>
        <w:t xml:space="preserve">SENA Betowa, Herramientas para la Gestión del Talento Humano: https://betowa.sena.edu.co/oferta/herramientas-para-la-gestion-del-talento-humano?programId=148534</w:t>
      </w:r>
    </w:p>
    <w:p>
      <w:pPr>
        <w:numPr>
          <w:ilvl w:val="0"/>
          <w:numId w:val="1019"/>
        </w:numPr>
        <w:pStyle w:val="Compact"/>
      </w:pPr>
      <w:r>
        <w:t xml:space="preserve">SENA Agencia Pública de Empleo: https://www.sena.edu.co/es-co/trabajo/Paginas/busqueEmpleo.aspx</w:t>
      </w:r>
    </w:p>
    <w:p>
      <w:pPr>
        <w:numPr>
          <w:ilvl w:val="0"/>
          <w:numId w:val="1019"/>
        </w:numPr>
        <w:pStyle w:val="Compact"/>
      </w:pPr>
      <w:r>
        <w:t xml:space="preserve">IRS, perguntas frequentes da Section 127 atualizadas em abril de 2026: https://www.irs.gov/newsroom/irs-updates-frequently-asked-questions-about-section-127-educational-assistance-programs</w:t>
      </w:r>
    </w:p>
    <w:p>
      <w:pPr>
        <w:numPr>
          <w:ilvl w:val="0"/>
          <w:numId w:val="1019"/>
        </w:numPr>
        <w:pStyle w:val="Compact"/>
      </w:pPr>
      <w:r>
        <w:t xml:space="preserve">Apprenticeship.gov: https://www.apprenticeship.gov/</w:t>
      </w:r>
    </w:p>
    <w:p>
      <w:pPr>
        <w:numPr>
          <w:ilvl w:val="0"/>
          <w:numId w:val="1019"/>
        </w:numPr>
        <w:pStyle w:val="Compact"/>
      </w:pPr>
      <w:r>
        <w:t xml:space="preserve">U.S. Department of Education, informações de acreditação: https://www.ed.gov/accreditation</w:t>
      </w:r>
    </w:p>
    <w:p>
      <w:pPr>
        <w:numPr>
          <w:ilvl w:val="0"/>
          <w:numId w:val="1019"/>
        </w:numPr>
        <w:pStyle w:val="Compact"/>
      </w:pPr>
      <w:r>
        <w:t xml:space="preserve">U.S. Equal Employment Opportunity Commission, recursos sobre discriminação por deficiência: https://www.eeoc.gov/disability-discrimination</w:t>
      </w:r>
    </w:p>
    <w:bookmarkEnd w:id="57"/>
    <w:bookmarkStart w:id="58" w:name="fonte-atual-não-governamental-de-mercado"/>
    <w:p>
      <w:pPr>
        <w:pStyle w:val="Heading3"/>
      </w:pPr>
      <w:r>
        <w:t xml:space="preserve">Fonte atual não governamental de mercado</w:t>
      </w:r>
    </w:p>
    <w:p>
      <w:pPr>
        <w:numPr>
          <w:ilvl w:val="0"/>
          <w:numId w:val="1020"/>
        </w:numPr>
        <w:pStyle w:val="Compact"/>
      </w:pPr>
      <w:r>
        <w:t xml:space="preserve">Indeed, salário de Human Resources Assistant nos Estados Unidos, atualizado em 20 de julho de 2026: https://www.indeed.com/career/human-resources-assistant/salaries</w:t>
      </w:r>
    </w:p>
    <w:bookmarkEnd w:id="58"/>
    <w:bookmarkStart w:id="59" w:name="regras-de-manutenção"/>
    <w:p>
      <w:pPr>
        <w:pStyle w:val="Heading3"/>
      </w:pPr>
      <w:r>
        <w:t xml:space="preserve">Regras de manutenção</w:t>
      </w:r>
    </w:p>
    <w:p>
      <w:pPr>
        <w:numPr>
          <w:ilvl w:val="0"/>
          <w:numId w:val="1021"/>
        </w:numPr>
        <w:pStyle w:val="Compact"/>
      </w:pPr>
      <w:r>
        <w:t xml:space="preserve">Verifique novamente salários, perspectivas, impostos, treinamento, aprendizagem e links antes da publicação e pelo menos anualmente depois disso.</w:t>
      </w:r>
    </w:p>
    <w:p>
      <w:pPr>
        <w:numPr>
          <w:ilvl w:val="0"/>
          <w:numId w:val="1021"/>
        </w:numPr>
        <w:pStyle w:val="Compact"/>
      </w:pPr>
      <w:r>
        <w:t xml:space="preserve">Mantenha estatísticas oficiais separadas de estimativas não governamentais de mercado.</w:t>
      </w:r>
    </w:p>
    <w:p>
      <w:pPr>
        <w:numPr>
          <w:ilvl w:val="0"/>
          <w:numId w:val="1021"/>
        </w:numPr>
        <w:pStyle w:val="Compact"/>
      </w:pPr>
      <w:r>
        <w:t xml:space="preserve">Registre períodos de referência e datas de atualização quando disponíveis.</w:t>
      </w:r>
    </w:p>
    <w:p>
      <w:pPr>
        <w:numPr>
          <w:ilvl w:val="0"/>
          <w:numId w:val="1021"/>
        </w:numPr>
        <w:pStyle w:val="Compact"/>
      </w:pPr>
      <w:r>
        <w:t xml:space="preserve">Marque informações dependentes da jurisdição para verificação local em vez de adivinhar.</w:t>
      </w:r>
    </w:p>
    <w:p>
      <w:pPr>
        <w:numPr>
          <w:ilvl w:val="0"/>
          <w:numId w:val="1021"/>
        </w:numPr>
        <w:pStyle w:val="Compact"/>
      </w:pPr>
      <w:r>
        <w:t xml:space="preserve">Corrija links quebrados, barreiras de acessibilidade, erros factuais ou caminhos desatualizados por meio do processo de correção do projeto.</w:t>
      </w:r>
    </w:p>
    <w:p>
      <w:pPr>
        <w:pStyle w:val="FirstParagraph"/>
      </w:pPr>
      <w:r>
        <w:rPr>
          <w:bCs/>
          <w:b/>
        </w:rPr>
        <w:t xml:space="preserve">Princípio orientador:</w:t>
      </w:r>
      <w:r>
        <w:t xml:space="preserve"> </w:t>
      </w:r>
      <w:r>
        <w:t xml:space="preserve">quando velocidade e integridade entrarem em conflito, a integridade prevalece. Quando confiança e incerteza entrarem em conflito, revele a incerteza. Quando o interesse de uma instituição entrar em conflito com a proteção do leitor, proteja o leitor.</w:t>
      </w:r>
    </w:p>
    <w:bookmarkEnd w:id="59"/>
    <w:bookmarkEnd w:id="60"/>
    <w:bookmarkEnd w:id="6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2026-08-08T17:03:23Z</dcterms:created>
  <dcterms:modified xsi:type="dcterms:W3CDTF">2026-08-08T17:03:23Z</dcterms:modified>
</cp:coreProperties>
</file>

<file path=docProps/custom.xml><?xml version="1.0" encoding="utf-8"?>
<Properties xmlns="http://schemas.openxmlformats.org/officeDocument/2006/custom-properties" xmlns:vt="http://schemas.openxmlformats.org/officeDocument/2006/docPropsVTypes"/>
</file>