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ffaf5e6fa2f17938ebe62b90e5975f7cf8a7c3"/>
    <w:p>
      <w:pPr>
        <w:pStyle w:val="Heading1"/>
      </w:pPr>
      <w:r>
        <w:t xml:space="preserve">Guia 63 — Assistente de biblioteca e técnico de biblioteca</w:t>
      </w:r>
    </w:p>
    <w:p>
      <w:pPr>
        <w:pStyle w:val="FirstParagraph"/>
      </w:pPr>
      <w:r>
        <w:rPr>
          <w:bCs/>
          <w:b/>
        </w:rPr>
        <w:t xml:space="preserve">Versão mestre controlada em português do Brasil — Versão 2.0</w:t>
      </w:r>
      <w:r>
        <w:br/>
      </w:r>
      <w:r>
        <w:rPr>
          <w:bCs/>
          <w:b/>
        </w:rPr>
        <w:t xml:space="preserve">Data da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de biblioteca e técnicos de biblioteca ajudam as pessoas a localizar, emprestar, devolver, organizar, acessar e utilizar materiais e serviços de biblioteca. Podem trabalhar em bibliotecas públicas, escolares, universitárias, corporativas, governamentais, arquivos ou outros serviços de informação.</w:t>
      </w:r>
    </w:p>
    <w:p>
      <w:pPr>
        <w:pStyle w:val="BodyText"/>
      </w:pPr>
      <w:r>
        <w:t xml:space="preserve">O título importa. Nos Estados Unidos e no Canadá, o trabalho de assistente/apoio administrativo e o trabalho técnico não são tratados como a mesma ocupação. Funções técnicas geralmente exigem formação mais formal em bibliotecas ou tecnologia da informação e podem incluir atividades mais complexas de catalogação, referência, aquisições ou apoio a arquivos. Funções de assistente tendem a enfatizar circulação, organização de estantes, apoio administrativo, atendimento básico ao usuário e registros rotineiros.</w:t>
      </w:r>
    </w:p>
    <w:p>
      <w:pPr>
        <w:pStyle w:val="BodyText"/>
      </w:pPr>
      <w:r>
        <w:t xml:space="preserve">Nenhuma das duas funções deve ser apresentada automaticamente como equivalente à de bibliotecário profissional. As atribuições, credenciais, tipos de coleção, sistemas, requisitos de privacidade, responsabilidades de acessibilidade, regras de direitos autorais e decisões permitidas variam conforme o empregador e a jurisdição.</w:t>
      </w:r>
    </w:p>
    <w:p>
      <w:pPr>
        <w:pStyle w:val="BodyText"/>
      </w:pPr>
      <w:r>
        <w:t xml:space="preserve">Antes de pagar por treinamento ou aceitar uma vaga, compare o anúncio real, as políticas do empregador, o modelo de supervisão, a plataforma tecnológica, o tipo de coleção e os requisitos locais.</w:t>
      </w:r>
    </w:p>
    <w:bookmarkEnd w:id="20"/>
    <w:bookmarkStart w:id="21" w:name="o-que-você-pode-fazer"/>
    <w:p>
      <w:pPr>
        <w:pStyle w:val="Heading2"/>
      </w:pPr>
      <w:r>
        <w:t xml:space="preserve">O que você pode fazer</w:t>
      </w:r>
    </w:p>
    <w:p>
      <w:pPr>
        <w:pStyle w:val="FirstParagraph"/>
      </w:pPr>
      <w:r>
        <w:t xml:space="preserve">Dependendo do empregador, do treinamento, da supervisão e das regras locais, as atividades podem incluir:</w:t>
      </w:r>
    </w:p>
    <w:p>
      <w:pPr>
        <w:numPr>
          <w:ilvl w:val="0"/>
          <w:numId w:val="1001"/>
        </w:numPr>
        <w:pStyle w:val="Compact"/>
      </w:pPr>
      <w:r>
        <w:t xml:space="preserve">emprestar e receber livros, mídias, dispositivos ou outros materiais de biblioteca;</w:t>
      </w:r>
    </w:p>
    <w:p>
      <w:pPr>
        <w:numPr>
          <w:ilvl w:val="0"/>
          <w:numId w:val="1001"/>
        </w:numPr>
        <w:pStyle w:val="Compact"/>
      </w:pPr>
      <w:r>
        <w:t xml:space="preserve">guardar, ordenar, arquivar, etiquetar e organizar coleções;</w:t>
      </w:r>
    </w:p>
    <w:p>
      <w:pPr>
        <w:numPr>
          <w:ilvl w:val="0"/>
          <w:numId w:val="1001"/>
        </w:numPr>
        <w:pStyle w:val="Compact"/>
      </w:pPr>
      <w:r>
        <w:t xml:space="preserve">ajudar usuários a localizar livros, periódicos, materiais audiovisuais, mapas, documentos e recursos digitais aprovados;</w:t>
      </w:r>
    </w:p>
    <w:p>
      <w:pPr>
        <w:numPr>
          <w:ilvl w:val="0"/>
          <w:numId w:val="1001"/>
        </w:numPr>
        <w:pStyle w:val="Compact"/>
      </w:pPr>
      <w:r>
        <w:t xml:space="preserve">fornecer informações rotineiras sobre serviços, horários, contas, empréstimos, reservas, multas, programas e equipamentos;</w:t>
      </w:r>
    </w:p>
    <w:p>
      <w:pPr>
        <w:numPr>
          <w:ilvl w:val="0"/>
          <w:numId w:val="1001"/>
        </w:numPr>
        <w:pStyle w:val="Compact"/>
      </w:pPr>
      <w:r>
        <w:t xml:space="preserve">realizar buscas manuais ou informatizadas básicas seguindo procedimentos aprovados;</w:t>
      </w:r>
    </w:p>
    <w:p>
      <w:pPr>
        <w:numPr>
          <w:ilvl w:val="0"/>
          <w:numId w:val="1001"/>
        </w:numPr>
        <w:pStyle w:val="Compact"/>
      </w:pPr>
      <w:r>
        <w:t xml:space="preserve">apoiar catalogação, classificação, entrada de metadados, aquisições, periódicos, empréstimo entre bibliotecas ou processamento de arquivos quando treinado e designado;</w:t>
      </w:r>
    </w:p>
    <w:p>
      <w:pPr>
        <w:numPr>
          <w:ilvl w:val="0"/>
          <w:numId w:val="1001"/>
        </w:numPr>
        <w:pStyle w:val="Compact"/>
      </w:pPr>
      <w:r>
        <w:t xml:space="preserve">manter registros autorizados de circulação, aquisição, inventário, empréstimo, devolução e outros;</w:t>
      </w:r>
    </w:p>
    <w:p>
      <w:pPr>
        <w:numPr>
          <w:ilvl w:val="0"/>
          <w:numId w:val="1001"/>
        </w:numPr>
        <w:pStyle w:val="Compact"/>
      </w:pPr>
      <w:r>
        <w:t xml:space="preserve">apoiar programas, exposições, comunicações, eventos, atividades de leitura, extensão e serviços comunitários;</w:t>
      </w:r>
    </w:p>
    <w:p>
      <w:pPr>
        <w:numPr>
          <w:ilvl w:val="0"/>
          <w:numId w:val="1001"/>
        </w:numPr>
        <w:pStyle w:val="Compact"/>
      </w:pPr>
      <w:r>
        <w:t xml:space="preserve">ajudar usuários a utilizar computadores, impressoras, scanners, catálogos, bases de dados, ferramentas de acessibilidade e sistemas de biblioteca digital aprovados;</w:t>
      </w:r>
    </w:p>
    <w:p>
      <w:pPr>
        <w:numPr>
          <w:ilvl w:val="0"/>
          <w:numId w:val="1001"/>
        </w:numPr>
        <w:pStyle w:val="Compact"/>
      </w:pPr>
      <w:r>
        <w:t xml:space="preserve">preparar materiais para reparo, armazenamento, retirada, transferência ou preservação conforme procedimentos institucionais;</w:t>
      </w:r>
    </w:p>
    <w:p>
      <w:pPr>
        <w:numPr>
          <w:ilvl w:val="0"/>
          <w:numId w:val="1001"/>
        </w:numPr>
        <w:pStyle w:val="Compact"/>
      </w:pPr>
      <w:r>
        <w:t xml:space="preserve">relatar materiais danificados, problemas de equipamento, preocupações de privacidade, incidentes de cibersegurança, riscos de segurança ou conflitos com usuários por meio do processo aprovado de escalonamento; e</w:t>
      </w:r>
    </w:p>
    <w:p>
      <w:pPr>
        <w:numPr>
          <w:ilvl w:val="0"/>
          <w:numId w:val="1001"/>
        </w:numPr>
        <w:pStyle w:val="Compact"/>
      </w:pPr>
      <w:r>
        <w:t xml:space="preserve">documentar o trabalho com precisão e objetividade.</w:t>
      </w:r>
    </w:p>
    <w:p>
      <w:pPr>
        <w:pStyle w:val="FirstParagraph"/>
      </w:pPr>
      <w:r>
        <w:t xml:space="preserve">Um bom apoio torna os serviços da biblioteca mais acessíveis e confiáveis, mantendo decisões profissionais, legais, de privacidade, direitos autorais e institucionais nas mãos de quem tem autoridade para tomá-las.</w:t>
      </w:r>
    </w:p>
    <w:bookmarkEnd w:id="21"/>
    <w:bookmarkStart w:id="22" w:name="Xa854196fec5e35aff326890bab66d39211702df"/>
    <w:p>
      <w:pPr>
        <w:pStyle w:val="Heading2"/>
      </w:pPr>
      <w:r>
        <w:t xml:space="preserve">O que esta função não deve ser apresentada como</w:t>
      </w:r>
    </w:p>
    <w:p>
      <w:pPr>
        <w:pStyle w:val="FirstParagraph"/>
      </w:pPr>
      <w:r>
        <w:t xml:space="preserve">Não descreva um assistente ou técnico de biblioteca como alguém que possui uma autoridade que a função não confere.</w:t>
      </w:r>
    </w:p>
    <w:p>
      <w:pPr>
        <w:pStyle w:val="BodyText"/>
      </w:pPr>
      <w:r>
        <w:t xml:space="preserve">Não deve, de forma independente:</w:t>
      </w:r>
    </w:p>
    <w:p>
      <w:pPr>
        <w:numPr>
          <w:ilvl w:val="0"/>
          <w:numId w:val="1002"/>
        </w:numPr>
        <w:pStyle w:val="Compact"/>
      </w:pPr>
      <w:r>
        <w:t xml:space="preserve">afirmar ter o status ou a autoridade profissional de bibliotecário, arquivista, responsável por registros, consultor jurídico, especialista em direitos autorais ou responsável por privacidade, a menos que seja devidamente qualificado e formalmente designado;</w:t>
      </w:r>
    </w:p>
    <w:p>
      <w:pPr>
        <w:numPr>
          <w:ilvl w:val="0"/>
          <w:numId w:val="1002"/>
        </w:numPr>
        <w:pStyle w:val="Compact"/>
      </w:pPr>
      <w:r>
        <w:t xml:space="preserve">prometer que uma pessoa tem direito legal de copiar, digitalizar, distribuir, reproduzir ou publicar material protegido;</w:t>
      </w:r>
    </w:p>
    <w:p>
      <w:pPr>
        <w:numPr>
          <w:ilvl w:val="0"/>
          <w:numId w:val="1002"/>
        </w:numPr>
        <w:pStyle w:val="Compact"/>
      </w:pPr>
      <w:r>
        <w:t xml:space="preserve">ignorar ou substituir políticas institucionais de direitos autorais, licenciamento, registros, privacidade, cibersegurança ou gestão de coleções;</w:t>
      </w:r>
    </w:p>
    <w:p>
      <w:pPr>
        <w:numPr>
          <w:ilvl w:val="0"/>
          <w:numId w:val="1002"/>
        </w:numPr>
        <w:pStyle w:val="Compact"/>
      </w:pPr>
      <w:r>
        <w:t xml:space="preserve">divulgar histórico de empréstimos, dados de conta, informações de identidade, credenciais, registros internos ou detalhes de conteúdo licenciado sem autorização;</w:t>
      </w:r>
    </w:p>
    <w:p>
      <w:pPr>
        <w:numPr>
          <w:ilvl w:val="0"/>
          <w:numId w:val="1002"/>
        </w:numPr>
        <w:pStyle w:val="Compact"/>
      </w:pPr>
      <w:r>
        <w:t xml:space="preserve">alterar permissões de acesso, desativar controles de segurança, contornar autenticação ou investigar incidentes de cibersegurança fora do escopo atribuído;</w:t>
      </w:r>
    </w:p>
    <w:p>
      <w:pPr>
        <w:numPr>
          <w:ilvl w:val="0"/>
          <w:numId w:val="1002"/>
        </w:numPr>
        <w:pStyle w:val="Compact"/>
      </w:pPr>
      <w:r>
        <w:t xml:space="preserve">certificar que uma biblioteca, site, coleção, serviço ou instalação cumpre legalmente requisitos de acessibilidade, salvo quando essa autoridade fizer parte formal da função;</w:t>
      </w:r>
    </w:p>
    <w:p>
      <w:pPr>
        <w:numPr>
          <w:ilvl w:val="0"/>
          <w:numId w:val="1002"/>
        </w:numPr>
        <w:pStyle w:val="Compact"/>
      </w:pPr>
      <w:r>
        <w:t xml:space="preserve">tomar decisões vinculantes sobre aquisição, descarte, preservação, arquivamento, retenção de registros ou classificação quando essas decisões pertencem a profissionais designados; ou</w:t>
      </w:r>
    </w:p>
    <w:p>
      <w:pPr>
        <w:numPr>
          <w:ilvl w:val="0"/>
          <w:numId w:val="1002"/>
        </w:numPr>
        <w:pStyle w:val="Compact"/>
      </w:pPr>
      <w:r>
        <w:t xml:space="preserve">apresentar treinamento interno, curso breve ou experiência informal como licença universal ou credencial profissional.</w:t>
      </w:r>
    </w:p>
    <w:p>
      <w:pPr>
        <w:pStyle w:val="FirstParagraph"/>
      </w:pPr>
      <w:r>
        <w:t xml:space="preserve">Quando o limite não estiver claro, pare e consulte o supervisor responsável, bibliotecário, gerente, responsável por privacidade, equipe de TI/segurança, contato de direitos autorais ou outro profissional autorizado.</w:t>
      </w:r>
    </w:p>
    <w:bookmarkEnd w:id="22"/>
    <w:bookmarkStart w:id="23" w:name="Xe910fcca8e617bb66b2fa01d48f99900a5d6cdf"/>
    <w:p>
      <w:pPr>
        <w:pStyle w:val="Heading2"/>
      </w:pPr>
      <w:r>
        <w:t xml:space="preserve">Ambiente de trabalho e exigências físicas</w:t>
      </w:r>
    </w:p>
    <w:p>
      <w:pPr>
        <w:pStyle w:val="FirstParagraph"/>
      </w:pPr>
      <w:r>
        <w:t xml:space="preserve">O trabalho em biblioteca pode parecer tranquilo por fora, mas muitas funções envolvem movimento constante e contato com o público.</w:t>
      </w:r>
    </w:p>
    <w:p>
      <w:pPr>
        <w:pStyle w:val="BodyText"/>
      </w:pPr>
      <w:r>
        <w:t xml:space="preserve">As exigências típicas podem incluir:</w:t>
      </w:r>
    </w:p>
    <w:p>
      <w:pPr>
        <w:numPr>
          <w:ilvl w:val="0"/>
          <w:numId w:val="1003"/>
        </w:numPr>
        <w:pStyle w:val="Compact"/>
      </w:pPr>
      <w:r>
        <w:t xml:space="preserve">permanecer em pé e caminhar por períodos prolongados;</w:t>
      </w:r>
    </w:p>
    <w:p>
      <w:pPr>
        <w:numPr>
          <w:ilvl w:val="0"/>
          <w:numId w:val="1003"/>
        </w:numPr>
        <w:pStyle w:val="Compact"/>
      </w:pPr>
      <w:r>
        <w:t xml:space="preserve">guardar livros em diferentes alturas;</w:t>
      </w:r>
    </w:p>
    <w:p>
      <w:pPr>
        <w:numPr>
          <w:ilvl w:val="0"/>
          <w:numId w:val="1003"/>
        </w:numPr>
        <w:pStyle w:val="Compact"/>
      </w:pPr>
      <w:r>
        <w:t xml:space="preserve">mover carrinhos, caixas, mídias, suprimentos ou equipamentos;</w:t>
      </w:r>
    </w:p>
    <w:p>
      <w:pPr>
        <w:numPr>
          <w:ilvl w:val="0"/>
          <w:numId w:val="1003"/>
        </w:numPr>
        <w:pStyle w:val="Compact"/>
      </w:pPr>
      <w:r>
        <w:t xml:space="preserve">utilizar bancos ou escadas quando os procedimentos do empregador permitirem;</w:t>
      </w:r>
    </w:p>
    <w:p>
      <w:pPr>
        <w:numPr>
          <w:ilvl w:val="0"/>
          <w:numId w:val="1003"/>
        </w:numPr>
        <w:pStyle w:val="Compact"/>
      </w:pPr>
      <w:r>
        <w:t xml:space="preserve">tarefas repetitivas de digitalização, digitação, etiquetagem, levantamento e organização;</w:t>
      </w:r>
    </w:p>
    <w:p>
      <w:pPr>
        <w:numPr>
          <w:ilvl w:val="0"/>
          <w:numId w:val="1003"/>
        </w:numPr>
        <w:pStyle w:val="Compact"/>
      </w:pPr>
      <w:r>
        <w:t xml:space="preserve">atender muitos usuários com diferentes níveis de alfabetização digital, idioma, deficiência ou urgência;</w:t>
      </w:r>
    </w:p>
    <w:p>
      <w:pPr>
        <w:numPr>
          <w:ilvl w:val="0"/>
          <w:numId w:val="1003"/>
        </w:numPr>
        <w:pStyle w:val="Compact"/>
      </w:pPr>
      <w:r>
        <w:t xml:space="preserve">trabalhar à noite, nos fins de semana, em calendários escolares ou turnos de atendimento ao público; e</w:t>
      </w:r>
    </w:p>
    <w:p>
      <w:pPr>
        <w:numPr>
          <w:ilvl w:val="0"/>
          <w:numId w:val="1003"/>
        </w:numPr>
        <w:pStyle w:val="Compact"/>
      </w:pPr>
      <w:r>
        <w:t xml:space="preserve">responder com calma a conflitos, usuários em sofrimento, danos à propriedade, comportamento disruptivo ou emergências.</w:t>
      </w:r>
    </w:p>
    <w:p>
      <w:pPr>
        <w:pStyle w:val="FirstParagraph"/>
      </w:pPr>
      <w:r>
        <w:t xml:space="preserve">O trabalho físico deve permanecer não procedimental neste guia. Siga o treinamento e as regras de segurança do empregador para levantamento de peso, escadas, organização de estantes, movimentação de equipamentos, áreas de armazenamento, resposta a emergências e riscos das instalações.</w:t>
      </w:r>
    </w:p>
    <w:bookmarkEnd w:id="23"/>
    <w:bookmarkStart w:id="24" w:name="Xf7ff5713a6bb98245589d4ccc50a1ca4f69e773"/>
    <w:p>
      <w:pPr>
        <w:pStyle w:val="Heading2"/>
      </w:pPr>
      <w:r>
        <w:t xml:space="preserve">Privacidade dos usuários, registros e confidencialidade</w:t>
      </w:r>
    </w:p>
    <w:p>
      <w:pPr>
        <w:pStyle w:val="FirstParagraph"/>
      </w:pPr>
      <w:r>
        <w:t xml:space="preserve">Profissionais de biblioteca podem lidar com informações sensíveis, incluindo nomes, endereços, dados de contato, registros de empréstimos, situação de contas, solicitações de busca, registros de uso de computadores, identificadores escolares ou universitários, informações de dispositivos, pagamentos e anotações internas de atendimento.</w:t>
      </w:r>
    </w:p>
    <w:p>
      <w:pPr>
        <w:pStyle w:val="BodyText"/>
      </w:pPr>
      <w:r>
        <w:t xml:space="preserve">As medidas práticas incluem:</w:t>
      </w:r>
    </w:p>
    <w:p>
      <w:pPr>
        <w:numPr>
          <w:ilvl w:val="0"/>
          <w:numId w:val="1004"/>
        </w:numPr>
        <w:pStyle w:val="Compact"/>
      </w:pPr>
      <w:r>
        <w:t xml:space="preserve">acessar apenas as informações necessárias para as tarefas atribuídas;</w:t>
      </w:r>
    </w:p>
    <w:p>
      <w:pPr>
        <w:numPr>
          <w:ilvl w:val="0"/>
          <w:numId w:val="1004"/>
        </w:numPr>
        <w:pStyle w:val="Compact"/>
      </w:pPr>
      <w:r>
        <w:t xml:space="preserve">usar dispositivos, contas, e-mail, mensagens e bases de dados aprovados pela biblioteca;</w:t>
      </w:r>
    </w:p>
    <w:p>
      <w:pPr>
        <w:numPr>
          <w:ilvl w:val="0"/>
          <w:numId w:val="1004"/>
        </w:numPr>
        <w:pStyle w:val="Compact"/>
      </w:pPr>
      <w:r>
        <w:t xml:space="preserve">verificar identidade e autorização antes de alterar informações de conta ou liberar registros;</w:t>
      </w:r>
    </w:p>
    <w:p>
      <w:pPr>
        <w:numPr>
          <w:ilvl w:val="0"/>
          <w:numId w:val="1004"/>
        </w:numPr>
        <w:pStyle w:val="Compact"/>
      </w:pPr>
      <w:r>
        <w:t xml:space="preserve">manter telas, impressos, senhas, conversas e registros de circulação protegidos;</w:t>
      </w:r>
    </w:p>
    <w:p>
      <w:pPr>
        <w:numPr>
          <w:ilvl w:val="0"/>
          <w:numId w:val="1004"/>
        </w:numPr>
        <w:pStyle w:val="Compact"/>
      </w:pPr>
      <w:r>
        <w:t xml:space="preserve">não armazenar dados de usuários em anotações pessoais, dispositivos pessoais ou serviços de nuvem não aprovados;</w:t>
      </w:r>
    </w:p>
    <w:p>
      <w:pPr>
        <w:numPr>
          <w:ilvl w:val="0"/>
          <w:numId w:val="1004"/>
        </w:numPr>
        <w:pStyle w:val="Compact"/>
      </w:pPr>
      <w:r>
        <w:t xml:space="preserve">seguir regras institucionais de retenção, descarte e comunicação de incidentes;</w:t>
      </w:r>
    </w:p>
    <w:p>
      <w:pPr>
        <w:numPr>
          <w:ilvl w:val="0"/>
          <w:numId w:val="1004"/>
        </w:numPr>
        <w:pStyle w:val="Compact"/>
      </w:pPr>
      <w:r>
        <w:t xml:space="preserve">evitar discutir atividades de usuários em áreas públicas ou redes sociais; e</w:t>
      </w:r>
    </w:p>
    <w:p>
      <w:pPr>
        <w:numPr>
          <w:ilvl w:val="0"/>
          <w:numId w:val="1004"/>
        </w:numPr>
        <w:pStyle w:val="Compact"/>
      </w:pPr>
      <w:r>
        <w:t xml:space="preserve">comunicar prontamente suspeitas de comprometimento de conta, phishing, malware ou divulgação não autorizada.</w:t>
      </w:r>
    </w:p>
    <w:p>
      <w:pPr>
        <w:pStyle w:val="FirstParagraph"/>
      </w:pPr>
      <w:r>
        <w:t xml:space="preserve">As leis locais de privacidade e as regras institucionais variam. Este guia não fornece aconselhamento jurídico individualizado.</w:t>
      </w:r>
    </w:p>
    <w:bookmarkEnd w:id="24"/>
    <w:bookmarkStart w:id="25" w:name="X2fb6c980ac89f441595cba17a0cb3a77d96f672"/>
    <w:p>
      <w:pPr>
        <w:pStyle w:val="Heading2"/>
      </w:pPr>
      <w:r>
        <w:t xml:space="preserve">Limites de direitos autorais e recursos licenciados</w:t>
      </w:r>
    </w:p>
    <w:p>
      <w:pPr>
        <w:pStyle w:val="FirstParagraph"/>
      </w:pPr>
      <w:r>
        <w:t xml:space="preserve">Bibliotecas trabalham com livros, artigos, imagens, gravações, bases de dados, software, coleções digitais, arquivos e recursos licenciados protegidos por direitos autorais.</w:t>
      </w:r>
    </w:p>
    <w:p>
      <w:pPr>
        <w:pStyle w:val="BodyText"/>
      </w:pPr>
      <w:r>
        <w:t xml:space="preserve">Nos Estados Unidos, a Seção 108 da Lei de Direitos Autorais estabelece exceções específicas para bibliotecas e arquivos qualificados sob condições definidas. Essas exceções são condicionais; não constituem permissão geral para copiar, escanear, digitalizar, distribuir, publicar ou compartilhar obras protegidas.</w:t>
      </w:r>
    </w:p>
    <w:p>
      <w:pPr>
        <w:pStyle w:val="BodyText"/>
      </w:pPr>
      <w:r>
        <w:t xml:space="preserve">Assistentes e técnicos de biblioteca devem:</w:t>
      </w:r>
    </w:p>
    <w:p>
      <w:pPr>
        <w:numPr>
          <w:ilvl w:val="0"/>
          <w:numId w:val="1005"/>
        </w:numPr>
        <w:pStyle w:val="Compact"/>
      </w:pPr>
      <w:r>
        <w:t xml:space="preserve">seguir procedimentos institucionais de direitos autorais e licenciamento;</w:t>
      </w:r>
    </w:p>
    <w:p>
      <w:pPr>
        <w:numPr>
          <w:ilvl w:val="0"/>
          <w:numId w:val="1005"/>
        </w:numPr>
        <w:pStyle w:val="Compact"/>
      </w:pPr>
      <w:r>
        <w:t xml:space="preserve">distinguir entre material de domínio público, licenciado, de acesso aberto e protegido por direitos autorais;</w:t>
      </w:r>
    </w:p>
    <w:p>
      <w:pPr>
        <w:numPr>
          <w:ilvl w:val="0"/>
          <w:numId w:val="1005"/>
        </w:numPr>
        <w:pStyle w:val="Compact"/>
      </w:pPr>
      <w:r>
        <w:t xml:space="preserve">evitar afirmar a usuários que determinado uso é legalmente permitido quando houver incerteza;</w:t>
      </w:r>
    </w:p>
    <w:p>
      <w:pPr>
        <w:numPr>
          <w:ilvl w:val="0"/>
          <w:numId w:val="1005"/>
        </w:numPr>
        <w:pStyle w:val="Compact"/>
      </w:pPr>
      <w:r>
        <w:t xml:space="preserve">escalar dúvidas complexas sobre cópia, digitalização, reprodução, publicação ou direitos; e</w:t>
      </w:r>
    </w:p>
    <w:p>
      <w:pPr>
        <w:numPr>
          <w:ilvl w:val="0"/>
          <w:numId w:val="1005"/>
        </w:numPr>
        <w:pStyle w:val="Compact"/>
      </w:pPr>
      <w:r>
        <w:t xml:space="preserve">respeitar restrições de bases de dados, e-books, streaming, software e licenças de fornecedores.</w:t>
      </w:r>
    </w:p>
    <w:bookmarkEnd w:id="25"/>
    <w:bookmarkStart w:id="26" w:name="acessibilidade-e-atendimento-inclusivo"/>
    <w:p>
      <w:pPr>
        <w:pStyle w:val="Heading2"/>
      </w:pPr>
      <w:r>
        <w:t xml:space="preserve">Acessibilidade e atendimento inclusivo</w:t>
      </w:r>
    </w:p>
    <w:p>
      <w:pPr>
        <w:pStyle w:val="FirstParagraph"/>
      </w:pPr>
      <w:r>
        <w:t xml:space="preserve">Bibliotecas atendem pessoas com diferentes deficiências, níveis de alfabetização, idiomas, idades, origens culturais e níveis de acesso digital.</w:t>
      </w:r>
    </w:p>
    <w:p>
      <w:pPr>
        <w:pStyle w:val="BodyText"/>
      </w:pPr>
      <w:r>
        <w:t xml:space="preserve">Dependendo da função, o apoio pode incluir:</w:t>
      </w:r>
    </w:p>
    <w:p>
      <w:pPr>
        <w:numPr>
          <w:ilvl w:val="0"/>
          <w:numId w:val="1006"/>
        </w:numPr>
        <w:pStyle w:val="Compact"/>
      </w:pPr>
      <w:r>
        <w:t xml:space="preserve">ajudar usuários a localizar materiais em letras grandes, áudio, legendados, compatíveis com leitores de tela ou outros formatos acessíveis;</w:t>
      </w:r>
    </w:p>
    <w:p>
      <w:pPr>
        <w:numPr>
          <w:ilvl w:val="0"/>
          <w:numId w:val="1006"/>
        </w:numPr>
        <w:pStyle w:val="Compact"/>
      </w:pPr>
      <w:r>
        <w:t xml:space="preserve">explicar os serviços de biblioteca em linguagem simples;</w:t>
      </w:r>
    </w:p>
    <w:p>
      <w:pPr>
        <w:numPr>
          <w:ilvl w:val="0"/>
          <w:numId w:val="1006"/>
        </w:numPr>
        <w:pStyle w:val="Compact"/>
      </w:pPr>
      <w:r>
        <w:t xml:space="preserve">ajudar com recursos de acessibilidade aprovados em computadores ou plataformas digitais;</w:t>
      </w:r>
    </w:p>
    <w:p>
      <w:pPr>
        <w:numPr>
          <w:ilvl w:val="0"/>
          <w:numId w:val="1006"/>
        </w:numPr>
        <w:pStyle w:val="Compact"/>
      </w:pPr>
      <w:r>
        <w:t xml:space="preserve">melhorar sinalização, formulários, instruções ou interações de atendimento quando autorizado; e</w:t>
      </w:r>
    </w:p>
    <w:p>
      <w:pPr>
        <w:numPr>
          <w:ilvl w:val="0"/>
          <w:numId w:val="1006"/>
        </w:numPr>
        <w:pStyle w:val="Compact"/>
      </w:pPr>
      <w:r>
        <w:t xml:space="preserve">escalar barreiras de acessibilidade que exijam mudanças técnicas, de política, aquisição ou instalações.</w:t>
      </w:r>
    </w:p>
    <w:p>
      <w:pPr>
        <w:pStyle w:val="FirstParagraph"/>
      </w:pPr>
      <w:r>
        <w:t xml:space="preserve">Não suponha que todas as pessoas com a mesma deficiência precisem do mesmo apoio. Pergunte com respeito e siga os procedimentos institucionais. Não alegue autoridade independente para certificar conformidade legal de acessibilidade, salvo quando isso fizer parte formal da função.</w:t>
      </w:r>
    </w:p>
    <w:bookmarkEnd w:id="26"/>
    <w:bookmarkStart w:id="27" w:name="Xed1ac822eb62751aa3e4030f44d645ea595537c"/>
    <w:p>
      <w:pPr>
        <w:pStyle w:val="Heading2"/>
      </w:pPr>
      <w:r>
        <w:t xml:space="preserve">Habilidades que os empregadores podem valorizar</w:t>
      </w:r>
    </w:p>
    <w:p>
      <w:pPr>
        <w:pStyle w:val="FirstParagraph"/>
      </w:pPr>
      <w:r>
        <w:t xml:space="preserve">Os empregadores costumam valorizar:</w:t>
      </w:r>
    </w:p>
    <w:p>
      <w:pPr>
        <w:numPr>
          <w:ilvl w:val="0"/>
          <w:numId w:val="1007"/>
        </w:numPr>
        <w:pStyle w:val="Compact"/>
      </w:pPr>
      <w:r>
        <w:t xml:space="preserve">atendimento ao cliente e comunicação calma;</w:t>
      </w:r>
    </w:p>
    <w:p>
      <w:pPr>
        <w:numPr>
          <w:ilvl w:val="0"/>
          <w:numId w:val="1007"/>
        </w:numPr>
        <w:pStyle w:val="Compact"/>
      </w:pPr>
      <w:r>
        <w:t xml:space="preserve">precisão e atenção aos detalhes;</w:t>
      </w:r>
    </w:p>
    <w:p>
      <w:pPr>
        <w:numPr>
          <w:ilvl w:val="0"/>
          <w:numId w:val="1007"/>
        </w:numPr>
        <w:pStyle w:val="Compact"/>
      </w:pPr>
      <w:r>
        <w:t xml:space="preserve">leitura, escrita, matemática e habilidades básicas de pesquisa;</w:t>
      </w:r>
    </w:p>
    <w:p>
      <w:pPr>
        <w:numPr>
          <w:ilvl w:val="0"/>
          <w:numId w:val="1007"/>
        </w:numPr>
        <w:pStyle w:val="Compact"/>
      </w:pPr>
      <w:r>
        <w:t xml:space="preserve">alfabetização digital e familiaridade com sistemas de biblioteca;</w:t>
      </w:r>
    </w:p>
    <w:p>
      <w:pPr>
        <w:numPr>
          <w:ilvl w:val="0"/>
          <w:numId w:val="1007"/>
        </w:numPr>
        <w:pStyle w:val="Compact"/>
      </w:pPr>
      <w:r>
        <w:t xml:space="preserve">organização e disciplina de registros;</w:t>
      </w:r>
    </w:p>
    <w:p>
      <w:pPr>
        <w:numPr>
          <w:ilvl w:val="0"/>
          <w:numId w:val="1007"/>
        </w:numPr>
        <w:pStyle w:val="Compact"/>
      </w:pPr>
      <w:r>
        <w:t xml:space="preserve">capacidade de seguir procedimentos de forma consistente;</w:t>
      </w:r>
    </w:p>
    <w:p>
      <w:pPr>
        <w:numPr>
          <w:ilvl w:val="0"/>
          <w:numId w:val="1007"/>
        </w:numPr>
        <w:pStyle w:val="Compact"/>
      </w:pPr>
      <w:r>
        <w:t xml:space="preserve">confidencialidade e bom julgamento;</w:t>
      </w:r>
    </w:p>
    <w:p>
      <w:pPr>
        <w:numPr>
          <w:ilvl w:val="0"/>
          <w:numId w:val="1007"/>
        </w:numPr>
        <w:pStyle w:val="Compact"/>
      </w:pPr>
      <w:r>
        <w:t xml:space="preserve">humildade cultural e comunicação inclusiva;</w:t>
      </w:r>
    </w:p>
    <w:p>
      <w:pPr>
        <w:numPr>
          <w:ilvl w:val="0"/>
          <w:numId w:val="1007"/>
        </w:numPr>
        <w:pStyle w:val="Compact"/>
      </w:pPr>
      <w:r>
        <w:t xml:space="preserve">trabalho em equipe com bibliotecários, técnicos, administradores, educadores, equipes de TI e parceiros comunitários;</w:t>
      </w:r>
    </w:p>
    <w:p>
      <w:pPr>
        <w:numPr>
          <w:ilvl w:val="0"/>
          <w:numId w:val="1007"/>
        </w:numPr>
        <w:pStyle w:val="Compact"/>
      </w:pPr>
      <w:r>
        <w:t xml:space="preserve">disposição para aprender catálogos, sistemas de circulação, bases de dados, práticas de metadados e procedimentos locais;</w:t>
      </w:r>
    </w:p>
    <w:p>
      <w:pPr>
        <w:numPr>
          <w:ilvl w:val="0"/>
          <w:numId w:val="1007"/>
        </w:numPr>
        <w:pStyle w:val="Compact"/>
      </w:pPr>
      <w:r>
        <w:t xml:space="preserve">reconhecimento de problemas e escalonamento adequado;</w:t>
      </w:r>
    </w:p>
    <w:p>
      <w:pPr>
        <w:numPr>
          <w:ilvl w:val="0"/>
          <w:numId w:val="1007"/>
        </w:numPr>
        <w:pStyle w:val="Compact"/>
      </w:pPr>
      <w:r>
        <w:t xml:space="preserve">frequência confiável e gestão do tempo; e</w:t>
      </w:r>
    </w:p>
    <w:p>
      <w:pPr>
        <w:numPr>
          <w:ilvl w:val="0"/>
          <w:numId w:val="1007"/>
        </w:numPr>
        <w:pStyle w:val="Compact"/>
      </w:pPr>
      <w:r>
        <w:t xml:space="preserve">comunicação bilíngue ou multilíngue quando relevante.</w:t>
      </w:r>
    </w:p>
    <w:p>
      <w:pPr>
        <w:pStyle w:val="FirstParagraph"/>
      </w:pPr>
      <w:r>
        <w:t xml:space="preserve">Não alegue possuir credenciais certificadas de interpretação, tradução, catalogação, arquivamento, privacidade, cibersegurança ou acessibilidade que você não possui.</w:t>
      </w:r>
    </w:p>
    <w:bookmarkEnd w:id="27"/>
    <w:bookmarkStart w:id="32" w:name="formação-e-caminhos-de-entrada"/>
    <w:p>
      <w:pPr>
        <w:pStyle w:val="Heading2"/>
      </w:pPr>
      <w:r>
        <w:t xml:space="preserve">Formação e caminhos de entrada</w:t>
      </w:r>
    </w:p>
    <w:bookmarkStart w:id="28" w:name="estados-unidos"/>
    <w:p>
      <w:pPr>
        <w:pStyle w:val="Heading3"/>
      </w:pPr>
      <w:r>
        <w:t xml:space="preserve">Estados Unidos</w:t>
      </w:r>
    </w:p>
    <w:p>
      <w:pPr>
        <w:pStyle w:val="FirstParagraph"/>
      </w:pPr>
      <w:r>
        <w:t xml:space="preserve">O U.S. Bureau of Labor Statistics distingue:</w:t>
      </w:r>
    </w:p>
    <w:p>
      <w:pPr>
        <w:numPr>
          <w:ilvl w:val="0"/>
          <w:numId w:val="1008"/>
        </w:numPr>
        <w:pStyle w:val="Compact"/>
      </w:pPr>
      <w:r>
        <w:rPr>
          <w:bCs/>
          <w:b/>
        </w:rPr>
        <w:t xml:space="preserve">Library Technicians — SOC 25-4031</w:t>
      </w:r>
    </w:p>
    <w:p>
      <w:pPr>
        <w:numPr>
          <w:ilvl w:val="0"/>
          <w:numId w:val="1008"/>
        </w:numPr>
        <w:pStyle w:val="Compact"/>
      </w:pPr>
      <w:r>
        <w:rPr>
          <w:bCs/>
          <w:b/>
        </w:rPr>
        <w:t xml:space="preserve">Library Assistants, Clerical — SOC 43-4121</w:t>
      </w:r>
    </w:p>
    <w:p>
      <w:pPr>
        <w:pStyle w:val="FirstParagraph"/>
      </w:pPr>
      <w:r>
        <w:t xml:space="preserve">O BLS informa que técnicos de biblioteca normalmente precisam de um</w:t>
      </w:r>
      <w:r>
        <w:t xml:space="preserve"> </w:t>
      </w:r>
      <w:r>
        <w:rPr>
          <w:bCs/>
          <w:b/>
        </w:rPr>
        <w:t xml:space="preserve">certificado pós-secundário ou outra credencial não conducente a grau</w:t>
      </w:r>
      <w:r>
        <w:t xml:space="preserve">, enquanto assistentes de biblioteca normalmente precisam de</w:t>
      </w:r>
      <w:r>
        <w:t xml:space="preserve"> </w:t>
      </w:r>
      <w:r>
        <w:rPr>
          <w:bCs/>
          <w:b/>
        </w:rPr>
        <w:t xml:space="preserve">diploma do ensino médio ou equivalente</w:t>
      </w:r>
      <w:r>
        <w:t xml:space="preserve"> </w:t>
      </w:r>
      <w:r>
        <w:t xml:space="preserve">e treinamento de curto prazo no trabalho.</w:t>
      </w:r>
    </w:p>
    <w:p>
      <w:pPr>
        <w:pStyle w:val="BodyText"/>
      </w:pPr>
      <w:r>
        <w:t xml:space="preserve">Uma sequência prática de entrada é:</w:t>
      </w:r>
    </w:p>
    <w:p>
      <w:pPr>
        <w:numPr>
          <w:ilvl w:val="0"/>
          <w:numId w:val="1009"/>
        </w:numPr>
        <w:pStyle w:val="Compact"/>
      </w:pPr>
      <w:r>
        <w:t xml:space="preserve">Pesquisar vagas locais usando títulos de assistente e de técnico.</w:t>
      </w:r>
    </w:p>
    <w:p>
      <w:pPr>
        <w:numPr>
          <w:ilvl w:val="0"/>
          <w:numId w:val="1009"/>
        </w:numPr>
        <w:pStyle w:val="Compact"/>
      </w:pPr>
      <w:r>
        <w:t xml:space="preserve">Separar tarefas rotineiras de circulação/apoio administrativo de responsabilidades técnicas de catalogação, referência, metadados, arquivos ou sistemas.</w:t>
      </w:r>
    </w:p>
    <w:p>
      <w:pPr>
        <w:numPr>
          <w:ilvl w:val="0"/>
          <w:numId w:val="1009"/>
        </w:numPr>
        <w:pStyle w:val="Compact"/>
      </w:pPr>
      <w:r>
        <w:t xml:space="preserve">Registrar requisitos reais de educação, experiência, software, horário, verificação de antecedentes, idioma e exigências físicas.</w:t>
      </w:r>
    </w:p>
    <w:p>
      <w:pPr>
        <w:numPr>
          <w:ilvl w:val="0"/>
          <w:numId w:val="1009"/>
        </w:numPr>
        <w:pStyle w:val="Compact"/>
      </w:pPr>
      <w:r>
        <w:t xml:space="preserve">Comparar opções de community colleges públicos, programas de emprego, empregadores e sistemas de biblioteca antes de pagar um provedor privado.</w:t>
      </w:r>
    </w:p>
    <w:p>
      <w:pPr>
        <w:numPr>
          <w:ilvl w:val="0"/>
          <w:numId w:val="1009"/>
        </w:numPr>
        <w:pStyle w:val="Compact"/>
      </w:pPr>
      <w:r>
        <w:t xml:space="preserve">Desenvolver experiência supervisionada em bibliotecas, escolas, museus, arquivos, centros comunitários, programas de alfabetização, escritórios de registros ou funções de serviço público.</w:t>
      </w:r>
    </w:p>
    <w:p>
      <w:pPr>
        <w:numPr>
          <w:ilvl w:val="0"/>
          <w:numId w:val="1009"/>
        </w:numPr>
        <w:pStyle w:val="Compact"/>
      </w:pPr>
      <w:r>
        <w:t xml:space="preserve">Candidatar-se apenas a funções compatíveis com sua formação e experiência reais.</w:t>
      </w:r>
    </w:p>
    <w:bookmarkEnd w:id="28"/>
    <w:bookmarkStart w:id="29" w:name="canadá"/>
    <w:p>
      <w:pPr>
        <w:pStyle w:val="Heading3"/>
      </w:pPr>
      <w:r>
        <w:t xml:space="preserve">Canadá</w:t>
      </w:r>
    </w:p>
    <w:p>
      <w:pPr>
        <w:pStyle w:val="FirstParagraph"/>
      </w:pPr>
      <w:r>
        <w:t xml:space="preserve">O Canadá separa as ocupações de forma mais explícita.</w:t>
      </w:r>
    </w:p>
    <w:p>
      <w:pPr>
        <w:pStyle w:val="BodyText"/>
      </w:pPr>
      <w:r>
        <w:rPr>
          <w:bCs/>
          <w:b/>
        </w:rPr>
        <w:t xml:space="preserve">Library and public archive technicians — NOC 52100</w:t>
      </w:r>
      <w:r>
        <w:t xml:space="preserve"> </w:t>
      </w:r>
      <w:r>
        <w:t xml:space="preserve">geralmente exigem a conclusão de um</w:t>
      </w:r>
      <w:r>
        <w:t xml:space="preserve"> </w:t>
      </w:r>
      <w:r>
        <w:rPr>
          <w:bCs/>
          <w:b/>
        </w:rPr>
        <w:t xml:space="preserve">programa de dois a três anos em library and information technology</w:t>
      </w:r>
      <w:r>
        <w:t xml:space="preserve">. O Job Bank do Governo do Canadá informa que, segundo seus registros atuais, a ocupação não é regulamentada.</w:t>
      </w:r>
    </w:p>
    <w:p>
      <w:pPr>
        <w:pStyle w:val="BodyText"/>
      </w:pPr>
      <w:r>
        <w:rPr>
          <w:bCs/>
          <w:b/>
        </w:rPr>
        <w:t xml:space="preserve">Library assistants and clerks — NOC 14300</w:t>
      </w:r>
      <w:r>
        <w:t xml:space="preserve"> </w:t>
      </w:r>
      <w:r>
        <w:t xml:space="preserve">geralmente exigem a conclusão do</w:t>
      </w:r>
      <w:r>
        <w:t xml:space="preserve"> </w:t>
      </w:r>
      <w:r>
        <w:rPr>
          <w:bCs/>
          <w:b/>
        </w:rPr>
        <w:t xml:space="preserve">ensino médio</w:t>
      </w:r>
      <w:r>
        <w:t xml:space="preserve">. O Job Bank também informa que, segundo seus registros atuais, essa ocupação não é regulamentada.</w:t>
      </w:r>
    </w:p>
    <w:p>
      <w:pPr>
        <w:pStyle w:val="BodyText"/>
      </w:pPr>
      <w:r>
        <w:t xml:space="preserve">As expectativas dos empregadores ainda podem variar conforme a província, instituição, tipo de coleção, idioma, ambiente sindical e plataforma tecnológica.</w:t>
      </w:r>
    </w:p>
    <w:bookmarkEnd w:id="29"/>
    <w:bookmarkStart w:id="30" w:name="colômbia"/>
    <w:p>
      <w:pPr>
        <w:pStyle w:val="Heading3"/>
      </w:pPr>
      <w:r>
        <w:t xml:space="preserve">Colômbia</w:t>
      </w:r>
    </w:p>
    <w:p>
      <w:pPr>
        <w:pStyle w:val="FirstParagraph"/>
      </w:pPr>
      <w:r>
        <w:t xml:space="preserve">O Observatorio Laboral y Ocupacional Colombiano do SENA identifica</w:t>
      </w:r>
      <w:r>
        <w:t xml:space="preserve"> </w:t>
      </w:r>
      <w:r>
        <w:rPr>
          <w:bCs/>
          <w:b/>
        </w:rPr>
        <w:t xml:space="preserve">CNO 1351 — Auxiliares de biblioteca</w:t>
      </w:r>
      <w:r>
        <w:t xml:space="preserve">.</w:t>
      </w:r>
    </w:p>
    <w:p>
      <w:pPr>
        <w:pStyle w:val="BodyText"/>
      </w:pPr>
      <w:r>
        <w:t xml:space="preserve">As funções oficiais incluem orientar usuários, apoiar catalogação, emprestar e receber materiais, organizar coleções, realizar buscas de referência, manter registros e apoiar programas, inventários, comunicações e manejo de material bibliográfico.</w:t>
      </w:r>
    </w:p>
    <w:p>
      <w:pPr>
        <w:pStyle w:val="BodyText"/>
      </w:pPr>
      <w:r>
        <w:t xml:space="preserve">Trata-se de um caminho ocupacional de nível auxiliar. Não deve ser apresentado como equivalente a uma credencial profissional de</w:t>
      </w:r>
      <w:r>
        <w:t xml:space="preserve"> </w:t>
      </w:r>
      <w:r>
        <w:rPr>
          <w:bCs/>
          <w:b/>
        </w:rPr>
        <w:t xml:space="preserve">bibliotecólogo</w:t>
      </w:r>
      <w:r>
        <w:t xml:space="preserve"> </w:t>
      </w:r>
      <w:r>
        <w:t xml:space="preserve">nem como autoridade universal para exercer funções profissionais de bibliotecário.</w:t>
      </w:r>
    </w:p>
    <w:p>
      <w:pPr>
        <w:pStyle w:val="BodyText"/>
      </w:pPr>
      <w:r>
        <w:t xml:space="preserve">Recursos de política pública e educação continuada do Ministério da Educação e da Biblioteca Nacional de Colombia podem apoiar o desenvolvimento de habilidades, mas qualquer curso atual deve ser verificado com o provedor antes de gastar dinheiro ou presumir reconhecimento por empregadores.</w:t>
      </w:r>
    </w:p>
    <w:bookmarkEnd w:id="30"/>
    <w:bookmarkStart w:id="31" w:name="américa-latina-e-caribe"/>
    <w:p>
      <w:pPr>
        <w:pStyle w:val="Heading3"/>
      </w:pPr>
      <w:r>
        <w:t xml:space="preserve">América Latina e Caribe</w:t>
      </w:r>
    </w:p>
    <w:p>
      <w:pPr>
        <w:pStyle w:val="FirstParagraph"/>
      </w:pPr>
      <w:r>
        <w:t xml:space="preserve">Títulos, funções profissionais, sistemas de bibliotecas públicas, caminhos educacionais e credenciais regulamentadas variam amplamente na região.</w:t>
      </w:r>
    </w:p>
    <w:p>
      <w:pPr>
        <w:pStyle w:val="BodyText"/>
      </w:pPr>
      <w:r>
        <w:t xml:space="preserve">Use a OIT/Cinterfor e instituições nacionais de formação pública como localizadores e depois verifique os requisitos reais do empregador, custo, reconhecimento e alcance legal no país onde pretende trabalhar.</w:t>
      </w:r>
    </w:p>
    <w:bookmarkEnd w:id="31"/>
    <w:bookmarkEnd w:id="32"/>
    <w:bookmarkStart w:id="36" w:name="X2b4ab4deb094b831f288d4d602310cc65931b32"/>
    <w:p>
      <w:pPr>
        <w:pStyle w:val="Heading2"/>
      </w:pPr>
      <w:r>
        <w:t xml:space="preserve">Panorama atual de salários e perspectivas</w:t>
      </w:r>
    </w:p>
    <w:bookmarkStart w:id="33" w:name="estados-unidos-1"/>
    <w:p>
      <w:pPr>
        <w:pStyle w:val="Heading3"/>
      </w:pPr>
      <w:r>
        <w:t xml:space="preserve">Estados Unidos</w:t>
      </w:r>
    </w:p>
    <w:p>
      <w:pPr>
        <w:pStyle w:val="FirstParagraph"/>
      </w:pPr>
      <w:r>
        <w:t xml:space="preserve">Salários medianos por hora do BLS, maio de 2024:</w:t>
      </w:r>
    </w:p>
    <w:p>
      <w:pPr>
        <w:numPr>
          <w:ilvl w:val="0"/>
          <w:numId w:val="1010"/>
        </w:numPr>
        <w:pStyle w:val="Compact"/>
      </w:pPr>
      <w:r>
        <w:t xml:space="preserve">Técnicos de biblioteca:</w:t>
      </w:r>
      <w:r>
        <w:t xml:space="preserve"> </w:t>
      </w:r>
      <w:r>
        <w:rPr>
          <w:bCs/>
          <w:b/>
        </w:rPr>
        <w:t xml:space="preserve">$19.22/hour</w:t>
      </w:r>
    </w:p>
    <w:p>
      <w:pPr>
        <w:numPr>
          <w:ilvl w:val="0"/>
          <w:numId w:val="1010"/>
        </w:numPr>
        <w:pStyle w:val="Compact"/>
      </w:pPr>
      <w:r>
        <w:t xml:space="preserve">Assistentes de biblioteca, administrativos:</w:t>
      </w:r>
      <w:r>
        <w:t xml:space="preserve"> </w:t>
      </w:r>
      <w:r>
        <w:rPr>
          <w:bCs/>
          <w:b/>
        </w:rPr>
        <w:t xml:space="preserve">$17.31/hour</w:t>
      </w:r>
    </w:p>
    <w:p>
      <w:pPr>
        <w:numPr>
          <w:ilvl w:val="0"/>
          <w:numId w:val="1010"/>
        </w:numPr>
        <w:pStyle w:val="Compact"/>
      </w:pPr>
      <w:r>
        <w:t xml:space="preserve">Mediana do perfil combinado:</w:t>
      </w:r>
      <w:r>
        <w:t xml:space="preserve"> </w:t>
      </w:r>
      <w:r>
        <w:rPr>
          <w:bCs/>
          <w:b/>
        </w:rPr>
        <w:t xml:space="preserve">$18.05/hour</w:t>
      </w:r>
      <w:r>
        <w:t xml:space="preserve">, ou</w:t>
      </w:r>
      <w:r>
        <w:t xml:space="preserve"> </w:t>
      </w:r>
      <w:r>
        <w:rPr>
          <w:bCs/>
          <w:b/>
        </w:rPr>
        <w:t xml:space="preserve">$37,540 per year</w:t>
      </w:r>
    </w:p>
    <w:p>
      <w:pPr>
        <w:pStyle w:val="FirstParagraph"/>
      </w:pPr>
      <w:r>
        <w:t xml:space="preserve">Para o grupo combinado, o BLS projeta queda de emprego de</w:t>
      </w:r>
      <w:r>
        <w:t xml:space="preserve"> </w:t>
      </w:r>
      <w:r>
        <w:rPr>
          <w:bCs/>
          <w:b/>
        </w:rPr>
        <w:t xml:space="preserve">7% de 2024 a 2034</w:t>
      </w:r>
      <w:r>
        <w:t xml:space="preserve">, embora ainda projete cerca de</w:t>
      </w:r>
      <w:r>
        <w:t xml:space="preserve"> </w:t>
      </w:r>
      <w:r>
        <w:rPr>
          <w:bCs/>
          <w:b/>
        </w:rPr>
        <w:t xml:space="preserve">25,800 openings per year</w:t>
      </w:r>
      <w:r>
        <w:t xml:space="preserve"> </w:t>
      </w:r>
      <w:r>
        <w:t xml:space="preserve">em média devido à necessidade de substituição de trabalhadores.</w:t>
      </w:r>
    </w:p>
    <w:p>
      <w:pPr>
        <w:pStyle w:val="BodyText"/>
      </w:pPr>
      <w:r>
        <w:t xml:space="preserve">Esses são dados nacionais do mercado de trabalho, não garantias de renda ou emprego.</w:t>
      </w:r>
    </w:p>
    <w:bookmarkEnd w:id="33"/>
    <w:bookmarkStart w:id="34" w:name="canadá-1"/>
    <w:p>
      <w:pPr>
        <w:pStyle w:val="Heading3"/>
      </w:pPr>
      <w:r>
        <w:t xml:space="preserve">Canadá</w:t>
      </w:r>
    </w:p>
    <w:p>
      <w:pPr>
        <w:pStyle w:val="FirstParagraph"/>
      </w:pPr>
      <w:r>
        <w:t xml:space="preserve">O Job Bank do Governo do Canadá informa atualmente:</w:t>
      </w:r>
    </w:p>
    <w:p>
      <w:pPr>
        <w:numPr>
          <w:ilvl w:val="0"/>
          <w:numId w:val="1011"/>
        </w:numPr>
        <w:pStyle w:val="Compact"/>
      </w:pPr>
      <w:r>
        <w:t xml:space="preserve">Library and public archive technicians — mediana nacional de</w:t>
      </w:r>
      <w:r>
        <w:t xml:space="preserve"> </w:t>
      </w:r>
      <w:r>
        <w:rPr>
          <w:bCs/>
          <w:b/>
        </w:rPr>
        <w:t xml:space="preserve">C$28.00/hour</w:t>
      </w:r>
    </w:p>
    <w:p>
      <w:pPr>
        <w:numPr>
          <w:ilvl w:val="0"/>
          <w:numId w:val="1011"/>
        </w:numPr>
        <w:pStyle w:val="Compact"/>
      </w:pPr>
      <w:r>
        <w:t xml:space="preserve">Library assistants and clerks — mediana nacional de</w:t>
      </w:r>
      <w:r>
        <w:t xml:space="preserve"> </w:t>
      </w:r>
      <w:r>
        <w:rPr>
          <w:bCs/>
          <w:b/>
        </w:rPr>
        <w:t xml:space="preserve">C$23.17/hour</w:t>
      </w:r>
      <w:r>
        <w:t xml:space="preserve">, com faixa nacional publicada de</w:t>
      </w:r>
      <w:r>
        <w:t xml:space="preserve"> </w:t>
      </w:r>
      <w:r>
        <w:rPr>
          <w:bCs/>
          <w:b/>
        </w:rPr>
        <w:t xml:space="preserve">C$15.80 low / C$23.17 median / C$34.00 high</w:t>
      </w:r>
    </w:p>
    <w:p>
      <w:pPr>
        <w:pStyle w:val="FirstParagraph"/>
      </w:pPr>
      <w:r>
        <w:t xml:space="preserve">As perspectivas e os salários variam por província e território.</w:t>
      </w:r>
    </w:p>
    <w:bookmarkEnd w:id="34"/>
    <w:bookmarkStart w:id="35" w:name="colômbia-1"/>
    <w:p>
      <w:pPr>
        <w:pStyle w:val="Heading3"/>
      </w:pPr>
      <w:r>
        <w:t xml:space="preserve">Colômbia</w:t>
      </w:r>
    </w:p>
    <w:p>
      <w:pPr>
        <w:pStyle w:val="FirstParagraph"/>
      </w:pPr>
      <w:r>
        <w:t xml:space="preserve">A pesquisa controlada identificou uma classificação ocupacional oficial para</w:t>
      </w:r>
      <w:r>
        <w:t xml:space="preserve"> </w:t>
      </w:r>
      <w:r>
        <w:rPr>
          <w:bCs/>
          <w:b/>
        </w:rPr>
        <w:t xml:space="preserve">CNO 1351 — Auxiliares de biblioteca</w:t>
      </w:r>
      <w:r>
        <w:t xml:space="preserve">, mas não estabeleceu uma série salarial nacional oficial diretamente comparável para o título combinado do Guia 63. Não invente uma. Use vagas atuais da Agencia Pública de Empleo do SENA e de empregadores verificados como inteligência do mercado local, tratando vagas individuais como exemplos e não como referência salarial nacional.</w:t>
      </w:r>
    </w:p>
    <w:bookmarkEnd w:id="35"/>
    <w:bookmarkEnd w:id="36"/>
    <w:bookmarkStart w:id="37" w:name="X8d1adcc3eb357a5914504177ecb1dfd5f39b119"/>
    <w:p>
      <w:pPr>
        <w:pStyle w:val="Heading2"/>
      </w:pPr>
      <w:r>
        <w:t xml:space="preserve">Estratégia de formação gratuita ou de baixo custo primeiro</w:t>
      </w:r>
    </w:p>
    <w:p>
      <w:pPr>
        <w:pStyle w:val="FirstParagraph"/>
      </w:pPr>
      <w:r>
        <w:t xml:space="preserve">Antes de pagar por um certificado privado:</w:t>
      </w:r>
    </w:p>
    <w:p>
      <w:pPr>
        <w:numPr>
          <w:ilvl w:val="0"/>
          <w:numId w:val="1012"/>
        </w:numPr>
        <w:pStyle w:val="Compact"/>
      </w:pPr>
      <w:r>
        <w:t xml:space="preserve">Revise de 15 a 20 vagas locais atuais.</w:t>
      </w:r>
    </w:p>
    <w:p>
      <w:pPr>
        <w:numPr>
          <w:ilvl w:val="0"/>
          <w:numId w:val="1012"/>
        </w:numPr>
        <w:pStyle w:val="Compact"/>
      </w:pPr>
      <w:r>
        <w:t xml:space="preserve">Separe requisitos de assistente e de técnico.</w:t>
      </w:r>
    </w:p>
    <w:p>
      <w:pPr>
        <w:numPr>
          <w:ilvl w:val="0"/>
          <w:numId w:val="1012"/>
        </w:numPr>
        <w:pStyle w:val="Compact"/>
      </w:pPr>
      <w:r>
        <w:t xml:space="preserve">Identifique quais requisitos são obrigatórios, preferenciais ou específicos do empregador.</w:t>
      </w:r>
    </w:p>
    <w:p>
      <w:pPr>
        <w:numPr>
          <w:ilvl w:val="0"/>
          <w:numId w:val="1012"/>
        </w:numPr>
        <w:pStyle w:val="Compact"/>
      </w:pPr>
      <w:r>
        <w:t xml:space="preserve">Verifique primeiro faculdades públicas, programas de emprego, sistemas de biblioteca, SENA e treinamento oferecido pelo empregador.</w:t>
      </w:r>
    </w:p>
    <w:p>
      <w:pPr>
        <w:numPr>
          <w:ilvl w:val="0"/>
          <w:numId w:val="1012"/>
        </w:numPr>
        <w:pStyle w:val="Compact"/>
      </w:pPr>
      <w:r>
        <w:t xml:space="preserve">Compare mensalidades, materiais, transporte, software, exames e horários.</w:t>
      </w:r>
    </w:p>
    <w:p>
      <w:pPr>
        <w:numPr>
          <w:ilvl w:val="0"/>
          <w:numId w:val="1012"/>
        </w:numPr>
        <w:pStyle w:val="Compact"/>
      </w:pPr>
      <w:r>
        <w:t xml:space="preserve">Confirme que os empregadores-alvo realmente reconhecem a credencial.</w:t>
      </w:r>
    </w:p>
    <w:p>
      <w:pPr>
        <w:numPr>
          <w:ilvl w:val="0"/>
          <w:numId w:val="1012"/>
        </w:numPr>
        <w:pStyle w:val="Compact"/>
      </w:pPr>
      <w:r>
        <w:t xml:space="preserve">Evite dívidas por treinamento que as vagas desejadas não exigem.</w:t>
      </w:r>
    </w:p>
    <w:p>
      <w:pPr>
        <w:numPr>
          <w:ilvl w:val="0"/>
          <w:numId w:val="1012"/>
        </w:numPr>
        <w:pStyle w:val="Compact"/>
      </w:pPr>
      <w:r>
        <w:t xml:space="preserve">Obtenha por escrito alegações de colocação ou renda e trate garantias com ceticismo.</w:t>
      </w:r>
    </w:p>
    <w:bookmarkEnd w:id="37"/>
    <w:bookmarkStart w:id="41" w:name="X2b07011812abbd8ec518a9245c6d090fd919b04"/>
    <w:p>
      <w:pPr>
        <w:pStyle w:val="Heading2"/>
      </w:pPr>
      <w:r>
        <w:t xml:space="preserve">Localizadores de financiamento e formação pública</w:t>
      </w:r>
    </w:p>
    <w:bookmarkStart w:id="38" w:name="estados-unidos-2"/>
    <w:p>
      <w:pPr>
        <w:pStyle w:val="Heading3"/>
      </w:pPr>
      <w:r>
        <w:t xml:space="preserve">Estados Unidos</w:t>
      </w:r>
    </w:p>
    <w:p>
      <w:pPr>
        <w:pStyle w:val="FirstParagraph"/>
      </w:pPr>
      <w:r>
        <w:t xml:space="preserve">CareerOneStop e American Job Centers podem ajudar a identificar serviços públicos de emprego e treinamento elegível para WIOA. Elegibilidade, provedores aprovados, prioridades locais e financiamento variam. O apoio da WIOA não é garantido.</w:t>
      </w:r>
    </w:p>
    <w:p>
      <w:pPr>
        <w:pStyle w:val="BodyText"/>
      </w:pPr>
      <w:r>
        <w:t xml:space="preserve">Community colleges, bibliotecas públicas, sistemas estaduais de bibliotecas, empregadores municipais e universidades também podem oferecer treinamento de baixo custo, voluntariado, estágios, apoio à mensalidade ou vagas remuneradas de entrada.</w:t>
      </w:r>
    </w:p>
    <w:bookmarkEnd w:id="38"/>
    <w:bookmarkStart w:id="39" w:name="canadá-2"/>
    <w:p>
      <w:pPr>
        <w:pStyle w:val="Heading3"/>
      </w:pPr>
      <w:r>
        <w:t xml:space="preserve">Canadá</w:t>
      </w:r>
    </w:p>
    <w:p>
      <w:pPr>
        <w:pStyle w:val="FirstParagraph"/>
      </w:pPr>
      <w:r>
        <w:t xml:space="preserve">Compare auxílio estudantil provincial, programas públicos de college, serviços de emprego, treinamento de sistemas de biblioteca e educação apoiada pelo empregador. Confirme a elegibilidade diretamente com o programa público responsável antes de se matricular.</w:t>
      </w:r>
    </w:p>
    <w:bookmarkEnd w:id="39"/>
    <w:bookmarkStart w:id="40" w:name="colômbia-e-américa-latina"/>
    <w:p>
      <w:pPr>
        <w:pStyle w:val="Heading3"/>
      </w:pPr>
      <w:r>
        <w:t xml:space="preserve">Colômbia e América Latina</w:t>
      </w:r>
    </w:p>
    <w:p>
      <w:pPr>
        <w:pStyle w:val="FirstParagraph"/>
      </w:pPr>
      <w:r>
        <w:t xml:space="preserve">Na Colômbia, comece pelo SENA, Agencia Pública de Empleo, Biblioteca Nacional de Colombia e redes públicas relevantes de educação ou bibliotecas. Em outros países latino-americanos, use a OIT/Cinterfor para identificar o órgão nacional de formação pública e depois verifique diretamente as ofertas atuais.</w:t>
      </w:r>
    </w:p>
    <w:bookmarkEnd w:id="40"/>
    <w:bookmarkEnd w:id="41"/>
    <w:bookmarkStart w:id="42" w:name="X20907a1bf666c3f1bd5f16a4c4ddfeea127d16b"/>
    <w:p>
      <w:pPr>
        <w:pStyle w:val="Heading2"/>
      </w:pPr>
      <w:r>
        <w:t xml:space="preserve">Apoio do empregador e desenvolvimento no trabalho</w:t>
      </w:r>
    </w:p>
    <w:p>
      <w:pPr>
        <w:pStyle w:val="FirstParagraph"/>
      </w:pPr>
      <w:r>
        <w:t xml:space="preserve">Pergunte aos empregadores sobre:</w:t>
      </w:r>
    </w:p>
    <w:p>
      <w:pPr>
        <w:numPr>
          <w:ilvl w:val="0"/>
          <w:numId w:val="1013"/>
        </w:numPr>
        <w:pStyle w:val="Compact"/>
      </w:pPr>
      <w:r>
        <w:t xml:space="preserve">integração remunerada;</w:t>
      </w:r>
    </w:p>
    <w:p>
      <w:pPr>
        <w:numPr>
          <w:ilvl w:val="0"/>
          <w:numId w:val="1013"/>
        </w:numPr>
        <w:pStyle w:val="Compact"/>
      </w:pPr>
      <w:r>
        <w:t xml:space="preserve">treinamento em sistemas de circulação e catálogos;</w:t>
      </w:r>
    </w:p>
    <w:p>
      <w:pPr>
        <w:numPr>
          <w:ilvl w:val="0"/>
          <w:numId w:val="1013"/>
        </w:numPr>
        <w:pStyle w:val="Compact"/>
      </w:pPr>
      <w:r>
        <w:t xml:space="preserve">treinamento em catalogação ou metadados;</w:t>
      </w:r>
    </w:p>
    <w:p>
      <w:pPr>
        <w:numPr>
          <w:ilvl w:val="0"/>
          <w:numId w:val="1013"/>
        </w:numPr>
        <w:pStyle w:val="Compact"/>
      </w:pPr>
      <w:r>
        <w:t xml:space="preserve">tratamento de privacidade e registros;</w:t>
      </w:r>
    </w:p>
    <w:p>
      <w:pPr>
        <w:numPr>
          <w:ilvl w:val="0"/>
          <w:numId w:val="1013"/>
        </w:numPr>
        <w:pStyle w:val="Compact"/>
      </w:pPr>
      <w:r>
        <w:t xml:space="preserve">procedimentos de direitos autorais e recursos licenciados;</w:t>
      </w:r>
    </w:p>
    <w:p>
      <w:pPr>
        <w:numPr>
          <w:ilvl w:val="0"/>
          <w:numId w:val="1013"/>
        </w:numPr>
        <w:pStyle w:val="Compact"/>
      </w:pPr>
      <w:r>
        <w:t xml:space="preserve">desescalada de conflitos com usuários;</w:t>
      </w:r>
    </w:p>
    <w:p>
      <w:pPr>
        <w:numPr>
          <w:ilvl w:val="0"/>
          <w:numId w:val="1013"/>
        </w:numPr>
        <w:pStyle w:val="Compact"/>
      </w:pPr>
      <w:r>
        <w:t xml:space="preserve">ferramentas de acessibilidade e atendimento inclusivo;</w:t>
      </w:r>
    </w:p>
    <w:p>
      <w:pPr>
        <w:numPr>
          <w:ilvl w:val="0"/>
          <w:numId w:val="1013"/>
        </w:numPr>
        <w:pStyle w:val="Compact"/>
      </w:pPr>
      <w:r>
        <w:t xml:space="preserve">conscientização em cibersegurança;</w:t>
      </w:r>
    </w:p>
    <w:p>
      <w:pPr>
        <w:numPr>
          <w:ilvl w:val="0"/>
          <w:numId w:val="1013"/>
        </w:numPr>
        <w:pStyle w:val="Compact"/>
      </w:pPr>
      <w:r>
        <w:t xml:space="preserve">manejo de arquivos ou preservação quando aplicável;</w:t>
      </w:r>
    </w:p>
    <w:p>
      <w:pPr>
        <w:numPr>
          <w:ilvl w:val="0"/>
          <w:numId w:val="1013"/>
        </w:numPr>
        <w:pStyle w:val="Compact"/>
      </w:pPr>
      <w:r>
        <w:t xml:space="preserve">auxílio ou reembolso de mensalidades; e</w:t>
      </w:r>
    </w:p>
    <w:p>
      <w:pPr>
        <w:numPr>
          <w:ilvl w:val="0"/>
          <w:numId w:val="1013"/>
        </w:numPr>
        <w:pStyle w:val="Compact"/>
      </w:pPr>
      <w:r>
        <w:t xml:space="preserve">progressão de assistente para técnico ou de técnico para outras funções em bibliotecas/informação.</w:t>
      </w:r>
    </w:p>
    <w:bookmarkEnd w:id="42"/>
    <w:bookmarkStart w:id="43" w:name="uso-responsável-de-ia"/>
    <w:p>
      <w:pPr>
        <w:pStyle w:val="Heading2"/>
      </w:pPr>
      <w:r>
        <w:t xml:space="preserve">Uso responsável de IA</w:t>
      </w:r>
    </w:p>
    <w:p>
      <w:pPr>
        <w:pStyle w:val="FirstParagraph"/>
      </w:pPr>
      <w:r>
        <w:t xml:space="preserve">A IA pode apoiar trabalho rotineiro, mas somente dentro das políticas do empregador e das regras de tratamento de dados.</w:t>
      </w:r>
    </w:p>
    <w:p>
      <w:pPr>
        <w:pStyle w:val="BodyText"/>
      </w:pPr>
      <w:r>
        <w:t xml:space="preserve">Usos potenciais de menor risco podem incluir:</w:t>
      </w:r>
    </w:p>
    <w:p>
      <w:pPr>
        <w:numPr>
          <w:ilvl w:val="0"/>
          <w:numId w:val="1014"/>
        </w:numPr>
        <w:pStyle w:val="Compact"/>
      </w:pPr>
      <w:r>
        <w:t xml:space="preserve">redigir avisos públicos não confidenciais;</w:t>
      </w:r>
    </w:p>
    <w:p>
      <w:pPr>
        <w:numPr>
          <w:ilvl w:val="0"/>
          <w:numId w:val="1014"/>
        </w:numPr>
        <w:pStyle w:val="Compact"/>
      </w:pPr>
      <w:r>
        <w:t xml:space="preserve">gerar ideias para programas;</w:t>
      </w:r>
    </w:p>
    <w:p>
      <w:pPr>
        <w:numPr>
          <w:ilvl w:val="0"/>
          <w:numId w:val="1014"/>
        </w:numPr>
        <w:pStyle w:val="Compact"/>
      </w:pPr>
      <w:r>
        <w:t xml:space="preserve">sugerir linguagem simples;</w:t>
      </w:r>
    </w:p>
    <w:p>
      <w:pPr>
        <w:numPr>
          <w:ilvl w:val="0"/>
          <w:numId w:val="1014"/>
        </w:numPr>
        <w:pStyle w:val="Compact"/>
      </w:pPr>
      <w:r>
        <w:t xml:space="preserve">criar sugestões iniciais de metadados para posterior revisão humana;</w:t>
      </w:r>
    </w:p>
    <w:p>
      <w:pPr>
        <w:numPr>
          <w:ilvl w:val="0"/>
          <w:numId w:val="1014"/>
        </w:numPr>
        <w:pStyle w:val="Compact"/>
      </w:pPr>
      <w:r>
        <w:t xml:space="preserve">apoio à tradução de conteúdo público não sensível; e</w:t>
      </w:r>
    </w:p>
    <w:p>
      <w:pPr>
        <w:numPr>
          <w:ilvl w:val="0"/>
          <w:numId w:val="1014"/>
        </w:numPr>
        <w:pStyle w:val="Compact"/>
      </w:pPr>
      <w:r>
        <w:t xml:space="preserve">resumir material de domínio público ou com licença aberta quando permitido.</w:t>
      </w:r>
    </w:p>
    <w:p>
      <w:pPr>
        <w:pStyle w:val="FirstParagraph"/>
      </w:pPr>
      <w:r>
        <w:t xml:space="preserve">Não insira informações confidenciais de usuários, históricos de empréstimos, senhas, registros internos, conteúdo de bases de dados licenciadas, coleções não publicadas, arquivos restritos ou outros dados protegidos em sistemas de IA não aprovados.</w:t>
      </w:r>
    </w:p>
    <w:p>
      <w:pPr>
        <w:pStyle w:val="BodyText"/>
      </w:pPr>
      <w:r>
        <w:t xml:space="preserve">Não trate a saída da IA como autoridade para direitos autorais, privacidade, catalogação, descrição arquivística, conformidade legal, certificação de acessibilidade ou respostas factuais de referência. Verifique resultados importantes com fontes aprovadas e pessoal qualificado.</w:t>
      </w:r>
    </w:p>
    <w:bookmarkEnd w:id="43"/>
    <w:bookmarkStart w:id="44" w:name="cibersegurança-e-proteção-de-contas"/>
    <w:p>
      <w:pPr>
        <w:pStyle w:val="Heading2"/>
      </w:pPr>
      <w:r>
        <w:t xml:space="preserve">Cibersegurança e proteção de contas</w:t>
      </w:r>
    </w:p>
    <w:p>
      <w:pPr>
        <w:pStyle w:val="FirstParagraph"/>
      </w:pPr>
      <w:r>
        <w:t xml:space="preserve">Profissionais de biblioteca usam com frequência sistemas de circulação, e-mail, computadores de acesso público, bases de dados, portais de fornecedores, unidades compartilhadas e serviços em nuvem.</w:t>
      </w:r>
    </w:p>
    <w:p>
      <w:pPr>
        <w:pStyle w:val="BodyText"/>
      </w:pPr>
      <w:r>
        <w:t xml:space="preserve">As medidas básicas incluem:</w:t>
      </w:r>
    </w:p>
    <w:p>
      <w:pPr>
        <w:numPr>
          <w:ilvl w:val="0"/>
          <w:numId w:val="1015"/>
        </w:numPr>
        <w:pStyle w:val="Compact"/>
      </w:pPr>
      <w:r>
        <w:t xml:space="preserve">usar credenciais únicas aprovadas;</w:t>
      </w:r>
    </w:p>
    <w:p>
      <w:pPr>
        <w:numPr>
          <w:ilvl w:val="0"/>
          <w:numId w:val="1015"/>
        </w:numPr>
        <w:pStyle w:val="Compact"/>
      </w:pPr>
      <w:r>
        <w:t xml:space="preserve">cumprir requisitos de autenticação multifator;</w:t>
      </w:r>
    </w:p>
    <w:p>
      <w:pPr>
        <w:numPr>
          <w:ilvl w:val="0"/>
          <w:numId w:val="1015"/>
        </w:numPr>
        <w:pStyle w:val="Compact"/>
      </w:pPr>
      <w:r>
        <w:t xml:space="preserve">bloquear telas quando estiverem sem supervisão;</w:t>
      </w:r>
    </w:p>
    <w:p>
      <w:pPr>
        <w:numPr>
          <w:ilvl w:val="0"/>
          <w:numId w:val="1015"/>
        </w:numPr>
        <w:pStyle w:val="Compact"/>
      </w:pPr>
      <w:r>
        <w:t xml:space="preserve">não compartilhar senhas;</w:t>
      </w:r>
    </w:p>
    <w:p>
      <w:pPr>
        <w:numPr>
          <w:ilvl w:val="0"/>
          <w:numId w:val="1015"/>
        </w:numPr>
        <w:pStyle w:val="Compact"/>
      </w:pPr>
      <w:r>
        <w:t xml:space="preserve">reconhecer tentativas de phishing e engenharia social;</w:t>
      </w:r>
    </w:p>
    <w:p>
      <w:pPr>
        <w:numPr>
          <w:ilvl w:val="0"/>
          <w:numId w:val="1015"/>
        </w:numPr>
        <w:pStyle w:val="Compact"/>
      </w:pPr>
      <w:r>
        <w:t xml:space="preserve">evitar links, anexos e mídias removíveis desconhecidos;</w:t>
      </w:r>
    </w:p>
    <w:p>
      <w:pPr>
        <w:numPr>
          <w:ilvl w:val="0"/>
          <w:numId w:val="1015"/>
        </w:numPr>
        <w:pStyle w:val="Compact"/>
      </w:pPr>
      <w:r>
        <w:t xml:space="preserve">usar software e locais de armazenamento aprovados;</w:t>
      </w:r>
    </w:p>
    <w:p>
      <w:pPr>
        <w:numPr>
          <w:ilvl w:val="0"/>
          <w:numId w:val="1015"/>
        </w:numPr>
        <w:pStyle w:val="Compact"/>
      </w:pPr>
      <w:r>
        <w:t xml:space="preserve">relatar rapidamente suspeitas de comprometimento; e</w:t>
      </w:r>
    </w:p>
    <w:p>
      <w:pPr>
        <w:numPr>
          <w:ilvl w:val="0"/>
          <w:numId w:val="1015"/>
        </w:numPr>
        <w:pStyle w:val="Compact"/>
      </w:pPr>
      <w:r>
        <w:t xml:space="preserve">escalar trabalho técnico ou forense em vez de realizar investigação fora do escopo.</w:t>
      </w:r>
    </w:p>
    <w:bookmarkEnd w:id="44"/>
    <w:bookmarkStart w:id="49" w:name="plano-prático-de-30-dias"/>
    <w:p>
      <w:pPr>
        <w:pStyle w:val="Heading2"/>
      </w:pPr>
      <w:r>
        <w:t xml:space="preserve">Plano prático de 30 dias</w:t>
      </w:r>
    </w:p>
    <w:bookmarkStart w:id="45" w:name="dias-17"/>
    <w:p>
      <w:pPr>
        <w:pStyle w:val="Heading3"/>
      </w:pPr>
      <w:r>
        <w:t xml:space="preserve">Dias 1–7</w:t>
      </w:r>
    </w:p>
    <w:p>
      <w:pPr>
        <w:numPr>
          <w:ilvl w:val="0"/>
          <w:numId w:val="1016"/>
        </w:numPr>
        <w:pStyle w:val="Compact"/>
      </w:pPr>
      <w:r>
        <w:t xml:space="preserve">Reúna de 15 a 20 vagas locais atuais.</w:t>
      </w:r>
    </w:p>
    <w:p>
      <w:pPr>
        <w:numPr>
          <w:ilvl w:val="0"/>
          <w:numId w:val="1016"/>
        </w:numPr>
        <w:pStyle w:val="Compact"/>
      </w:pPr>
      <w:r>
        <w:t xml:space="preserve">Separe vagas de assistente e de técnico.</w:t>
      </w:r>
    </w:p>
    <w:p>
      <w:pPr>
        <w:numPr>
          <w:ilvl w:val="0"/>
          <w:numId w:val="1016"/>
        </w:numPr>
        <w:pStyle w:val="Compact"/>
      </w:pPr>
      <w:r>
        <w:t xml:space="preserve">Registre requisitos recorrentes de educação, software, idioma, horário e exigências físicas.</w:t>
      </w:r>
    </w:p>
    <w:p>
      <w:pPr>
        <w:numPr>
          <w:ilvl w:val="0"/>
          <w:numId w:val="1016"/>
        </w:numPr>
        <w:pStyle w:val="Compact"/>
      </w:pPr>
      <w:r>
        <w:t xml:space="preserve">Identifique quais bibliotecas, colleges, escolas, arquivos ou órgãos públicos locais contratam pessoal de entrada.</w:t>
      </w:r>
    </w:p>
    <w:bookmarkEnd w:id="45"/>
    <w:bookmarkStart w:id="46" w:name="dias-814"/>
    <w:p>
      <w:pPr>
        <w:pStyle w:val="Heading3"/>
      </w:pPr>
      <w:r>
        <w:t xml:space="preserve">Dias 8–14</w:t>
      </w:r>
    </w:p>
    <w:p>
      <w:pPr>
        <w:numPr>
          <w:ilvl w:val="0"/>
          <w:numId w:val="1017"/>
        </w:numPr>
        <w:pStyle w:val="Compact"/>
      </w:pPr>
      <w:r>
        <w:t xml:space="preserve">Compare suas habilidades atuais com as vagas.</w:t>
      </w:r>
    </w:p>
    <w:p>
      <w:pPr>
        <w:numPr>
          <w:ilvl w:val="0"/>
          <w:numId w:val="1017"/>
        </w:numPr>
        <w:pStyle w:val="Compact"/>
      </w:pPr>
      <w:r>
        <w:t xml:space="preserve">Pratique pesquisa básica em catálogos, organização de arquivos, uso de planilhas, atendimento ao cliente e comunicação em linguagem simples.</w:t>
      </w:r>
    </w:p>
    <w:p>
      <w:pPr>
        <w:numPr>
          <w:ilvl w:val="0"/>
          <w:numId w:val="1017"/>
        </w:numPr>
        <w:pStyle w:val="Compact"/>
      </w:pPr>
      <w:r>
        <w:t xml:space="preserve">Revise orientações públicas sobre privacidade, direitos autorais, acessibilidade e cibersegurança relevantes ao trabalho de biblioteca.</w:t>
      </w:r>
    </w:p>
    <w:bookmarkEnd w:id="46"/>
    <w:bookmarkStart w:id="47" w:name="dias-1521"/>
    <w:p>
      <w:pPr>
        <w:pStyle w:val="Heading3"/>
      </w:pPr>
      <w:r>
        <w:t xml:space="preserve">Dias 15–21</w:t>
      </w:r>
    </w:p>
    <w:p>
      <w:pPr>
        <w:numPr>
          <w:ilvl w:val="0"/>
          <w:numId w:val="1018"/>
        </w:numPr>
        <w:pStyle w:val="Compact"/>
      </w:pPr>
      <w:r>
        <w:t xml:space="preserve">Escolha uma lacuna de habilidade gratuita ou de baixo custo para trabalhar.</w:t>
      </w:r>
    </w:p>
    <w:p>
      <w:pPr>
        <w:numPr>
          <w:ilvl w:val="0"/>
          <w:numId w:val="1018"/>
        </w:numPr>
        <w:pStyle w:val="Compact"/>
      </w:pPr>
      <w:r>
        <w:t xml:space="preserve">Atualize seu currículo com experiência real em atendimento, registros, ferramentas digitais, pesquisa, idiomas ou serviço público.</w:t>
      </w:r>
    </w:p>
    <w:p>
      <w:pPr>
        <w:numPr>
          <w:ilvl w:val="0"/>
          <w:numId w:val="1018"/>
        </w:numPr>
        <w:pStyle w:val="Compact"/>
      </w:pPr>
      <w:r>
        <w:t xml:space="preserve">Busque experiência supervisionada em bibliotecas, alfabetização, arquivos, escolas, museus ou serviço comunitário quando for prático.</w:t>
      </w:r>
    </w:p>
    <w:bookmarkEnd w:id="47"/>
    <w:bookmarkStart w:id="48" w:name="dias-2230"/>
    <w:p>
      <w:pPr>
        <w:pStyle w:val="Heading3"/>
      </w:pPr>
      <w:r>
        <w:t xml:space="preserve">Dias 22–30</w:t>
      </w:r>
    </w:p>
    <w:p>
      <w:pPr>
        <w:numPr>
          <w:ilvl w:val="0"/>
          <w:numId w:val="1019"/>
        </w:numPr>
        <w:pStyle w:val="Compact"/>
      </w:pPr>
      <w:r>
        <w:t xml:space="preserve">Candidate-se a funções compatíveis com suas qualificações reais.</w:t>
      </w:r>
    </w:p>
    <w:p>
      <w:pPr>
        <w:numPr>
          <w:ilvl w:val="0"/>
          <w:numId w:val="1019"/>
        </w:numPr>
        <w:pStyle w:val="Compact"/>
      </w:pPr>
      <w:r>
        <w:t xml:space="preserve">Prepare exemplos que demonstrem precisão, atendimento, confidencialidade, trabalho em equipe, organização e escalonamento adequado.</w:t>
      </w:r>
    </w:p>
    <w:p>
      <w:pPr>
        <w:numPr>
          <w:ilvl w:val="0"/>
          <w:numId w:val="1019"/>
        </w:numPr>
        <w:pStyle w:val="Compact"/>
      </w:pPr>
      <w:r>
        <w:t xml:space="preserve">Pergunte aos empregadores sobre integração, treinamento em sistemas, progressão e apoio à mensalidade.</w:t>
      </w:r>
    </w:p>
    <w:bookmarkEnd w:id="48"/>
    <w:bookmarkEnd w:id="49"/>
    <w:bookmarkStart w:id="50" w:name="progressão-profissional"/>
    <w:p>
      <w:pPr>
        <w:pStyle w:val="Heading2"/>
      </w:pPr>
      <w:r>
        <w:t xml:space="preserve">Progressão profissional</w:t>
      </w:r>
    </w:p>
    <w:p>
      <w:pPr>
        <w:pStyle w:val="FirstParagraph"/>
      </w:pPr>
      <w:r>
        <w:t xml:space="preserve">Caminhos possíveis incluem:</w:t>
      </w:r>
    </w:p>
    <w:p>
      <w:pPr>
        <w:numPr>
          <w:ilvl w:val="0"/>
          <w:numId w:val="1020"/>
        </w:numPr>
        <w:pStyle w:val="Compact"/>
      </w:pPr>
      <w:r>
        <w:t xml:space="preserve">assistente de biblioteca para assistente sênior;</w:t>
      </w:r>
    </w:p>
    <w:p>
      <w:pPr>
        <w:numPr>
          <w:ilvl w:val="0"/>
          <w:numId w:val="1020"/>
        </w:numPr>
        <w:pStyle w:val="Compact"/>
      </w:pPr>
      <w:r>
        <w:t xml:space="preserve">assistente para técnico de biblioteca após educação ou experiência adicional;</w:t>
      </w:r>
    </w:p>
    <w:p>
      <w:pPr>
        <w:numPr>
          <w:ilvl w:val="0"/>
          <w:numId w:val="1020"/>
        </w:numPr>
        <w:pStyle w:val="Compact"/>
      </w:pPr>
      <w:r>
        <w:t xml:space="preserve">apoio em circulação, aquisições, periódicos, catalogação, serviços digitais, extensão, acessibilidade, arquivos ou registros;</w:t>
      </w:r>
    </w:p>
    <w:p>
      <w:pPr>
        <w:numPr>
          <w:ilvl w:val="0"/>
          <w:numId w:val="1020"/>
        </w:numPr>
        <w:pStyle w:val="Compact"/>
      </w:pPr>
      <w:r>
        <w:t xml:space="preserve">funções de supervisão de apoio; e</w:t>
      </w:r>
    </w:p>
    <w:p>
      <w:pPr>
        <w:numPr>
          <w:ilvl w:val="0"/>
          <w:numId w:val="1020"/>
        </w:numPr>
        <w:pStyle w:val="Compact"/>
      </w:pPr>
      <w:r>
        <w:t xml:space="preserve">educação adicional para biblioteconomia, arquivologia, gestão documental, ciência da informação ou profissões relacionadas quando necessário.</w:t>
      </w:r>
    </w:p>
    <w:p>
      <w:pPr>
        <w:pStyle w:val="FirstParagraph"/>
      </w:pPr>
      <w:r>
        <w:t xml:space="preserve">A progressão depende da estrutura do empregador, educação, experiência, idioma, tecnologia, requisitos profissionais locais e vagas disponíveis.</w:t>
      </w:r>
    </w:p>
    <w:bookmarkEnd w:id="50"/>
    <w:bookmarkStart w:id="51" w:name="Xac75677bd9651d241d8bee10d242215907a8912"/>
    <w:p>
      <w:pPr>
        <w:pStyle w:val="Heading2"/>
      </w:pPr>
      <w:r>
        <w:t xml:space="preserve">Alertas sobre golpes e alegações exageradas</w:t>
      </w:r>
    </w:p>
    <w:p>
      <w:pPr>
        <w:pStyle w:val="FirstParagraph"/>
      </w:pPr>
      <w:r>
        <w:t xml:space="preserve">Tenha cautela quando um provedor prometer:</w:t>
      </w:r>
    </w:p>
    <w:p>
      <w:pPr>
        <w:numPr>
          <w:ilvl w:val="0"/>
          <w:numId w:val="1021"/>
        </w:numPr>
        <w:pStyle w:val="Compact"/>
      </w:pPr>
      <w:r>
        <w:t xml:space="preserve">emprego garantido em biblioteca;</w:t>
      </w:r>
    </w:p>
    <w:p>
      <w:pPr>
        <w:numPr>
          <w:ilvl w:val="0"/>
          <w:numId w:val="1021"/>
        </w:numPr>
        <w:pStyle w:val="Compact"/>
      </w:pPr>
      <w:r>
        <w:t xml:space="preserve">salários garantidos;</w:t>
      </w:r>
    </w:p>
    <w:p>
      <w:pPr>
        <w:numPr>
          <w:ilvl w:val="0"/>
          <w:numId w:val="1021"/>
        </w:numPr>
        <w:pStyle w:val="Compact"/>
      </w:pPr>
      <w:r>
        <w:t xml:space="preserve">licença universal que não existe;</w:t>
      </w:r>
    </w:p>
    <w:p>
      <w:pPr>
        <w:numPr>
          <w:ilvl w:val="0"/>
          <w:numId w:val="1021"/>
        </w:numPr>
        <w:pStyle w:val="Compact"/>
      </w:pPr>
      <w:r>
        <w:t xml:space="preserve">status automático de bibliotecário profissional por meio de curso breve;</w:t>
      </w:r>
    </w:p>
    <w:p>
      <w:pPr>
        <w:numPr>
          <w:ilvl w:val="0"/>
          <w:numId w:val="1021"/>
        </w:numPr>
        <w:pStyle w:val="Compact"/>
      </w:pPr>
      <w:r>
        <w:t xml:space="preserve">financiamento governamental garantido;</w:t>
      </w:r>
    </w:p>
    <w:p>
      <w:pPr>
        <w:numPr>
          <w:ilvl w:val="0"/>
          <w:numId w:val="1021"/>
        </w:numPr>
        <w:pStyle w:val="Compact"/>
      </w:pPr>
      <w:r>
        <w:t xml:space="preserve">colocação garantida sem verificação do empregador; ou</w:t>
      </w:r>
    </w:p>
    <w:p>
      <w:pPr>
        <w:numPr>
          <w:ilvl w:val="0"/>
          <w:numId w:val="1021"/>
        </w:numPr>
        <w:pStyle w:val="Compact"/>
      </w:pPr>
      <w:r>
        <w:t xml:space="preserve">credencial que os empregadores-alvo não exigem.</w:t>
      </w:r>
    </w:p>
    <w:p>
      <w:pPr>
        <w:pStyle w:val="FirstParagraph"/>
      </w:pPr>
      <w:r>
        <w:t xml:space="preserve">Pare antes de gastar dinheiro. Verifique o provedor, a credencial, a política de reembolso, o reconhecimento, o custo total e a demanda de empregadores locais.</w:t>
      </w:r>
    </w:p>
    <w:bookmarkEnd w:id="51"/>
    <w:bookmarkStart w:id="63" w:name="Xece96e1f51dab4cccf6e50dc9cbefb2bcdaa197"/>
    <w:p>
      <w:pPr>
        <w:pStyle w:val="Heading2"/>
      </w:pPr>
      <w:r>
        <w:t xml:space="preserve">Fontes oficiais usadas nesta revisão controlada</w:t>
      </w:r>
    </w:p>
    <w:p>
      <w:pPr>
        <w:numPr>
          <w:ilvl w:val="0"/>
          <w:numId w:val="1022"/>
        </w:numPr>
        <w:pStyle w:val="Compact"/>
      </w:pPr>
      <w:r>
        <w:t xml:space="preserve">U.S. Bureau of Labor Statistics — Library Technicians and Assistants</w:t>
      </w:r>
      <w:r>
        <w:br/>
      </w:r>
      <w:hyperlink r:id="rId52">
        <w:hyperlink r:id="rId52">
          <w:r>
            <w:rPr>
              <w:rStyle w:val="Hyperlink"/>
            </w:rPr>
            <w:t xml:space="preserve">Source link</w:t>
          </w:r>
        </w:hyperlink>
      </w:hyperlink>
    </w:p>
    <w:p>
      <w:pPr>
        <w:numPr>
          <w:ilvl w:val="0"/>
          <w:numId w:val="1022"/>
        </w:numPr>
        <w:pStyle w:val="Compact"/>
      </w:pPr>
      <w:r>
        <w:t xml:space="preserve">U.S. Bureau of Labor Statistics — Occupational Projections and Characteristics</w:t>
      </w:r>
      <w:r>
        <w:br/>
      </w:r>
      <w:hyperlink r:id="rId53">
        <w:hyperlink r:id="rId53">
          <w:r>
            <w:rPr>
              <w:rStyle w:val="Hyperlink"/>
            </w:rPr>
            <w:t xml:space="preserve">Source link</w:t>
          </w:r>
        </w:hyperlink>
      </w:hyperlink>
    </w:p>
    <w:p>
      <w:pPr>
        <w:numPr>
          <w:ilvl w:val="0"/>
          <w:numId w:val="1022"/>
        </w:numPr>
        <w:pStyle w:val="Compact"/>
      </w:pPr>
      <w:r>
        <w:t xml:space="preserve">U.S. Copyright Office — Section 108</w:t>
      </w:r>
      <w:r>
        <w:br/>
      </w:r>
      <w:hyperlink r:id="rId54">
        <w:r>
          <w:rPr>
            <w:rStyle w:val="Hyperlink"/>
          </w:rPr>
          <w:t xml:space="preserve">https://www.copyright.gov/docs/section108/</w:t>
        </w:r>
      </w:hyperlink>
    </w:p>
    <w:p>
      <w:pPr>
        <w:numPr>
          <w:ilvl w:val="0"/>
          <w:numId w:val="1022"/>
        </w:numPr>
        <w:pStyle w:val="Compact"/>
      </w:pPr>
      <w:r>
        <w:t xml:space="preserve">Government of Canada Job Bank — Library and public archive technicians, NOC 52100</w:t>
      </w:r>
      <w:r>
        <w:br/>
      </w:r>
      <w:hyperlink r:id="rId55">
        <w:hyperlink r:id="rId55">
          <w:r>
            <w:rPr>
              <w:rStyle w:val="Hyperlink"/>
            </w:rPr>
            <w:t xml:space="preserve">Source link</w:t>
          </w:r>
        </w:hyperlink>
      </w:hyperlink>
    </w:p>
    <w:p>
      <w:pPr>
        <w:numPr>
          <w:ilvl w:val="0"/>
          <w:numId w:val="1022"/>
        </w:numPr>
        <w:pStyle w:val="Compact"/>
      </w:pPr>
      <w:r>
        <w:t xml:space="preserve">Government of Canada Job Bank — Requirements, NOC 52100</w:t>
      </w:r>
      <w:r>
        <w:br/>
      </w:r>
      <w:hyperlink r:id="rId56">
        <w:hyperlink r:id="rId56">
          <w:r>
            <w:rPr>
              <w:rStyle w:val="Hyperlink"/>
            </w:rPr>
            <w:t xml:space="preserve">Source link</w:t>
          </w:r>
        </w:hyperlink>
      </w:hyperlink>
    </w:p>
    <w:p>
      <w:pPr>
        <w:numPr>
          <w:ilvl w:val="0"/>
          <w:numId w:val="1022"/>
        </w:numPr>
        <w:pStyle w:val="Compact"/>
      </w:pPr>
      <w:r>
        <w:t xml:space="preserve">Government of Canada Job Bank — Library assistants and clerks, NOC 14300</w:t>
      </w:r>
      <w:r>
        <w:br/>
      </w:r>
      <w:hyperlink r:id="rId57">
        <w:hyperlink r:id="rId57">
          <w:r>
            <w:rPr>
              <w:rStyle w:val="Hyperlink"/>
            </w:rPr>
            <w:t xml:space="preserve">Source link</w:t>
          </w:r>
        </w:hyperlink>
      </w:hyperlink>
    </w:p>
    <w:p>
      <w:pPr>
        <w:numPr>
          <w:ilvl w:val="0"/>
          <w:numId w:val="1022"/>
        </w:numPr>
        <w:pStyle w:val="Compact"/>
      </w:pPr>
      <w:r>
        <w:t xml:space="preserve">Government of Canada Job Bank — Wages, NOC 14300</w:t>
      </w:r>
      <w:r>
        <w:br/>
      </w:r>
      <w:hyperlink r:id="rId58">
        <w:hyperlink r:id="rId58">
          <w:r>
            <w:rPr>
              <w:rStyle w:val="Hyperlink"/>
            </w:rPr>
            <w:t xml:space="preserve">Source link</w:t>
          </w:r>
        </w:hyperlink>
      </w:hyperlink>
    </w:p>
    <w:p>
      <w:pPr>
        <w:numPr>
          <w:ilvl w:val="0"/>
          <w:numId w:val="1022"/>
        </w:numPr>
        <w:pStyle w:val="Compact"/>
      </w:pPr>
      <w:r>
        <w:t xml:space="preserve">SENA Observatorio Laboral y Ocupacional Colombiano — CNO 1351</w:t>
      </w:r>
      <w:r>
        <w:br/>
      </w:r>
      <w:hyperlink r:id="rId59">
        <w:hyperlink r:id="rId59">
          <w:r>
            <w:rPr>
              <w:rStyle w:val="Hyperlink"/>
            </w:rPr>
            <w:t xml:space="preserve">Source link</w:t>
          </w:r>
        </w:hyperlink>
      </w:hyperlink>
    </w:p>
    <w:p>
      <w:pPr>
        <w:numPr>
          <w:ilvl w:val="0"/>
          <w:numId w:val="1022"/>
        </w:numPr>
        <w:pStyle w:val="Compact"/>
      </w:pPr>
      <w:r>
        <w:t xml:space="preserve">SENA Observatorio — CNO 1351 functions</w:t>
      </w:r>
      <w:r>
        <w:br/>
      </w:r>
      <w:hyperlink r:id="rId60">
        <w:hyperlink r:id="rId60">
          <w:r>
            <w:rPr>
              <w:rStyle w:val="Hyperlink"/>
            </w:rPr>
            <w:t xml:space="preserve">Source link</w:t>
          </w:r>
        </w:hyperlink>
      </w:hyperlink>
    </w:p>
    <w:p>
      <w:pPr>
        <w:numPr>
          <w:ilvl w:val="0"/>
          <w:numId w:val="1022"/>
        </w:numPr>
        <w:pStyle w:val="Compact"/>
      </w:pPr>
      <w:r>
        <w:t xml:space="preserve">Ministerio de Educación Nacional — PNLEO</w:t>
      </w:r>
      <w:r>
        <w:br/>
      </w:r>
      <w:hyperlink r:id="rId61">
        <w:hyperlink r:id="rId61">
          <w:r>
            <w:rPr>
              <w:rStyle w:val="Hyperlink"/>
            </w:rPr>
            <w:t xml:space="preserve">Source link</w:t>
          </w:r>
        </w:hyperlink>
      </w:hyperlink>
    </w:p>
    <w:p>
      <w:pPr>
        <w:numPr>
          <w:ilvl w:val="0"/>
          <w:numId w:val="1022"/>
        </w:numPr>
        <w:pStyle w:val="Compact"/>
      </w:pPr>
      <w:r>
        <w:t xml:space="preserve">Biblioteca Nacional de Colombia — La biblioteca pública que queremos</w:t>
      </w:r>
      <w:r>
        <w:br/>
      </w:r>
      <w:hyperlink r:id="rId62">
        <w:hyperlink r:id="rId62">
          <w:r>
            <w:rPr>
              <w:rStyle w:val="Hyperlink"/>
            </w:rPr>
            <w:t xml:space="preserve">Source link</w:t>
          </w:r>
        </w:hyperlink>
      </w:hyperlink>
    </w:p>
    <w:bookmarkEnd w:id="63"/>
    <w:bookmarkStart w:id="64" w:name="limitações-e-limites-de-garantia"/>
    <w:p>
      <w:pPr>
        <w:pStyle w:val="Heading2"/>
      </w:pPr>
      <w:r>
        <w:t xml:space="preserve">Limitações e limites de garantia</w:t>
      </w:r>
    </w:p>
    <w:p>
      <w:pPr>
        <w:pStyle w:val="FirstParagraph"/>
      </w:pPr>
      <w:r>
        <w:t xml:space="preserve">Este guia fornece informações sobre carreira e formação, não aconselhamento jurídico, de direitos autorais, privacidade, acessibilidade, cibersegurança, emprego ou finanças.</w:t>
      </w:r>
    </w:p>
    <w:p>
      <w:pPr>
        <w:pStyle w:val="BodyText"/>
      </w:pPr>
      <w:r>
        <w:t xml:space="preserve">Requisitos, salários, funções, financiamento, tecnologias e programas públicos mudam. Verifique as informações locais atuais antes de se candidatar, matricular-se, pagar, copiar material protegido, lidar com registros sensíveis ou tomar decisões que exijam autoridade profissional.</w:t>
      </w:r>
    </w:p>
    <w:p>
      <w:pPr>
        <w:pStyle w:val="BodyText"/>
      </w:pPr>
      <w:r>
        <w:t xml:space="preserve">Esta revisão controlada não afirma possuir certificação humana independente, certificação profissional de tradução, acreditação, certificação de acessibilidade, revisão jurídica nem emprego ou renda garantidos.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_rels/footnotes.xml.rels><?xml version="1.0" encoding="UTF-8"?><Relationships xmlns="http://schemas.openxmlformats.org/package/2006/relationships"><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2026-08-20T18:04:18Z</dcterms:created>
  <dcterms:modified xsi:type="dcterms:W3CDTF">2026-08-20T18:04:18Z</dcterms:modified>
</cp:coreProperties>
</file>

<file path=docProps/custom.xml><?xml version="1.0" encoding="utf-8"?>
<Properties xmlns="http://schemas.openxmlformats.org/officeDocument/2006/custom-properties" xmlns:vt="http://schemas.openxmlformats.org/officeDocument/2006/docPropsVTypes"/>
</file>