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c12804ced9f66a429348bedb5cd0aa57d4b1619"/>
    <w:p>
      <w:pPr>
        <w:pStyle w:val="Heading1"/>
      </w:pPr>
      <w:r>
        <w:t xml:space="preserve">Guía 63 — Asistente de biblioteca y técnico de biblioteca</w:t>
      </w:r>
    </w:p>
    <w:p>
      <w:pPr>
        <w:pStyle w:val="FirstParagraph"/>
      </w:pPr>
      <w:r>
        <w:rPr>
          <w:bCs/>
          <w:b/>
        </w:rPr>
        <w:t xml:space="preserve">Versión maestra controlada en español latinoamericano — Versión 2.0</w:t>
      </w:r>
      <w:r>
        <w:br/>
      </w:r>
      <w:r>
        <w:rPr>
          <w:bCs/>
          <w:b/>
        </w:rPr>
        <w:t xml:space="preserve">Fecha de revisión:</w:t>
      </w:r>
      <w:r>
        <w:t xml:space="preserve"> </w:t>
      </w:r>
      <w:r>
        <w:t xml:space="preserve">20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asistentes de biblioteca y los técnicos de biblioteca ayudan a las personas a encontrar, pedir prestados, devolver, organizar, acceder y utilizar materiales y servicios bibliotecarios. Pueden trabajar en bibliotecas públicas, escolares, universitarias, corporativas, gubernamentales, archivos u otros servicios de información.</w:t>
      </w:r>
    </w:p>
    <w:p>
      <w:pPr>
        <w:pStyle w:val="BodyText"/>
      </w:pPr>
      <w:r>
        <w:t xml:space="preserve">El título importa. En Estados Unidos y Canadá, el trabajo de asistente/auxiliar administrativo y el trabajo técnico no se consideran la misma ocupación. Los puestos técnicos suelen requerir una formación más formal en bibliotecas o tecnología de la información y pueden incluir tareas más complejas de catalogación, referencia, adquisiciones o apoyo de archivos. Los puestos de asistente suelen concentrarse más en circulación, estantería, apoyo administrativo, atención básica a usuarios y registros rutinarios.</w:t>
      </w:r>
    </w:p>
    <w:p>
      <w:pPr>
        <w:pStyle w:val="BodyText"/>
      </w:pPr>
      <w:r>
        <w:t xml:space="preserve">Ninguno de los dos puestos debe describirse automáticamente como equivalente al de un bibliotecario profesional. Las funciones, credenciales, tipos de colecciones, sistemas, requisitos de privacidad, responsabilidades de accesibilidad, normas de derecho de autor y decisiones permitidas varían según el empleador y la jurisdicción.</w:t>
      </w:r>
    </w:p>
    <w:p>
      <w:pPr>
        <w:pStyle w:val="BodyText"/>
      </w:pPr>
      <w:r>
        <w:t xml:space="preserve">Antes de pagar por formación o aceptar un puesto, compare la vacante real, las políticas del empleador, el modelo de supervisión, la plataforma tecnológica, el tipo de colección y los requisitos locales.</w:t>
      </w:r>
    </w:p>
    <w:bookmarkEnd w:id="20"/>
    <w:bookmarkStart w:id="21" w:name="qué-puede-hacer"/>
    <w:p>
      <w:pPr>
        <w:pStyle w:val="Heading2"/>
      </w:pPr>
      <w:r>
        <w:t xml:space="preserve">Qué puede hacer</w:t>
      </w:r>
    </w:p>
    <w:p>
      <w:pPr>
        <w:pStyle w:val="FirstParagraph"/>
      </w:pPr>
      <w:r>
        <w:t xml:space="preserve">Según el empleador, la formación, la supervisión y las normas locales, las tareas pueden incluir:</w:t>
      </w:r>
    </w:p>
    <w:p>
      <w:pPr>
        <w:numPr>
          <w:ilvl w:val="0"/>
          <w:numId w:val="1001"/>
        </w:numPr>
        <w:pStyle w:val="Compact"/>
      </w:pPr>
      <w:r>
        <w:t xml:space="preserve">entregar y recibir libros, medios, dispositivos u otros materiales de biblioteca;</w:t>
      </w:r>
    </w:p>
    <w:p>
      <w:pPr>
        <w:numPr>
          <w:ilvl w:val="0"/>
          <w:numId w:val="1001"/>
        </w:numPr>
        <w:pStyle w:val="Compact"/>
      </w:pPr>
      <w:r>
        <w:t xml:space="preserve">colocar, ordenar, archivar, etiquetar y organizar colecciones;</w:t>
      </w:r>
    </w:p>
    <w:p>
      <w:pPr>
        <w:numPr>
          <w:ilvl w:val="0"/>
          <w:numId w:val="1001"/>
        </w:numPr>
        <w:pStyle w:val="Compact"/>
      </w:pPr>
      <w:r>
        <w:t xml:space="preserve">ayudar a los usuarios a localizar libros, publicaciones periódicas, materiales audiovisuales, mapas, documentos y recursos digitales aprobados;</w:t>
      </w:r>
    </w:p>
    <w:p>
      <w:pPr>
        <w:numPr>
          <w:ilvl w:val="0"/>
          <w:numId w:val="1001"/>
        </w:numPr>
        <w:pStyle w:val="Compact"/>
      </w:pPr>
      <w:r>
        <w:t xml:space="preserve">ofrecer información rutinaria sobre servicios, horarios, cuentas, préstamos, reservas, multas, programas y equipos;</w:t>
      </w:r>
    </w:p>
    <w:p>
      <w:pPr>
        <w:numPr>
          <w:ilvl w:val="0"/>
          <w:numId w:val="1001"/>
        </w:numPr>
        <w:pStyle w:val="Compact"/>
      </w:pPr>
      <w:r>
        <w:t xml:space="preserve">realizar búsquedas manuales o informáticas básicas siguiendo procedimientos aprobados;</w:t>
      </w:r>
    </w:p>
    <w:p>
      <w:pPr>
        <w:numPr>
          <w:ilvl w:val="0"/>
          <w:numId w:val="1001"/>
        </w:numPr>
        <w:pStyle w:val="Compact"/>
      </w:pPr>
      <w:r>
        <w:t xml:space="preserve">apoyar catalogación, clasificación, ingreso de metadatos, adquisiciones, publicaciones seriadas, préstamo interbibliotecario o procesamiento de archivos cuando esté capacitado y asignado;</w:t>
      </w:r>
    </w:p>
    <w:p>
      <w:pPr>
        <w:numPr>
          <w:ilvl w:val="0"/>
          <w:numId w:val="1001"/>
        </w:numPr>
        <w:pStyle w:val="Compact"/>
      </w:pPr>
      <w:r>
        <w:t xml:space="preserve">mantener registros autorizados de circulación, adquisiciones, inventario, préstamo, devolución y otros;</w:t>
      </w:r>
    </w:p>
    <w:p>
      <w:pPr>
        <w:numPr>
          <w:ilvl w:val="0"/>
          <w:numId w:val="1001"/>
        </w:numPr>
        <w:pStyle w:val="Compact"/>
      </w:pPr>
      <w:r>
        <w:t xml:space="preserve">apoyar programas, exhibiciones, comunicaciones, eventos, actividades de lectura, extensión y servicios comunitarios;</w:t>
      </w:r>
    </w:p>
    <w:p>
      <w:pPr>
        <w:numPr>
          <w:ilvl w:val="0"/>
          <w:numId w:val="1001"/>
        </w:numPr>
        <w:pStyle w:val="Compact"/>
      </w:pPr>
      <w:r>
        <w:t xml:space="preserve">ayudar a usuarios a utilizar computadoras, impresoras, escáneres, catálogos, bases de datos, herramientas de accesibilidad y sistemas de biblioteca digital aprobados;</w:t>
      </w:r>
    </w:p>
    <w:p>
      <w:pPr>
        <w:numPr>
          <w:ilvl w:val="0"/>
          <w:numId w:val="1001"/>
        </w:numPr>
        <w:pStyle w:val="Compact"/>
      </w:pPr>
      <w:r>
        <w:t xml:space="preserve">preparar materiales para reparación, almacenamiento, retiro, traslado o preservación conforme a procedimientos institucionales;</w:t>
      </w:r>
    </w:p>
    <w:p>
      <w:pPr>
        <w:numPr>
          <w:ilvl w:val="0"/>
          <w:numId w:val="1001"/>
        </w:numPr>
        <w:pStyle w:val="Compact"/>
      </w:pPr>
      <w:r>
        <w:t xml:space="preserve">informar daños, fallas de equipo, problemas de privacidad, incidentes de ciberseguridad, riesgos de seguridad o conflictos con usuarios mediante el proceso de escalamiento aprobado; y</w:t>
      </w:r>
    </w:p>
    <w:p>
      <w:pPr>
        <w:numPr>
          <w:ilvl w:val="0"/>
          <w:numId w:val="1001"/>
        </w:numPr>
        <w:pStyle w:val="Compact"/>
      </w:pPr>
      <w:r>
        <w:t xml:space="preserve">documentar el trabajo de manera precisa y objetiva.</w:t>
      </w:r>
    </w:p>
    <w:p>
      <w:pPr>
        <w:pStyle w:val="FirstParagraph"/>
      </w:pPr>
      <w:r>
        <w:t xml:space="preserve">Un buen apoyo hace que los servicios de biblioteca sean más accesibles y confiables, manteniendo las decisiones profesionales, legales, de privacidad, derecho de autor e institucionales en manos de quienes tienen autoridad para tomarlas.</w:t>
      </w:r>
    </w:p>
    <w:bookmarkEnd w:id="21"/>
    <w:bookmarkStart w:id="22" w:name="X68207035cb7b0658956bbe8bdeef66ba1f0b463"/>
    <w:p>
      <w:pPr>
        <w:pStyle w:val="Heading2"/>
      </w:pPr>
      <w:r>
        <w:t xml:space="preserve">Lo que este puesto no debe presentarse como</w:t>
      </w:r>
    </w:p>
    <w:p>
      <w:pPr>
        <w:pStyle w:val="FirstParagraph"/>
      </w:pPr>
      <w:r>
        <w:t xml:space="preserve">No describa a un asistente o técnico de biblioteca como si tuviera una autoridad que el puesto no posee.</w:t>
      </w:r>
    </w:p>
    <w:p>
      <w:pPr>
        <w:pStyle w:val="BodyText"/>
      </w:pPr>
      <w:r>
        <w:t xml:space="preserve">No debe, de manera independiente:</w:t>
      </w:r>
    </w:p>
    <w:p>
      <w:pPr>
        <w:numPr>
          <w:ilvl w:val="0"/>
          <w:numId w:val="1002"/>
        </w:numPr>
        <w:pStyle w:val="Compact"/>
      </w:pPr>
      <w:r>
        <w:t xml:space="preserve">atribuirse la condición o autoridad profesional de bibliotecario, archivero, responsable de registros, asesor legal, especialista en derecho de autor o responsable de privacidad salvo que cuente con la cualificación correspondiente y una asignación formal;</w:t>
      </w:r>
    </w:p>
    <w:p>
      <w:pPr>
        <w:numPr>
          <w:ilvl w:val="0"/>
          <w:numId w:val="1002"/>
        </w:numPr>
        <w:pStyle w:val="Compact"/>
      </w:pPr>
      <w:r>
        <w:t xml:space="preserve">prometer que una persona tiene derecho legal a copiar, digitalizar, distribuir, reproducir o publicar material protegido;</w:t>
      </w:r>
    </w:p>
    <w:p>
      <w:pPr>
        <w:numPr>
          <w:ilvl w:val="0"/>
          <w:numId w:val="1002"/>
        </w:numPr>
        <w:pStyle w:val="Compact"/>
      </w:pPr>
      <w:r>
        <w:t xml:space="preserve">ignorar o anular políticas institucionales de derecho de autor, licencias, registros, privacidad, ciberseguridad o gestión de colecciones;</w:t>
      </w:r>
    </w:p>
    <w:p>
      <w:pPr>
        <w:numPr>
          <w:ilvl w:val="0"/>
          <w:numId w:val="1002"/>
        </w:numPr>
        <w:pStyle w:val="Compact"/>
      </w:pPr>
      <w:r>
        <w:t xml:space="preserve">divulgar historial de préstamos, datos de cuenta, información de identidad, credenciales, registros internos o detalles de contenido licenciado sin autorización;</w:t>
      </w:r>
    </w:p>
    <w:p>
      <w:pPr>
        <w:numPr>
          <w:ilvl w:val="0"/>
          <w:numId w:val="1002"/>
        </w:numPr>
        <w:pStyle w:val="Compact"/>
      </w:pPr>
      <w:r>
        <w:t xml:space="preserve">cambiar permisos de acceso, desactivar controles de seguridad, evadir autenticación o investigar incidentes de ciberseguridad fuera del alcance asignado;</w:t>
      </w:r>
    </w:p>
    <w:p>
      <w:pPr>
        <w:numPr>
          <w:ilvl w:val="0"/>
          <w:numId w:val="1002"/>
        </w:numPr>
        <w:pStyle w:val="Compact"/>
      </w:pPr>
      <w:r>
        <w:t xml:space="preserve">certificar que una biblioteca, sitio web, colección, servicio o instalación cumple legalmente requisitos de accesibilidad salvo que dicha autoridad forme parte formal del puesto;</w:t>
      </w:r>
    </w:p>
    <w:p>
      <w:pPr>
        <w:numPr>
          <w:ilvl w:val="0"/>
          <w:numId w:val="1002"/>
        </w:numPr>
        <w:pStyle w:val="Compact"/>
      </w:pPr>
      <w:r>
        <w:t xml:space="preserve">tomar decisiones vinculantes sobre adquisiciones, descarte, preservación, archivo, retención de registros o clasificación cuando esas decisiones correspondan a profesionales designados; o</w:t>
      </w:r>
    </w:p>
    <w:p>
      <w:pPr>
        <w:numPr>
          <w:ilvl w:val="0"/>
          <w:numId w:val="1002"/>
        </w:numPr>
        <w:pStyle w:val="Compact"/>
      </w:pPr>
      <w:r>
        <w:t xml:space="preserve">presentar capacitación interna, un curso breve o experiencia informal como una licencia universal o una credencial profesional.</w:t>
      </w:r>
    </w:p>
    <w:p>
      <w:pPr>
        <w:pStyle w:val="FirstParagraph"/>
      </w:pPr>
      <w:r>
        <w:t xml:space="preserve">Cuando el límite no esté claro, deténgase y consulte al supervisor responsable, bibliotecario, gerente, responsable de privacidad, equipo de TI/seguridad, contacto de derecho de autor u otro profesional autorizado.</w:t>
      </w:r>
    </w:p>
    <w:bookmarkEnd w:id="22"/>
    <w:bookmarkStart w:id="23" w:name="entorno-de-trabajo-y-exigencias-físicas"/>
    <w:p>
      <w:pPr>
        <w:pStyle w:val="Heading2"/>
      </w:pPr>
      <w:r>
        <w:t xml:space="preserve">Entorno de trabajo y exigencias físicas</w:t>
      </w:r>
    </w:p>
    <w:p>
      <w:pPr>
        <w:pStyle w:val="FirstParagraph"/>
      </w:pPr>
      <w:r>
        <w:t xml:space="preserve">El trabajo bibliotecario puede parecer tranquilo desde afuera, pero muchos puestos implican movimiento constante y atención al público.</w:t>
      </w:r>
    </w:p>
    <w:p>
      <w:pPr>
        <w:pStyle w:val="BodyText"/>
      </w:pPr>
      <w:r>
        <w:t xml:space="preserve">Las exigencias habituales pueden incluir:</w:t>
      </w:r>
    </w:p>
    <w:p>
      <w:pPr>
        <w:numPr>
          <w:ilvl w:val="0"/>
          <w:numId w:val="1003"/>
        </w:numPr>
        <w:pStyle w:val="Compact"/>
      </w:pPr>
      <w:r>
        <w:t xml:space="preserve">permanecer de pie y caminar durante períodos prolongados;</w:t>
      </w:r>
    </w:p>
    <w:p>
      <w:pPr>
        <w:numPr>
          <w:ilvl w:val="0"/>
          <w:numId w:val="1003"/>
        </w:numPr>
        <w:pStyle w:val="Compact"/>
      </w:pPr>
      <w:r>
        <w:t xml:space="preserve">colocar libros a distintas alturas;</w:t>
      </w:r>
    </w:p>
    <w:p>
      <w:pPr>
        <w:numPr>
          <w:ilvl w:val="0"/>
          <w:numId w:val="1003"/>
        </w:numPr>
        <w:pStyle w:val="Compact"/>
      </w:pPr>
      <w:r>
        <w:t xml:space="preserve">mover carros, cajas, medios, suministros o equipos;</w:t>
      </w:r>
    </w:p>
    <w:p>
      <w:pPr>
        <w:numPr>
          <w:ilvl w:val="0"/>
          <w:numId w:val="1003"/>
        </w:numPr>
        <w:pStyle w:val="Compact"/>
      </w:pPr>
      <w:r>
        <w:t xml:space="preserve">utilizar banquetas o escaleras cuando los procedimientos del empleador lo permitan;</w:t>
      </w:r>
    </w:p>
    <w:p>
      <w:pPr>
        <w:numPr>
          <w:ilvl w:val="0"/>
          <w:numId w:val="1003"/>
        </w:numPr>
        <w:pStyle w:val="Compact"/>
      </w:pPr>
      <w:r>
        <w:t xml:space="preserve">tareas repetitivas de escaneo, digitación, etiquetado, levantamiento y clasificación;</w:t>
      </w:r>
    </w:p>
    <w:p>
      <w:pPr>
        <w:numPr>
          <w:ilvl w:val="0"/>
          <w:numId w:val="1003"/>
        </w:numPr>
        <w:pStyle w:val="Compact"/>
      </w:pPr>
      <w:r>
        <w:t xml:space="preserve">atender a muchos usuarios con distintos niveles de alfabetización digital, idioma, discapacidad o urgencia;</w:t>
      </w:r>
    </w:p>
    <w:p>
      <w:pPr>
        <w:numPr>
          <w:ilvl w:val="0"/>
          <w:numId w:val="1003"/>
        </w:numPr>
        <w:pStyle w:val="Compact"/>
      </w:pPr>
      <w:r>
        <w:t xml:space="preserve">trabajar en horarios nocturnos, fines de semana, calendarios escolares o turnos de servicio al público; y</w:t>
      </w:r>
    </w:p>
    <w:p>
      <w:pPr>
        <w:numPr>
          <w:ilvl w:val="0"/>
          <w:numId w:val="1003"/>
        </w:numPr>
        <w:pStyle w:val="Compact"/>
      </w:pPr>
      <w:r>
        <w:t xml:space="preserve">responder con calma a conflictos, usuarios angustiados, daños a propiedad, conducta disruptiva o emergencias.</w:t>
      </w:r>
    </w:p>
    <w:p>
      <w:pPr>
        <w:pStyle w:val="FirstParagraph"/>
      </w:pPr>
      <w:r>
        <w:t xml:space="preserve">El trabajo físico debe mantenerse no procedimental en esta guía. Siga la capacitación y las reglas de seguridad del empleador para levantar objetos, usar escaleras, colocar materiales, mover equipos, trabajar en áreas de almacenamiento, responder a emergencias y manejar riesgos de las instalaciones.</w:t>
      </w:r>
    </w:p>
    <w:bookmarkEnd w:id="23"/>
    <w:bookmarkStart w:id="24" w:name="X833e0157a03eca5b738c3a464854ce3c0c15911"/>
    <w:p>
      <w:pPr>
        <w:pStyle w:val="Heading2"/>
      </w:pPr>
      <w:r>
        <w:t xml:space="preserve">Privacidad de usuarios, registros y confidencialidad</w:t>
      </w:r>
    </w:p>
    <w:p>
      <w:pPr>
        <w:pStyle w:val="FirstParagraph"/>
      </w:pPr>
      <w:r>
        <w:t xml:space="preserve">El personal de biblioteca puede manejar información sensible, incluidos nombres, direcciones, datos de contacto, registros de préstamos, estado de cuentas, solicitudes de búsqueda, registros de uso de computadoras, identificadores escolares o universitarios, información de dispositivos, pagos y notas internas de servicio.</w:t>
      </w:r>
    </w:p>
    <w:p>
      <w:pPr>
        <w:pStyle w:val="BodyText"/>
      </w:pPr>
      <w:r>
        <w:t xml:space="preserve">Las medidas prácticas incluyen:</w:t>
      </w:r>
    </w:p>
    <w:p>
      <w:pPr>
        <w:numPr>
          <w:ilvl w:val="0"/>
          <w:numId w:val="1004"/>
        </w:numPr>
        <w:pStyle w:val="Compact"/>
      </w:pPr>
      <w:r>
        <w:t xml:space="preserve">acceder solo a la información necesaria para las tareas asignadas;</w:t>
      </w:r>
    </w:p>
    <w:p>
      <w:pPr>
        <w:numPr>
          <w:ilvl w:val="0"/>
          <w:numId w:val="1004"/>
        </w:numPr>
        <w:pStyle w:val="Compact"/>
      </w:pPr>
      <w:r>
        <w:t xml:space="preserve">usar dispositivos, cuentas, correo, mensajería y bases de datos aprobados por la biblioteca;</w:t>
      </w:r>
    </w:p>
    <w:p>
      <w:pPr>
        <w:numPr>
          <w:ilvl w:val="0"/>
          <w:numId w:val="1004"/>
        </w:numPr>
        <w:pStyle w:val="Compact"/>
      </w:pPr>
      <w:r>
        <w:t xml:space="preserve">verificar identidad y autorización antes de modificar información de una cuenta o liberar registros;</w:t>
      </w:r>
    </w:p>
    <w:p>
      <w:pPr>
        <w:numPr>
          <w:ilvl w:val="0"/>
          <w:numId w:val="1004"/>
        </w:numPr>
        <w:pStyle w:val="Compact"/>
      </w:pPr>
      <w:r>
        <w:t xml:space="preserve">proteger pantallas, impresiones, contraseñas, conversaciones y registros de circulación;</w:t>
      </w:r>
    </w:p>
    <w:p>
      <w:pPr>
        <w:numPr>
          <w:ilvl w:val="0"/>
          <w:numId w:val="1004"/>
        </w:numPr>
        <w:pStyle w:val="Compact"/>
      </w:pPr>
      <w:r>
        <w:t xml:space="preserve">no guardar datos de usuarios en notas personales, dispositivos personales o servicios de nube no aprobados;</w:t>
      </w:r>
    </w:p>
    <w:p>
      <w:pPr>
        <w:numPr>
          <w:ilvl w:val="0"/>
          <w:numId w:val="1004"/>
        </w:numPr>
        <w:pStyle w:val="Compact"/>
      </w:pPr>
      <w:r>
        <w:t xml:space="preserve">seguir las reglas institucionales de retención, eliminación y reporte de incidentes;</w:t>
      </w:r>
    </w:p>
    <w:p>
      <w:pPr>
        <w:numPr>
          <w:ilvl w:val="0"/>
          <w:numId w:val="1004"/>
        </w:numPr>
        <w:pStyle w:val="Compact"/>
      </w:pPr>
      <w:r>
        <w:t xml:space="preserve">evitar hablar de la actividad de usuarios en áreas públicas o redes sociales; y</w:t>
      </w:r>
    </w:p>
    <w:p>
      <w:pPr>
        <w:numPr>
          <w:ilvl w:val="0"/>
          <w:numId w:val="1004"/>
        </w:numPr>
        <w:pStyle w:val="Compact"/>
      </w:pPr>
      <w:r>
        <w:t xml:space="preserve">informar de inmediato sospechas de compromiso de cuentas, phishing, malware o divulgación no autorizada.</w:t>
      </w:r>
    </w:p>
    <w:p>
      <w:pPr>
        <w:pStyle w:val="FirstParagraph"/>
      </w:pPr>
      <w:r>
        <w:t xml:space="preserve">Las leyes locales de privacidad y las reglas institucionales varían. Esta guía no ofrece asesoría legal individualizada.</w:t>
      </w:r>
    </w:p>
    <w:bookmarkEnd w:id="24"/>
    <w:bookmarkStart w:id="25" w:name="Xd41de0183b8e86dfd59b3cdd5710023e23f36e2"/>
    <w:p>
      <w:pPr>
        <w:pStyle w:val="Heading2"/>
      </w:pPr>
      <w:r>
        <w:t xml:space="preserve">Límites de derecho de autor y recursos licenciados</w:t>
      </w:r>
    </w:p>
    <w:p>
      <w:pPr>
        <w:pStyle w:val="FirstParagraph"/>
      </w:pPr>
      <w:r>
        <w:t xml:space="preserve">Las bibliotecas trabajan con libros, artículos, imágenes, grabaciones, bases de datos, software, colecciones digitales, archivos y recursos licenciados protegidos por derecho de autor.</w:t>
      </w:r>
    </w:p>
    <w:p>
      <w:pPr>
        <w:pStyle w:val="BodyText"/>
      </w:pPr>
      <w:r>
        <w:t xml:space="preserve">En Estados Unidos, la Sección 108 de la Ley de Derecho de Autor establece excepciones específicas para bibliotecas y archivos que cumplen determinadas condiciones. Esas excepciones son condicionales; no constituyen permiso general para copiar, escanear, digitalizar, distribuir, publicar o compartir obras protegidas.</w:t>
      </w:r>
    </w:p>
    <w:p>
      <w:pPr>
        <w:pStyle w:val="BodyText"/>
      </w:pPr>
      <w:r>
        <w:t xml:space="preserve">Los asistentes y técnicos de biblioteca deben:</w:t>
      </w:r>
    </w:p>
    <w:p>
      <w:pPr>
        <w:numPr>
          <w:ilvl w:val="0"/>
          <w:numId w:val="1005"/>
        </w:numPr>
        <w:pStyle w:val="Compact"/>
      </w:pPr>
      <w:r>
        <w:t xml:space="preserve">seguir los procedimientos institucionales de derecho de autor y licencias;</w:t>
      </w:r>
    </w:p>
    <w:p>
      <w:pPr>
        <w:numPr>
          <w:ilvl w:val="0"/>
          <w:numId w:val="1005"/>
        </w:numPr>
        <w:pStyle w:val="Compact"/>
      </w:pPr>
      <w:r>
        <w:t xml:space="preserve">distinguir entre material de dominio público, licenciado, de acceso abierto y protegido por derecho de autor;</w:t>
      </w:r>
    </w:p>
    <w:p>
      <w:pPr>
        <w:numPr>
          <w:ilvl w:val="0"/>
          <w:numId w:val="1005"/>
        </w:numPr>
        <w:pStyle w:val="Compact"/>
      </w:pPr>
      <w:r>
        <w:t xml:space="preserve">evitar asegurar a usuarios que un uso solicitado es legalmente permitido cuando exista duda;</w:t>
      </w:r>
    </w:p>
    <w:p>
      <w:pPr>
        <w:numPr>
          <w:ilvl w:val="0"/>
          <w:numId w:val="1005"/>
        </w:numPr>
        <w:pStyle w:val="Compact"/>
      </w:pPr>
      <w:r>
        <w:t xml:space="preserve">escalar preguntas complejas sobre copia, digitalización, reproducción, publicación o derechos; y</w:t>
      </w:r>
    </w:p>
    <w:p>
      <w:pPr>
        <w:numPr>
          <w:ilvl w:val="0"/>
          <w:numId w:val="1005"/>
        </w:numPr>
        <w:pStyle w:val="Compact"/>
      </w:pPr>
      <w:r>
        <w:t xml:space="preserve">respetar restricciones de bases de datos, libros electrónicos, streaming, software y licencias de proveedores.</w:t>
      </w:r>
    </w:p>
    <w:bookmarkEnd w:id="25"/>
    <w:bookmarkStart w:id="26" w:name="accesibilidad-y-servicio-inclusivo"/>
    <w:p>
      <w:pPr>
        <w:pStyle w:val="Heading2"/>
      </w:pPr>
      <w:r>
        <w:t xml:space="preserve">Accesibilidad y servicio inclusivo</w:t>
      </w:r>
    </w:p>
    <w:p>
      <w:pPr>
        <w:pStyle w:val="FirstParagraph"/>
      </w:pPr>
      <w:r>
        <w:t xml:space="preserve">Las bibliotecas atienden a personas con diferentes discapacidades, niveles de alfabetización, idiomas, edades, contextos culturales y niveles de acceso digital.</w:t>
      </w:r>
    </w:p>
    <w:p>
      <w:pPr>
        <w:pStyle w:val="BodyText"/>
      </w:pPr>
      <w:r>
        <w:t xml:space="preserve">Según el puesto, el apoyo puede incluir:</w:t>
      </w:r>
    </w:p>
    <w:p>
      <w:pPr>
        <w:numPr>
          <w:ilvl w:val="0"/>
          <w:numId w:val="1006"/>
        </w:numPr>
        <w:pStyle w:val="Compact"/>
      </w:pPr>
      <w:r>
        <w:t xml:space="preserve">ayudar a localizar materiales en letra grande, audio, subtitulados, compatibles con lectores de pantalla u otros formatos accesibles;</w:t>
      </w:r>
    </w:p>
    <w:p>
      <w:pPr>
        <w:numPr>
          <w:ilvl w:val="0"/>
          <w:numId w:val="1006"/>
        </w:numPr>
        <w:pStyle w:val="Compact"/>
      </w:pPr>
      <w:r>
        <w:t xml:space="preserve">explicar los servicios de biblioteca en lenguaje claro;</w:t>
      </w:r>
    </w:p>
    <w:p>
      <w:pPr>
        <w:numPr>
          <w:ilvl w:val="0"/>
          <w:numId w:val="1006"/>
        </w:numPr>
        <w:pStyle w:val="Compact"/>
      </w:pPr>
      <w:r>
        <w:t xml:space="preserve">ayudar con funciones de accesibilidad aprobadas en computadoras o plataformas digitales;</w:t>
      </w:r>
    </w:p>
    <w:p>
      <w:pPr>
        <w:numPr>
          <w:ilvl w:val="0"/>
          <w:numId w:val="1006"/>
        </w:numPr>
        <w:pStyle w:val="Compact"/>
      </w:pPr>
      <w:r>
        <w:t xml:space="preserve">mejorar señalización, formularios, instrucciones o interacciones de servicio cuando esté autorizado; y</w:t>
      </w:r>
    </w:p>
    <w:p>
      <w:pPr>
        <w:numPr>
          <w:ilvl w:val="0"/>
          <w:numId w:val="1006"/>
        </w:numPr>
        <w:pStyle w:val="Compact"/>
      </w:pPr>
      <w:r>
        <w:t xml:space="preserve">escalar barreras de accesibilidad que requieran cambios técnicos, de política, adquisiciones o instalaciones.</w:t>
      </w:r>
    </w:p>
    <w:p>
      <w:pPr>
        <w:pStyle w:val="FirstParagraph"/>
      </w:pPr>
      <w:r>
        <w:t xml:space="preserve">No asuma que todas las personas con la misma discapacidad necesitan el mismo apoyo. Pregunte con respeto y siga los procedimientos institucionales. No afirme tener autoridad independiente para certificar cumplimiento legal de accesibilidad salvo que sea parte formal del puesto.</w:t>
      </w:r>
    </w:p>
    <w:bookmarkEnd w:id="26"/>
    <w:bookmarkStart w:id="27" w:name="X132efe66d259547023fdd78d2f6a0f4ef6d0e2d"/>
    <w:p>
      <w:pPr>
        <w:pStyle w:val="Heading2"/>
      </w:pPr>
      <w:r>
        <w:t xml:space="preserve">Habilidades que los empleadores pueden valorar</w:t>
      </w:r>
    </w:p>
    <w:p>
      <w:pPr>
        <w:pStyle w:val="FirstParagraph"/>
      </w:pPr>
      <w:r>
        <w:t xml:space="preserve">Los empleadores suelen valorar:</w:t>
      </w:r>
    </w:p>
    <w:p>
      <w:pPr>
        <w:numPr>
          <w:ilvl w:val="0"/>
          <w:numId w:val="1007"/>
        </w:numPr>
        <w:pStyle w:val="Compact"/>
      </w:pPr>
      <w:r>
        <w:t xml:space="preserve">atención al cliente y comunicación calmada;</w:t>
      </w:r>
    </w:p>
    <w:p>
      <w:pPr>
        <w:numPr>
          <w:ilvl w:val="0"/>
          <w:numId w:val="1007"/>
        </w:numPr>
        <w:pStyle w:val="Compact"/>
      </w:pPr>
      <w:r>
        <w:t xml:space="preserve">precisión y atención al detalle;</w:t>
      </w:r>
    </w:p>
    <w:p>
      <w:pPr>
        <w:numPr>
          <w:ilvl w:val="0"/>
          <w:numId w:val="1007"/>
        </w:numPr>
        <w:pStyle w:val="Compact"/>
      </w:pPr>
      <w:r>
        <w:t xml:space="preserve">lectura, escritura, aritmética y habilidades básicas de investigación;</w:t>
      </w:r>
    </w:p>
    <w:p>
      <w:pPr>
        <w:numPr>
          <w:ilvl w:val="0"/>
          <w:numId w:val="1007"/>
        </w:numPr>
        <w:pStyle w:val="Compact"/>
      </w:pPr>
      <w:r>
        <w:t xml:space="preserve">alfabetización digital y comodidad con sistemas bibliotecarios;</w:t>
      </w:r>
    </w:p>
    <w:p>
      <w:pPr>
        <w:numPr>
          <w:ilvl w:val="0"/>
          <w:numId w:val="1007"/>
        </w:numPr>
        <w:pStyle w:val="Compact"/>
      </w:pPr>
      <w:r>
        <w:t xml:space="preserve">organización y disciplina en registros;</w:t>
      </w:r>
    </w:p>
    <w:p>
      <w:pPr>
        <w:numPr>
          <w:ilvl w:val="0"/>
          <w:numId w:val="1007"/>
        </w:numPr>
        <w:pStyle w:val="Compact"/>
      </w:pPr>
      <w:r>
        <w:t xml:space="preserve">capacidad para seguir procedimientos de forma consistente;</w:t>
      </w:r>
    </w:p>
    <w:p>
      <w:pPr>
        <w:numPr>
          <w:ilvl w:val="0"/>
          <w:numId w:val="1007"/>
        </w:numPr>
        <w:pStyle w:val="Compact"/>
      </w:pPr>
      <w:r>
        <w:t xml:space="preserve">confidencialidad y buen juicio;</w:t>
      </w:r>
    </w:p>
    <w:p>
      <w:pPr>
        <w:numPr>
          <w:ilvl w:val="0"/>
          <w:numId w:val="1007"/>
        </w:numPr>
        <w:pStyle w:val="Compact"/>
      </w:pPr>
      <w:r>
        <w:t xml:space="preserve">humildad cultural y comunicación inclusiva;</w:t>
      </w:r>
    </w:p>
    <w:p>
      <w:pPr>
        <w:numPr>
          <w:ilvl w:val="0"/>
          <w:numId w:val="1007"/>
        </w:numPr>
        <w:pStyle w:val="Compact"/>
      </w:pPr>
      <w:r>
        <w:t xml:space="preserve">trabajo en equipo con bibliotecarios, técnicos, administradores, educadores, personal de TI y socios comunitarios;</w:t>
      </w:r>
    </w:p>
    <w:p>
      <w:pPr>
        <w:numPr>
          <w:ilvl w:val="0"/>
          <w:numId w:val="1007"/>
        </w:numPr>
        <w:pStyle w:val="Compact"/>
      </w:pPr>
      <w:r>
        <w:t xml:space="preserve">disposición para aprender catálogos, sistemas de circulación, bases de datos, prácticas de metadatos y procedimientos locales;</w:t>
      </w:r>
    </w:p>
    <w:p>
      <w:pPr>
        <w:numPr>
          <w:ilvl w:val="0"/>
          <w:numId w:val="1007"/>
        </w:numPr>
        <w:pStyle w:val="Compact"/>
      </w:pPr>
      <w:r>
        <w:t xml:space="preserve">reconocimiento de problemas y escalamiento apropiado;</w:t>
      </w:r>
    </w:p>
    <w:p>
      <w:pPr>
        <w:numPr>
          <w:ilvl w:val="0"/>
          <w:numId w:val="1007"/>
        </w:numPr>
        <w:pStyle w:val="Compact"/>
      </w:pPr>
      <w:r>
        <w:t xml:space="preserve">asistencia confiable y manejo del tiempo; y</w:t>
      </w:r>
    </w:p>
    <w:p>
      <w:pPr>
        <w:numPr>
          <w:ilvl w:val="0"/>
          <w:numId w:val="1007"/>
        </w:numPr>
        <w:pStyle w:val="Compact"/>
      </w:pPr>
      <w:r>
        <w:t xml:space="preserve">comunicación bilingüe o multilingüe cuando sea relevante.</w:t>
      </w:r>
    </w:p>
    <w:p>
      <w:pPr>
        <w:pStyle w:val="FirstParagraph"/>
      </w:pPr>
      <w:r>
        <w:t xml:space="preserve">No afirme credenciales certificadas de interpretación, traducción, catalogación, archivo, privacidad, ciberseguridad o accesibilidad que no posea.</w:t>
      </w:r>
    </w:p>
    <w:bookmarkEnd w:id="27"/>
    <w:bookmarkStart w:id="32" w:name="educación-y-rutas-de-ingreso"/>
    <w:p>
      <w:pPr>
        <w:pStyle w:val="Heading2"/>
      </w:pPr>
      <w:r>
        <w:t xml:space="preserve">Educación y rutas de ingreso</w:t>
      </w:r>
    </w:p>
    <w:bookmarkStart w:id="28" w:name="estados-unidos"/>
    <w:p>
      <w:pPr>
        <w:pStyle w:val="Heading3"/>
      </w:pPr>
      <w:r>
        <w:t xml:space="preserve">Estados Unidos</w:t>
      </w:r>
    </w:p>
    <w:p>
      <w:pPr>
        <w:pStyle w:val="FirstParagraph"/>
      </w:pPr>
      <w:r>
        <w:t xml:space="preserve">La Oficina de Estadísticas Laborales de Estados Unidos distingue:</w:t>
      </w:r>
    </w:p>
    <w:p>
      <w:pPr>
        <w:numPr>
          <w:ilvl w:val="0"/>
          <w:numId w:val="1008"/>
        </w:numPr>
        <w:pStyle w:val="Compact"/>
      </w:pPr>
      <w:r>
        <w:rPr>
          <w:bCs/>
          <w:b/>
        </w:rPr>
        <w:t xml:space="preserve">Library Technicians — SOC 25-4031</w:t>
      </w:r>
    </w:p>
    <w:p>
      <w:pPr>
        <w:numPr>
          <w:ilvl w:val="0"/>
          <w:numId w:val="1008"/>
        </w:numPr>
        <w:pStyle w:val="Compact"/>
      </w:pPr>
      <w:r>
        <w:rPr>
          <w:bCs/>
          <w:b/>
        </w:rPr>
        <w:t xml:space="preserve">Library Assistants, Clerical — SOC 43-4121</w:t>
      </w:r>
    </w:p>
    <w:p>
      <w:pPr>
        <w:pStyle w:val="FirstParagraph"/>
      </w:pPr>
      <w:r>
        <w:t xml:space="preserve">BLS informa que los técnicos de biblioteca normalmente necesitan un</w:t>
      </w:r>
      <w:r>
        <w:t xml:space="preserve"> </w:t>
      </w:r>
      <w:r>
        <w:rPr>
          <w:bCs/>
          <w:b/>
        </w:rPr>
        <w:t xml:space="preserve">certificado postsecundario u otra credencial no conducente a título</w:t>
      </w:r>
      <w:r>
        <w:t xml:space="preserve">, mientras que los asistentes de biblioteca normalmente necesitan un</w:t>
      </w:r>
      <w:r>
        <w:t xml:space="preserve"> </w:t>
      </w:r>
      <w:r>
        <w:rPr>
          <w:bCs/>
          <w:b/>
        </w:rPr>
        <w:t xml:space="preserve">diploma de secundaria o equivalente</w:t>
      </w:r>
      <w:r>
        <w:t xml:space="preserve"> </w:t>
      </w:r>
      <w:r>
        <w:t xml:space="preserve">y capacitación de corto plazo en el trabajo.</w:t>
      </w:r>
    </w:p>
    <w:p>
      <w:pPr>
        <w:pStyle w:val="BodyText"/>
      </w:pPr>
      <w:r>
        <w:t xml:space="preserve">Una secuencia práctica de ingreso es:</w:t>
      </w:r>
    </w:p>
    <w:p>
      <w:pPr>
        <w:numPr>
          <w:ilvl w:val="0"/>
          <w:numId w:val="1009"/>
        </w:numPr>
        <w:pStyle w:val="Compact"/>
      </w:pPr>
      <w:r>
        <w:t xml:space="preserve">Buscar vacantes locales usando títulos de asistente y de técnico.</w:t>
      </w:r>
    </w:p>
    <w:p>
      <w:pPr>
        <w:numPr>
          <w:ilvl w:val="0"/>
          <w:numId w:val="1009"/>
        </w:numPr>
        <w:pStyle w:val="Compact"/>
      </w:pPr>
      <w:r>
        <w:t xml:space="preserve">Separar tareas rutinarias de circulación/administración de responsabilidades técnicas de catalogación, referencia, metadatos, archivos o sistemas.</w:t>
      </w:r>
    </w:p>
    <w:p>
      <w:pPr>
        <w:numPr>
          <w:ilvl w:val="0"/>
          <w:numId w:val="1009"/>
        </w:numPr>
        <w:pStyle w:val="Compact"/>
      </w:pPr>
      <w:r>
        <w:t xml:space="preserve">Registrar requisitos reales de educación, experiencia, software, horario, antecedentes, idioma y exigencias físicas.</w:t>
      </w:r>
    </w:p>
    <w:p>
      <w:pPr>
        <w:numPr>
          <w:ilvl w:val="0"/>
          <w:numId w:val="1009"/>
        </w:numPr>
        <w:pStyle w:val="Compact"/>
      </w:pPr>
      <w:r>
        <w:t xml:space="preserve">Comparar opciones de colegios comunitarios públicos, programas de empleo, empleadores y sistemas bibliotecarios antes de pagar a un proveedor privado.</w:t>
      </w:r>
    </w:p>
    <w:p>
      <w:pPr>
        <w:numPr>
          <w:ilvl w:val="0"/>
          <w:numId w:val="1009"/>
        </w:numPr>
        <w:pStyle w:val="Compact"/>
      </w:pPr>
      <w:r>
        <w:t xml:space="preserve">Desarrollar experiencia supervisada en bibliotecas, escuelas, museos, archivos, centros comunitarios, programas de alfabetización, oficinas de registros o funciones de servicio público.</w:t>
      </w:r>
    </w:p>
    <w:p>
      <w:pPr>
        <w:numPr>
          <w:ilvl w:val="0"/>
          <w:numId w:val="1009"/>
        </w:numPr>
        <w:pStyle w:val="Compact"/>
      </w:pPr>
      <w:r>
        <w:t xml:space="preserve">Solicitar solo puestos que correspondan a su formación y experiencia reales.</w:t>
      </w:r>
    </w:p>
    <w:bookmarkEnd w:id="28"/>
    <w:bookmarkStart w:id="29" w:name="canadá"/>
    <w:p>
      <w:pPr>
        <w:pStyle w:val="Heading3"/>
      </w:pPr>
      <w:r>
        <w:t xml:space="preserve">Canadá</w:t>
      </w:r>
    </w:p>
    <w:p>
      <w:pPr>
        <w:pStyle w:val="FirstParagraph"/>
      </w:pPr>
      <w:r>
        <w:t xml:space="preserve">Canadá separa las ocupaciones de manera más explícita.</w:t>
      </w:r>
    </w:p>
    <w:p>
      <w:pPr>
        <w:pStyle w:val="BodyText"/>
      </w:pPr>
      <w:r>
        <w:rPr>
          <w:bCs/>
          <w:b/>
        </w:rPr>
        <w:t xml:space="preserve">Library and public archive technicians — NOC 52100</w:t>
      </w:r>
      <w:r>
        <w:t xml:space="preserve"> </w:t>
      </w:r>
      <w:r>
        <w:t xml:space="preserve">generalmente requieren completar un</w:t>
      </w:r>
      <w:r>
        <w:t xml:space="preserve"> </w:t>
      </w:r>
      <w:r>
        <w:rPr>
          <w:bCs/>
          <w:b/>
        </w:rPr>
        <w:t xml:space="preserve">programa universitario/colegial de dos a tres años en tecnología de bibliotecas e información</w:t>
      </w:r>
      <w:r>
        <w:t xml:space="preserve">. Job Bank del Gobierno de Canadá indica que, según sus registros actuales, la ocupación no está regulada.</w:t>
      </w:r>
    </w:p>
    <w:p>
      <w:pPr>
        <w:pStyle w:val="BodyText"/>
      </w:pPr>
      <w:r>
        <w:rPr>
          <w:bCs/>
          <w:b/>
        </w:rPr>
        <w:t xml:space="preserve">Library assistants and clerks — NOC 14300</w:t>
      </w:r>
      <w:r>
        <w:t xml:space="preserve"> </w:t>
      </w:r>
      <w:r>
        <w:t xml:space="preserve">generalmente requieren completar la</w:t>
      </w:r>
      <w:r>
        <w:t xml:space="preserve"> </w:t>
      </w:r>
      <w:r>
        <w:rPr>
          <w:bCs/>
          <w:b/>
        </w:rPr>
        <w:t xml:space="preserve">educación secundaria</w:t>
      </w:r>
      <w:r>
        <w:t xml:space="preserve">. Job Bank también indica que, según sus registros actuales, esta ocupación no está regulada.</w:t>
      </w:r>
    </w:p>
    <w:p>
      <w:pPr>
        <w:pStyle w:val="BodyText"/>
      </w:pPr>
      <w:r>
        <w:t xml:space="preserve">Las expectativas de los empleadores pueden variar por provincia, institución, tipo de colección, idioma, entorno sindical y plataforma tecnológica.</w:t>
      </w:r>
    </w:p>
    <w:bookmarkEnd w:id="29"/>
    <w:bookmarkStart w:id="30" w:name="colombia"/>
    <w:p>
      <w:pPr>
        <w:pStyle w:val="Heading3"/>
      </w:pPr>
      <w:r>
        <w:t xml:space="preserve">Colombia</w:t>
      </w:r>
    </w:p>
    <w:p>
      <w:pPr>
        <w:pStyle w:val="FirstParagraph"/>
      </w:pPr>
      <w:r>
        <w:t xml:space="preserve">El Observatorio Laboral y Ocupacional Colombiano del SENA identifica</w:t>
      </w:r>
      <w:r>
        <w:t xml:space="preserve"> </w:t>
      </w:r>
      <w:r>
        <w:rPr>
          <w:bCs/>
          <w:b/>
        </w:rPr>
        <w:t xml:space="preserve">CNO 1351 — Auxiliares de biblioteca</w:t>
      </w:r>
      <w:r>
        <w:t xml:space="preserve">.</w:t>
      </w:r>
    </w:p>
    <w:p>
      <w:pPr>
        <w:pStyle w:val="BodyText"/>
      </w:pPr>
      <w:r>
        <w:t xml:space="preserve">Las funciones oficiales incluyen orientar a usuarios, apoyar catalogación, prestar y recibir materiales, ubicar y organizar colecciones, realizar búsquedas de referencia, mantener registros y apoyar programas, inventarios, comunicaciones y manejo de material bibliográfico.</w:t>
      </w:r>
    </w:p>
    <w:p>
      <w:pPr>
        <w:pStyle w:val="BodyText"/>
      </w:pPr>
      <w:r>
        <w:t xml:space="preserve">Se trata de una ruta ocupacional de nivel auxiliar. No debe presentarse como equivalente a una credencial profesional de</w:t>
      </w:r>
      <w:r>
        <w:t xml:space="preserve"> </w:t>
      </w:r>
      <w:r>
        <w:rPr>
          <w:bCs/>
          <w:b/>
        </w:rPr>
        <w:t xml:space="preserve">bibliotecólogo</w:t>
      </w:r>
      <w:r>
        <w:t xml:space="preserve"> </w:t>
      </w:r>
      <w:r>
        <w:t xml:space="preserve">ni como autoridad universal para ejercer funciones profesionales de bibliotecario.</w:t>
      </w:r>
    </w:p>
    <w:p>
      <w:pPr>
        <w:pStyle w:val="BodyText"/>
      </w:pPr>
      <w:r>
        <w:t xml:space="preserve">Los recursos de política pública y educación continua del Ministerio de Educación y la Biblioteca Nacional de Colombia pueden apoyar el desarrollo de habilidades, pero cualquier curso actual debe verificarse con el proveedor antes de gastar dinero o asumir reconocimiento por parte de empleadores.</w:t>
      </w:r>
    </w:p>
    <w:bookmarkEnd w:id="30"/>
    <w:bookmarkStart w:id="31" w:name="américa-latina-y-el-caribe"/>
    <w:p>
      <w:pPr>
        <w:pStyle w:val="Heading3"/>
      </w:pPr>
      <w:r>
        <w:t xml:space="preserve">América Latina y el Caribe</w:t>
      </w:r>
    </w:p>
    <w:p>
      <w:pPr>
        <w:pStyle w:val="FirstParagraph"/>
      </w:pPr>
      <w:r>
        <w:t xml:space="preserve">Los títulos, roles profesionales, sistemas de bibliotecas públicas, rutas educativas y credenciales reguladas varían ampliamente en la región.</w:t>
      </w:r>
    </w:p>
    <w:p>
      <w:pPr>
        <w:pStyle w:val="BodyText"/>
      </w:pPr>
      <w:r>
        <w:t xml:space="preserve">Use OIT/Cinterfor y las instituciones nacionales de formación pública como localizadores, y luego verifique el requisito real del empleador, costo, reconocimiento y alcance legal en el país donde pretende trabajar.</w:t>
      </w:r>
    </w:p>
    <w:bookmarkEnd w:id="31"/>
    <w:bookmarkEnd w:id="32"/>
    <w:bookmarkStart w:id="36" w:name="X870591309e8d7230e72b24df9dc6ac5ac4a1616"/>
    <w:p>
      <w:pPr>
        <w:pStyle w:val="Heading2"/>
      </w:pPr>
      <w:r>
        <w:t xml:space="preserve">Panorama actual de salarios y perspectivas</w:t>
      </w:r>
    </w:p>
    <w:bookmarkStart w:id="33" w:name="estados-unidos-1"/>
    <w:p>
      <w:pPr>
        <w:pStyle w:val="Heading3"/>
      </w:pPr>
      <w:r>
        <w:t xml:space="preserve">Estados Unidos</w:t>
      </w:r>
    </w:p>
    <w:p>
      <w:pPr>
        <w:pStyle w:val="FirstParagraph"/>
      </w:pPr>
      <w:r>
        <w:t xml:space="preserve">Salarios medianos por hora de BLS, mayo de 2024:</w:t>
      </w:r>
    </w:p>
    <w:p>
      <w:pPr>
        <w:numPr>
          <w:ilvl w:val="0"/>
          <w:numId w:val="1010"/>
        </w:numPr>
        <w:pStyle w:val="Compact"/>
      </w:pPr>
      <w:r>
        <w:t xml:space="preserve">Técnicos de biblioteca:</w:t>
      </w:r>
      <w:r>
        <w:t xml:space="preserve"> </w:t>
      </w:r>
      <w:r>
        <w:rPr>
          <w:bCs/>
          <w:b/>
        </w:rPr>
        <w:t xml:space="preserve">$19.22/hora</w:t>
      </w:r>
    </w:p>
    <w:p>
      <w:pPr>
        <w:numPr>
          <w:ilvl w:val="0"/>
          <w:numId w:val="1010"/>
        </w:numPr>
        <w:pStyle w:val="Compact"/>
      </w:pPr>
      <w:r>
        <w:t xml:space="preserve">Asistentes de biblioteca, administrativos:</w:t>
      </w:r>
      <w:r>
        <w:t xml:space="preserve"> </w:t>
      </w:r>
      <w:r>
        <w:rPr>
          <w:bCs/>
          <w:b/>
        </w:rPr>
        <w:t xml:space="preserve">$17.31/hora</w:t>
      </w:r>
    </w:p>
    <w:p>
      <w:pPr>
        <w:numPr>
          <w:ilvl w:val="0"/>
          <w:numId w:val="1010"/>
        </w:numPr>
        <w:pStyle w:val="Compact"/>
      </w:pPr>
      <w:r>
        <w:t xml:space="preserve">Mediana del perfil combinado:</w:t>
      </w:r>
      <w:r>
        <w:t xml:space="preserve"> </w:t>
      </w:r>
      <w:r>
        <w:rPr>
          <w:bCs/>
          <w:b/>
        </w:rPr>
        <w:t xml:space="preserve">$18.05/hora</w:t>
      </w:r>
      <w:r>
        <w:t xml:space="preserve">, o</w:t>
      </w:r>
      <w:r>
        <w:t xml:space="preserve"> </w:t>
      </w:r>
      <w:r>
        <w:rPr>
          <w:bCs/>
          <w:b/>
        </w:rPr>
        <w:t xml:space="preserve">$37,540 por año</w:t>
      </w:r>
    </w:p>
    <w:p>
      <w:pPr>
        <w:pStyle w:val="FirstParagraph"/>
      </w:pPr>
      <w:r>
        <w:t xml:space="preserve">Para el grupo combinado, BLS proyecta una disminución del empleo de</w:t>
      </w:r>
      <w:r>
        <w:t xml:space="preserve"> </w:t>
      </w:r>
      <w:r>
        <w:rPr>
          <w:bCs/>
          <w:b/>
        </w:rPr>
        <w:t xml:space="preserve">7% entre 2024 y 2034</w:t>
      </w:r>
      <w:r>
        <w:t xml:space="preserve">, aunque aún proyecta alrededor de</w:t>
      </w:r>
      <w:r>
        <w:t xml:space="preserve"> </w:t>
      </w:r>
      <w:r>
        <w:rPr>
          <w:bCs/>
          <w:b/>
        </w:rPr>
        <w:t xml:space="preserve">25,800 vacantes por año</w:t>
      </w:r>
      <w:r>
        <w:t xml:space="preserve"> </w:t>
      </w:r>
      <w:r>
        <w:t xml:space="preserve">en promedio debido a necesidades de reemplazo.</w:t>
      </w:r>
    </w:p>
    <w:p>
      <w:pPr>
        <w:pStyle w:val="BodyText"/>
      </w:pPr>
      <w:r>
        <w:t xml:space="preserve">Estas son cifras nacionales del mercado laboral, no garantías de ingresos o empleo.</w:t>
      </w:r>
    </w:p>
    <w:bookmarkEnd w:id="33"/>
    <w:bookmarkStart w:id="34" w:name="canadá-1"/>
    <w:p>
      <w:pPr>
        <w:pStyle w:val="Heading3"/>
      </w:pPr>
      <w:r>
        <w:t xml:space="preserve">Canadá</w:t>
      </w:r>
    </w:p>
    <w:p>
      <w:pPr>
        <w:pStyle w:val="FirstParagraph"/>
      </w:pPr>
      <w:r>
        <w:t xml:space="preserve">Job Bank del Gobierno de Canadá informa actualmente:</w:t>
      </w:r>
    </w:p>
    <w:p>
      <w:pPr>
        <w:numPr>
          <w:ilvl w:val="0"/>
          <w:numId w:val="1011"/>
        </w:numPr>
        <w:pStyle w:val="Compact"/>
      </w:pPr>
      <w:r>
        <w:t xml:space="preserve">Library and public archive technicians — mediana nacional de</w:t>
      </w:r>
      <w:r>
        <w:t xml:space="preserve"> </w:t>
      </w:r>
      <w:r>
        <w:rPr>
          <w:bCs/>
          <w:b/>
        </w:rPr>
        <w:t xml:space="preserve">C$28.00/hora</w:t>
      </w:r>
    </w:p>
    <w:p>
      <w:pPr>
        <w:numPr>
          <w:ilvl w:val="0"/>
          <w:numId w:val="1011"/>
        </w:numPr>
        <w:pStyle w:val="Compact"/>
      </w:pPr>
      <w:r>
        <w:t xml:space="preserve">Library assistants and clerks — mediana nacional de</w:t>
      </w:r>
      <w:r>
        <w:t xml:space="preserve"> </w:t>
      </w:r>
      <w:r>
        <w:rPr>
          <w:bCs/>
          <w:b/>
        </w:rPr>
        <w:t xml:space="preserve">C$23.17/hora</w:t>
      </w:r>
      <w:r>
        <w:t xml:space="preserve">, con rango nacional publicado de</w:t>
      </w:r>
      <w:r>
        <w:t xml:space="preserve"> </w:t>
      </w:r>
      <w:r>
        <w:rPr>
          <w:bCs/>
          <w:b/>
        </w:rPr>
        <w:t xml:space="preserve">C$15.80 mínimo / C$23.17 mediana / C$34.00 máximo</w:t>
      </w:r>
    </w:p>
    <w:p>
      <w:pPr>
        <w:pStyle w:val="FirstParagraph"/>
      </w:pPr>
      <w:r>
        <w:t xml:space="preserve">Las perspectivas y los salarios varían según provincia y territorio.</w:t>
      </w:r>
    </w:p>
    <w:bookmarkEnd w:id="34"/>
    <w:bookmarkStart w:id="35" w:name="colombia-1"/>
    <w:p>
      <w:pPr>
        <w:pStyle w:val="Heading3"/>
      </w:pPr>
      <w:r>
        <w:t xml:space="preserve">Colombia</w:t>
      </w:r>
    </w:p>
    <w:p>
      <w:pPr>
        <w:pStyle w:val="FirstParagraph"/>
      </w:pPr>
      <w:r>
        <w:t xml:space="preserve">La investigación controlada identificó una clasificación ocupacional oficial para</w:t>
      </w:r>
      <w:r>
        <w:t xml:space="preserve"> </w:t>
      </w:r>
      <w:r>
        <w:rPr>
          <w:bCs/>
          <w:b/>
        </w:rPr>
        <w:t xml:space="preserve">CNO 1351 — Auxiliares de biblioteca</w:t>
      </w:r>
      <w:r>
        <w:t xml:space="preserve">, pero no estableció una serie salarial nacional oficial directamente comparable para el título combinado de la Guía 63. No invente una. Use vacantes actuales de la Agencia Pública de Empleo del SENA y de empleadores verificados como inteligencia de mercado local, tratando cada vacante como ejemplo y no como referencia salarial nacional.</w:t>
      </w:r>
    </w:p>
    <w:bookmarkEnd w:id="35"/>
    <w:bookmarkEnd w:id="36"/>
    <w:bookmarkStart w:id="37" w:name="Xc75b4801d193e53e3338f1d667c35040327389d"/>
    <w:p>
      <w:pPr>
        <w:pStyle w:val="Heading2"/>
      </w:pPr>
      <w:r>
        <w:t xml:space="preserve">Estrategia de formación primero gratuita o de bajo costo</w:t>
      </w:r>
    </w:p>
    <w:p>
      <w:pPr>
        <w:pStyle w:val="FirstParagraph"/>
      </w:pPr>
      <w:r>
        <w:t xml:space="preserve">Antes de pagar por un certificado privado:</w:t>
      </w:r>
    </w:p>
    <w:p>
      <w:pPr>
        <w:numPr>
          <w:ilvl w:val="0"/>
          <w:numId w:val="1012"/>
        </w:numPr>
        <w:pStyle w:val="Compact"/>
      </w:pPr>
      <w:r>
        <w:t xml:space="preserve">Revise entre 15 y 20 vacantes locales actuales.</w:t>
      </w:r>
    </w:p>
    <w:p>
      <w:pPr>
        <w:numPr>
          <w:ilvl w:val="0"/>
          <w:numId w:val="1012"/>
        </w:numPr>
        <w:pStyle w:val="Compact"/>
      </w:pPr>
      <w:r>
        <w:t xml:space="preserve">Separe requisitos de asistente y de técnico.</w:t>
      </w:r>
    </w:p>
    <w:p>
      <w:pPr>
        <w:numPr>
          <w:ilvl w:val="0"/>
          <w:numId w:val="1012"/>
        </w:numPr>
        <w:pStyle w:val="Compact"/>
      </w:pPr>
      <w:r>
        <w:t xml:space="preserve">Identifique qué requisitos son obligatorios, preferidos o específicos del empleador.</w:t>
      </w:r>
    </w:p>
    <w:p>
      <w:pPr>
        <w:numPr>
          <w:ilvl w:val="0"/>
          <w:numId w:val="1012"/>
        </w:numPr>
        <w:pStyle w:val="Compact"/>
      </w:pPr>
      <w:r>
        <w:t xml:space="preserve">Revise primero colegios públicos, programas de empleo, sistemas bibliotecarios, SENA y capacitación del empleador.</w:t>
      </w:r>
    </w:p>
    <w:p>
      <w:pPr>
        <w:numPr>
          <w:ilvl w:val="0"/>
          <w:numId w:val="1012"/>
        </w:numPr>
        <w:pStyle w:val="Compact"/>
      </w:pPr>
      <w:r>
        <w:t xml:space="preserve">Compare matrícula, materiales, transporte, software, exámenes y horarios.</w:t>
      </w:r>
    </w:p>
    <w:p>
      <w:pPr>
        <w:numPr>
          <w:ilvl w:val="0"/>
          <w:numId w:val="1012"/>
        </w:numPr>
        <w:pStyle w:val="Compact"/>
      </w:pPr>
      <w:r>
        <w:t xml:space="preserve">Verifique que los empleadores objetivo realmente reconozcan la credencial.</w:t>
      </w:r>
    </w:p>
    <w:p>
      <w:pPr>
        <w:numPr>
          <w:ilvl w:val="0"/>
          <w:numId w:val="1012"/>
        </w:numPr>
        <w:pStyle w:val="Compact"/>
      </w:pPr>
      <w:r>
        <w:t xml:space="preserve">Evite endeudarse por formación que los puestos deseados no solicitan.</w:t>
      </w:r>
    </w:p>
    <w:p>
      <w:pPr>
        <w:numPr>
          <w:ilvl w:val="0"/>
          <w:numId w:val="1012"/>
        </w:numPr>
        <w:pStyle w:val="Compact"/>
      </w:pPr>
      <w:r>
        <w:t xml:space="preserve">Obtenga por escrito cualquier promesa de colocación o ingresos y trate con escepticismo las garantías.</w:t>
      </w:r>
    </w:p>
    <w:bookmarkEnd w:id="37"/>
    <w:bookmarkStart w:id="41" w:name="X7f02c91101440a265eb705e9e55c430c98610f1"/>
    <w:p>
      <w:pPr>
        <w:pStyle w:val="Heading2"/>
      </w:pPr>
      <w:r>
        <w:t xml:space="preserve">Localizadores de financiamiento y formación pública</w:t>
      </w:r>
    </w:p>
    <w:bookmarkStart w:id="38" w:name="estados-unidos-2"/>
    <w:p>
      <w:pPr>
        <w:pStyle w:val="Heading3"/>
      </w:pPr>
      <w:r>
        <w:t xml:space="preserve">Estados Unidos</w:t>
      </w:r>
    </w:p>
    <w:p>
      <w:pPr>
        <w:pStyle w:val="FirstParagraph"/>
      </w:pPr>
      <w:r>
        <w:t xml:space="preserve">CareerOneStop y los American Job Centers pueden ayudar a identificar servicios públicos de empleo y formación elegible para WIOA. La elegibilidad, proveedores aprobados, prioridades locales y fondos varían. El apoyo de WIOA no está garantizado.</w:t>
      </w:r>
    </w:p>
    <w:p>
      <w:pPr>
        <w:pStyle w:val="BodyText"/>
      </w:pPr>
      <w:r>
        <w:t xml:space="preserve">Los colegios comunitarios, bibliotecas públicas, sistemas estatales de bibliotecas, empleadores municipales y universidades también pueden ofrecer formación de bajo costo, voluntariado, prácticas, apoyo de matrícula o puestos de ingreso remunerados.</w:t>
      </w:r>
    </w:p>
    <w:bookmarkEnd w:id="38"/>
    <w:bookmarkStart w:id="39" w:name="canadá-2"/>
    <w:p>
      <w:pPr>
        <w:pStyle w:val="Heading3"/>
      </w:pPr>
      <w:r>
        <w:t xml:space="preserve">Canadá</w:t>
      </w:r>
    </w:p>
    <w:p>
      <w:pPr>
        <w:pStyle w:val="FirstParagraph"/>
      </w:pPr>
      <w:r>
        <w:t xml:space="preserve">Compare ayudas estudiantiles provinciales, programas públicos de college, servicios de empleo, capacitación de sistemas bibliotecarios y educación apoyada por empleadores. Confirme la elegibilidad directamente con el programa público responsable antes de inscribirse.</w:t>
      </w:r>
    </w:p>
    <w:bookmarkEnd w:id="39"/>
    <w:bookmarkStart w:id="40" w:name="colombia-y-américa-latina"/>
    <w:p>
      <w:pPr>
        <w:pStyle w:val="Heading3"/>
      </w:pPr>
      <w:r>
        <w:t xml:space="preserve">Colombia y América Latina</w:t>
      </w:r>
    </w:p>
    <w:p>
      <w:pPr>
        <w:pStyle w:val="FirstParagraph"/>
      </w:pPr>
      <w:r>
        <w:t xml:space="preserve">En Colombia, comience con SENA, la Agencia Pública de Empleo, la Biblioteca Nacional de Colombia y las redes públicas de educación o bibliotecas pertinentes. En otros países de América Latina, use OIT/Cinterfor para identificar el organismo nacional de formación pública y luego verifique directamente las ofertas vigentes.</w:t>
      </w:r>
    </w:p>
    <w:bookmarkEnd w:id="40"/>
    <w:bookmarkEnd w:id="41"/>
    <w:bookmarkStart w:id="42" w:name="X86f98916ad84f7cb13241924df82789a71e76dc"/>
    <w:p>
      <w:pPr>
        <w:pStyle w:val="Heading2"/>
      </w:pPr>
      <w:r>
        <w:t xml:space="preserve">Apoyo del empleador y desarrollo basado en el trabajo</w:t>
      </w:r>
    </w:p>
    <w:p>
      <w:pPr>
        <w:pStyle w:val="FirstParagraph"/>
      </w:pPr>
      <w:r>
        <w:t xml:space="preserve">Pregunte a los empleadores por:</w:t>
      </w:r>
    </w:p>
    <w:p>
      <w:pPr>
        <w:numPr>
          <w:ilvl w:val="0"/>
          <w:numId w:val="1013"/>
        </w:numPr>
        <w:pStyle w:val="Compact"/>
      </w:pPr>
      <w:r>
        <w:t xml:space="preserve">inducción remunerada;</w:t>
      </w:r>
    </w:p>
    <w:p>
      <w:pPr>
        <w:numPr>
          <w:ilvl w:val="0"/>
          <w:numId w:val="1013"/>
        </w:numPr>
        <w:pStyle w:val="Compact"/>
      </w:pPr>
      <w:r>
        <w:t xml:space="preserve">capacitación en sistemas de circulación y catálogos;</w:t>
      </w:r>
    </w:p>
    <w:p>
      <w:pPr>
        <w:numPr>
          <w:ilvl w:val="0"/>
          <w:numId w:val="1013"/>
        </w:numPr>
        <w:pStyle w:val="Compact"/>
      </w:pPr>
      <w:r>
        <w:t xml:space="preserve">capacitación en catalogación o metadatos;</w:t>
      </w:r>
    </w:p>
    <w:p>
      <w:pPr>
        <w:numPr>
          <w:ilvl w:val="0"/>
          <w:numId w:val="1013"/>
        </w:numPr>
        <w:pStyle w:val="Compact"/>
      </w:pPr>
      <w:r>
        <w:t xml:space="preserve">manejo de privacidad y registros;</w:t>
      </w:r>
    </w:p>
    <w:p>
      <w:pPr>
        <w:numPr>
          <w:ilvl w:val="0"/>
          <w:numId w:val="1013"/>
        </w:numPr>
        <w:pStyle w:val="Compact"/>
      </w:pPr>
      <w:r>
        <w:t xml:space="preserve">procedimientos de derecho de autor y recursos licenciados;</w:t>
      </w:r>
    </w:p>
    <w:p>
      <w:pPr>
        <w:numPr>
          <w:ilvl w:val="0"/>
          <w:numId w:val="1013"/>
        </w:numPr>
        <w:pStyle w:val="Compact"/>
      </w:pPr>
      <w:r>
        <w:t xml:space="preserve">desescalamiento de usuarios y respuesta a conflictos;</w:t>
      </w:r>
    </w:p>
    <w:p>
      <w:pPr>
        <w:numPr>
          <w:ilvl w:val="0"/>
          <w:numId w:val="1013"/>
        </w:numPr>
        <w:pStyle w:val="Compact"/>
      </w:pPr>
      <w:r>
        <w:t xml:space="preserve">herramientas de accesibilidad y servicio inclusivo;</w:t>
      </w:r>
    </w:p>
    <w:p>
      <w:pPr>
        <w:numPr>
          <w:ilvl w:val="0"/>
          <w:numId w:val="1013"/>
        </w:numPr>
        <w:pStyle w:val="Compact"/>
      </w:pPr>
      <w:r>
        <w:t xml:space="preserve">concientización en ciberseguridad;</w:t>
      </w:r>
    </w:p>
    <w:p>
      <w:pPr>
        <w:numPr>
          <w:ilvl w:val="0"/>
          <w:numId w:val="1013"/>
        </w:numPr>
        <w:pStyle w:val="Compact"/>
      </w:pPr>
      <w:r>
        <w:t xml:space="preserve">manejo de archivos o preservación cuando corresponda;</w:t>
      </w:r>
    </w:p>
    <w:p>
      <w:pPr>
        <w:numPr>
          <w:ilvl w:val="0"/>
          <w:numId w:val="1013"/>
        </w:numPr>
        <w:pStyle w:val="Compact"/>
      </w:pPr>
      <w:r>
        <w:t xml:space="preserve">asistencia o reembolso de matrícula; y</w:t>
      </w:r>
    </w:p>
    <w:p>
      <w:pPr>
        <w:numPr>
          <w:ilvl w:val="0"/>
          <w:numId w:val="1013"/>
        </w:numPr>
        <w:pStyle w:val="Compact"/>
      </w:pPr>
      <w:r>
        <w:t xml:space="preserve">avance de asistente a técnico o de técnico a otros roles de bibliotecas/información.</w:t>
      </w:r>
    </w:p>
    <w:bookmarkEnd w:id="42"/>
    <w:bookmarkStart w:id="43" w:name="uso-responsable-de-ia"/>
    <w:p>
      <w:pPr>
        <w:pStyle w:val="Heading2"/>
      </w:pPr>
      <w:r>
        <w:t xml:space="preserve">Uso responsable de IA</w:t>
      </w:r>
    </w:p>
    <w:p>
      <w:pPr>
        <w:pStyle w:val="FirstParagraph"/>
      </w:pPr>
      <w:r>
        <w:t xml:space="preserve">La IA puede apoyar trabajo rutinario, pero solo dentro de las políticas del empleador y las reglas de manejo de datos.</w:t>
      </w:r>
    </w:p>
    <w:p>
      <w:pPr>
        <w:pStyle w:val="BodyText"/>
      </w:pPr>
      <w:r>
        <w:t xml:space="preserve">Los usos potenciales de menor riesgo pueden incluir:</w:t>
      </w:r>
    </w:p>
    <w:p>
      <w:pPr>
        <w:numPr>
          <w:ilvl w:val="0"/>
          <w:numId w:val="1014"/>
        </w:numPr>
        <w:pStyle w:val="Compact"/>
      </w:pPr>
      <w:r>
        <w:t xml:space="preserve">redactar avisos públicos no confidenciales;</w:t>
      </w:r>
    </w:p>
    <w:p>
      <w:pPr>
        <w:numPr>
          <w:ilvl w:val="0"/>
          <w:numId w:val="1014"/>
        </w:numPr>
        <w:pStyle w:val="Compact"/>
      </w:pPr>
      <w:r>
        <w:t xml:space="preserve">generar ideas para programas;</w:t>
      </w:r>
    </w:p>
    <w:p>
      <w:pPr>
        <w:numPr>
          <w:ilvl w:val="0"/>
          <w:numId w:val="1014"/>
        </w:numPr>
        <w:pStyle w:val="Compact"/>
      </w:pPr>
      <w:r>
        <w:t xml:space="preserve">sugerir redacción en lenguaje claro;</w:t>
      </w:r>
    </w:p>
    <w:p>
      <w:pPr>
        <w:numPr>
          <w:ilvl w:val="0"/>
          <w:numId w:val="1014"/>
        </w:numPr>
        <w:pStyle w:val="Compact"/>
      </w:pPr>
      <w:r>
        <w:t xml:space="preserve">crear sugerencias iniciales de metadatos para revisión humana posterior;</w:t>
      </w:r>
    </w:p>
    <w:p>
      <w:pPr>
        <w:numPr>
          <w:ilvl w:val="0"/>
          <w:numId w:val="1014"/>
        </w:numPr>
        <w:pStyle w:val="Compact"/>
      </w:pPr>
      <w:r>
        <w:t xml:space="preserve">apoyo de traducción para contenido público no sensible; y</w:t>
      </w:r>
    </w:p>
    <w:p>
      <w:pPr>
        <w:numPr>
          <w:ilvl w:val="0"/>
          <w:numId w:val="1014"/>
        </w:numPr>
        <w:pStyle w:val="Compact"/>
      </w:pPr>
      <w:r>
        <w:t xml:space="preserve">resumir material de dominio público o con licencia abierta cuando esté permitido.</w:t>
      </w:r>
    </w:p>
    <w:p>
      <w:pPr>
        <w:pStyle w:val="FirstParagraph"/>
      </w:pPr>
      <w:r>
        <w:t xml:space="preserve">No coloque información confidencial de usuarios, historiales de préstamos, contraseñas, registros internos, contenido de bases de datos licenciadas, colecciones no publicadas, archivos restringidos u otros datos protegidos en sistemas de IA no aprobados.</w:t>
      </w:r>
    </w:p>
    <w:p>
      <w:pPr>
        <w:pStyle w:val="BodyText"/>
      </w:pPr>
      <w:r>
        <w:t xml:space="preserve">No trate la salida de IA como autoridad en derecho de autor, privacidad, catalogación, descripción archivística, cumplimiento legal, certificación de accesibilidad o respuestas factuales de referencia. Verifique resultados importantes con fuentes aprobadas y personal cualificado.</w:t>
      </w:r>
    </w:p>
    <w:bookmarkEnd w:id="43"/>
    <w:bookmarkStart w:id="44" w:name="ciberseguridad-y-protección-de-cuentas"/>
    <w:p>
      <w:pPr>
        <w:pStyle w:val="Heading2"/>
      </w:pPr>
      <w:r>
        <w:t xml:space="preserve">Ciberseguridad y protección de cuentas</w:t>
      </w:r>
    </w:p>
    <w:p>
      <w:pPr>
        <w:pStyle w:val="FirstParagraph"/>
      </w:pPr>
      <w:r>
        <w:t xml:space="preserve">El personal de bibliotecas utiliza con frecuencia sistemas de circulación, correo electrónico, computadoras públicas, bases de datos, portales de proveedores, unidades compartidas y servicios de nube.</w:t>
      </w:r>
    </w:p>
    <w:p>
      <w:pPr>
        <w:pStyle w:val="BodyText"/>
      </w:pPr>
      <w:r>
        <w:t xml:space="preserve">Las medidas básicas incluyen:</w:t>
      </w:r>
    </w:p>
    <w:p>
      <w:pPr>
        <w:numPr>
          <w:ilvl w:val="0"/>
          <w:numId w:val="1015"/>
        </w:numPr>
        <w:pStyle w:val="Compact"/>
      </w:pPr>
      <w:r>
        <w:t xml:space="preserve">usar credenciales únicas aprobadas;</w:t>
      </w:r>
    </w:p>
    <w:p>
      <w:pPr>
        <w:numPr>
          <w:ilvl w:val="0"/>
          <w:numId w:val="1015"/>
        </w:numPr>
        <w:pStyle w:val="Compact"/>
      </w:pPr>
      <w:r>
        <w:t xml:space="preserve">cumplir requisitos de autenticación multifactor;</w:t>
      </w:r>
    </w:p>
    <w:p>
      <w:pPr>
        <w:numPr>
          <w:ilvl w:val="0"/>
          <w:numId w:val="1015"/>
        </w:numPr>
        <w:pStyle w:val="Compact"/>
      </w:pPr>
      <w:r>
        <w:t xml:space="preserve">bloquear pantallas cuando queden sin supervisión;</w:t>
      </w:r>
    </w:p>
    <w:p>
      <w:pPr>
        <w:numPr>
          <w:ilvl w:val="0"/>
          <w:numId w:val="1015"/>
        </w:numPr>
        <w:pStyle w:val="Compact"/>
      </w:pPr>
      <w:r>
        <w:t xml:space="preserve">no compartir contraseñas;</w:t>
      </w:r>
    </w:p>
    <w:p>
      <w:pPr>
        <w:numPr>
          <w:ilvl w:val="0"/>
          <w:numId w:val="1015"/>
        </w:numPr>
        <w:pStyle w:val="Compact"/>
      </w:pPr>
      <w:r>
        <w:t xml:space="preserve">reconocer intentos de phishing e ingeniería social;</w:t>
      </w:r>
    </w:p>
    <w:p>
      <w:pPr>
        <w:numPr>
          <w:ilvl w:val="0"/>
          <w:numId w:val="1015"/>
        </w:numPr>
        <w:pStyle w:val="Compact"/>
      </w:pPr>
      <w:r>
        <w:t xml:space="preserve">evitar enlaces, archivos adjuntos y medios extraíbles desconocidos;</w:t>
      </w:r>
    </w:p>
    <w:p>
      <w:pPr>
        <w:numPr>
          <w:ilvl w:val="0"/>
          <w:numId w:val="1015"/>
        </w:numPr>
        <w:pStyle w:val="Compact"/>
      </w:pPr>
      <w:r>
        <w:t xml:space="preserve">usar software y ubicaciones de almacenamiento aprobados;</w:t>
      </w:r>
    </w:p>
    <w:p>
      <w:pPr>
        <w:numPr>
          <w:ilvl w:val="0"/>
          <w:numId w:val="1015"/>
        </w:numPr>
        <w:pStyle w:val="Compact"/>
      </w:pPr>
      <w:r>
        <w:t xml:space="preserve">informar rápidamente cualquier sospecha de compromiso; y</w:t>
      </w:r>
    </w:p>
    <w:p>
      <w:pPr>
        <w:numPr>
          <w:ilvl w:val="0"/>
          <w:numId w:val="1015"/>
        </w:numPr>
        <w:pStyle w:val="Compact"/>
      </w:pPr>
      <w:r>
        <w:t xml:space="preserve">escalar trabajo técnico o forense en lugar de realizar investigaciones fuera del alcance del puesto.</w:t>
      </w:r>
    </w:p>
    <w:bookmarkEnd w:id="44"/>
    <w:bookmarkStart w:id="49" w:name="plan-práctico-de-30-días"/>
    <w:p>
      <w:pPr>
        <w:pStyle w:val="Heading2"/>
      </w:pPr>
      <w:r>
        <w:t xml:space="preserve">Plan práctico de 30 días</w:t>
      </w:r>
    </w:p>
    <w:bookmarkStart w:id="45" w:name="días-17"/>
    <w:p>
      <w:pPr>
        <w:pStyle w:val="Heading3"/>
      </w:pPr>
      <w:r>
        <w:t xml:space="preserve">Días 1–7</w:t>
      </w:r>
    </w:p>
    <w:p>
      <w:pPr>
        <w:numPr>
          <w:ilvl w:val="0"/>
          <w:numId w:val="1016"/>
        </w:numPr>
        <w:pStyle w:val="Compact"/>
      </w:pPr>
      <w:r>
        <w:t xml:space="preserve">Reúna entre 15 y 20 vacantes locales actuales.</w:t>
      </w:r>
    </w:p>
    <w:p>
      <w:pPr>
        <w:numPr>
          <w:ilvl w:val="0"/>
          <w:numId w:val="1016"/>
        </w:numPr>
        <w:pStyle w:val="Compact"/>
      </w:pPr>
      <w:r>
        <w:t xml:space="preserve">Separe puestos de asistente y de técnico.</w:t>
      </w:r>
    </w:p>
    <w:p>
      <w:pPr>
        <w:numPr>
          <w:ilvl w:val="0"/>
          <w:numId w:val="1016"/>
        </w:numPr>
        <w:pStyle w:val="Compact"/>
      </w:pPr>
      <w:r>
        <w:t xml:space="preserve">Anote requisitos recurrentes de educación, software, idioma, horario y exigencias físicas.</w:t>
      </w:r>
    </w:p>
    <w:p>
      <w:pPr>
        <w:numPr>
          <w:ilvl w:val="0"/>
          <w:numId w:val="1016"/>
        </w:numPr>
        <w:pStyle w:val="Compact"/>
      </w:pPr>
      <w:r>
        <w:t xml:space="preserve">Identifique qué bibliotecas, colleges, escuelas, archivos o agencias públicas locales contratan personal de nivel inicial.</w:t>
      </w:r>
    </w:p>
    <w:bookmarkEnd w:id="45"/>
    <w:bookmarkStart w:id="46" w:name="días-814"/>
    <w:p>
      <w:pPr>
        <w:pStyle w:val="Heading3"/>
      </w:pPr>
      <w:r>
        <w:t xml:space="preserve">Días 8–14</w:t>
      </w:r>
    </w:p>
    <w:p>
      <w:pPr>
        <w:numPr>
          <w:ilvl w:val="0"/>
          <w:numId w:val="1017"/>
        </w:numPr>
        <w:pStyle w:val="Compact"/>
      </w:pPr>
      <w:r>
        <w:t xml:space="preserve">Compare sus habilidades actuales con las vacantes.</w:t>
      </w:r>
    </w:p>
    <w:p>
      <w:pPr>
        <w:numPr>
          <w:ilvl w:val="0"/>
          <w:numId w:val="1017"/>
        </w:numPr>
        <w:pStyle w:val="Compact"/>
      </w:pPr>
      <w:r>
        <w:t xml:space="preserve">Practique búsqueda básica en catálogos, organización de archivos, uso de hojas de cálculo, atención al cliente y comunicación en lenguaje claro.</w:t>
      </w:r>
    </w:p>
    <w:p>
      <w:pPr>
        <w:numPr>
          <w:ilvl w:val="0"/>
          <w:numId w:val="1017"/>
        </w:numPr>
        <w:pStyle w:val="Compact"/>
      </w:pPr>
      <w:r>
        <w:t xml:space="preserve">Revise orientación pública de privacidad, derecho de autor, accesibilidad y ciberseguridad aplicable al trabajo bibliotecario.</w:t>
      </w:r>
    </w:p>
    <w:bookmarkEnd w:id="46"/>
    <w:bookmarkStart w:id="47" w:name="días-1521"/>
    <w:p>
      <w:pPr>
        <w:pStyle w:val="Heading3"/>
      </w:pPr>
      <w:r>
        <w:t xml:space="preserve">Días 15–21</w:t>
      </w:r>
    </w:p>
    <w:p>
      <w:pPr>
        <w:numPr>
          <w:ilvl w:val="0"/>
          <w:numId w:val="1018"/>
        </w:numPr>
        <w:pStyle w:val="Compact"/>
      </w:pPr>
      <w:r>
        <w:t xml:space="preserve">Elija una brecha de habilidades gratuita o de bajo costo para trabajar.</w:t>
      </w:r>
    </w:p>
    <w:p>
      <w:pPr>
        <w:numPr>
          <w:ilvl w:val="0"/>
          <w:numId w:val="1018"/>
        </w:numPr>
        <w:pStyle w:val="Compact"/>
      </w:pPr>
      <w:r>
        <w:t xml:space="preserve">Actualice su currículum con experiencia real en atención al cliente, registros, herramientas digitales, investigación, idiomas o servicio público.</w:t>
      </w:r>
    </w:p>
    <w:p>
      <w:pPr>
        <w:numPr>
          <w:ilvl w:val="0"/>
          <w:numId w:val="1018"/>
        </w:numPr>
        <w:pStyle w:val="Compact"/>
      </w:pPr>
      <w:r>
        <w:t xml:space="preserve">Busque experiencia supervisada en bibliotecas, alfabetización, archivos, escuelas, museos o servicio comunitario cuando sea práctico.</w:t>
      </w:r>
    </w:p>
    <w:bookmarkEnd w:id="47"/>
    <w:bookmarkStart w:id="48" w:name="días-2230"/>
    <w:p>
      <w:pPr>
        <w:pStyle w:val="Heading3"/>
      </w:pPr>
      <w:r>
        <w:t xml:space="preserve">Días 22–30</w:t>
      </w:r>
    </w:p>
    <w:p>
      <w:pPr>
        <w:numPr>
          <w:ilvl w:val="0"/>
          <w:numId w:val="1019"/>
        </w:numPr>
        <w:pStyle w:val="Compact"/>
      </w:pPr>
      <w:r>
        <w:t xml:space="preserve">Solicite puestos que correspondan a sus cualificaciones reales.</w:t>
      </w:r>
    </w:p>
    <w:p>
      <w:pPr>
        <w:numPr>
          <w:ilvl w:val="0"/>
          <w:numId w:val="1019"/>
        </w:numPr>
        <w:pStyle w:val="Compact"/>
      </w:pPr>
      <w:r>
        <w:t xml:space="preserve">Prepare ejemplos que demuestren precisión, servicio, confidencialidad, trabajo en equipo, organización y escalamiento apropiado.</w:t>
      </w:r>
    </w:p>
    <w:p>
      <w:pPr>
        <w:numPr>
          <w:ilvl w:val="0"/>
          <w:numId w:val="1019"/>
        </w:numPr>
        <w:pStyle w:val="Compact"/>
      </w:pPr>
      <w:r>
        <w:t xml:space="preserve">Pregunte a empleadores sobre inducción, capacitación en sistemas, avance y apoyo de matrícula.</w:t>
      </w:r>
    </w:p>
    <w:bookmarkEnd w:id="48"/>
    <w:bookmarkEnd w:id="49"/>
    <w:bookmarkStart w:id="50" w:name="avance-profesional"/>
    <w:p>
      <w:pPr>
        <w:pStyle w:val="Heading2"/>
      </w:pPr>
      <w:r>
        <w:t xml:space="preserve">Avance profesional</w:t>
      </w:r>
    </w:p>
    <w:p>
      <w:pPr>
        <w:pStyle w:val="FirstParagraph"/>
      </w:pPr>
      <w:r>
        <w:t xml:space="preserve">Las rutas posibles incluyen:</w:t>
      </w:r>
    </w:p>
    <w:p>
      <w:pPr>
        <w:numPr>
          <w:ilvl w:val="0"/>
          <w:numId w:val="1020"/>
        </w:numPr>
        <w:pStyle w:val="Compact"/>
      </w:pPr>
      <w:r>
        <w:t xml:space="preserve">asistente de biblioteca a asistente senior;</w:t>
      </w:r>
    </w:p>
    <w:p>
      <w:pPr>
        <w:numPr>
          <w:ilvl w:val="0"/>
          <w:numId w:val="1020"/>
        </w:numPr>
        <w:pStyle w:val="Compact"/>
      </w:pPr>
      <w:r>
        <w:t xml:space="preserve">asistente a técnico de biblioteca después de educación o experiencia adicional;</w:t>
      </w:r>
    </w:p>
    <w:p>
      <w:pPr>
        <w:numPr>
          <w:ilvl w:val="0"/>
          <w:numId w:val="1020"/>
        </w:numPr>
        <w:pStyle w:val="Compact"/>
      </w:pPr>
      <w:r>
        <w:t xml:space="preserve">apoyo en circulación, adquisiciones, publicaciones seriadas, catalogación, servicios digitales, extensión, accesibilidad, archivos o registros;</w:t>
      </w:r>
    </w:p>
    <w:p>
      <w:pPr>
        <w:numPr>
          <w:ilvl w:val="0"/>
          <w:numId w:val="1020"/>
        </w:numPr>
        <w:pStyle w:val="Compact"/>
      </w:pPr>
      <w:r>
        <w:t xml:space="preserve">puestos de supervisión de apoyo; y</w:t>
      </w:r>
    </w:p>
    <w:p>
      <w:pPr>
        <w:numPr>
          <w:ilvl w:val="0"/>
          <w:numId w:val="1020"/>
        </w:numPr>
        <w:pStyle w:val="Compact"/>
      </w:pPr>
      <w:r>
        <w:t xml:space="preserve">educación adicional hacia bibliotecología, archivística, gestión documental, ciencias de la información u otras profesiones relacionadas cuando sea necesario.</w:t>
      </w:r>
    </w:p>
    <w:p>
      <w:pPr>
        <w:pStyle w:val="FirstParagraph"/>
      </w:pPr>
      <w:r>
        <w:t xml:space="preserve">El avance depende de la estructura del empleador, educación, experiencia, idioma, tecnología, requisitos profesionales locales y vacantes disponibles.</w:t>
      </w:r>
    </w:p>
    <w:bookmarkEnd w:id="50"/>
    <w:bookmarkStart w:id="51" w:name="Xaffb1905e5509d05dc26e7f112eb86485863781"/>
    <w:p>
      <w:pPr>
        <w:pStyle w:val="Heading2"/>
      </w:pPr>
      <w:r>
        <w:t xml:space="preserve">Advertencias sobre estafas y afirmaciones exageradas</w:t>
      </w:r>
    </w:p>
    <w:p>
      <w:pPr>
        <w:pStyle w:val="FirstParagraph"/>
      </w:pPr>
      <w:r>
        <w:t xml:space="preserve">Tenga precaución cuando un proveedor prometa:</w:t>
      </w:r>
    </w:p>
    <w:p>
      <w:pPr>
        <w:numPr>
          <w:ilvl w:val="0"/>
          <w:numId w:val="1021"/>
        </w:numPr>
        <w:pStyle w:val="Compact"/>
      </w:pPr>
      <w:r>
        <w:t xml:space="preserve">empleo garantizado en bibliotecas;</w:t>
      </w:r>
    </w:p>
    <w:p>
      <w:pPr>
        <w:numPr>
          <w:ilvl w:val="0"/>
          <w:numId w:val="1021"/>
        </w:numPr>
        <w:pStyle w:val="Compact"/>
      </w:pPr>
      <w:r>
        <w:t xml:space="preserve">salarios garantizados;</w:t>
      </w:r>
    </w:p>
    <w:p>
      <w:pPr>
        <w:numPr>
          <w:ilvl w:val="0"/>
          <w:numId w:val="1021"/>
        </w:numPr>
        <w:pStyle w:val="Compact"/>
      </w:pPr>
      <w:r>
        <w:t xml:space="preserve">una licencia universal que no existe;</w:t>
      </w:r>
    </w:p>
    <w:p>
      <w:pPr>
        <w:numPr>
          <w:ilvl w:val="0"/>
          <w:numId w:val="1021"/>
        </w:numPr>
        <w:pStyle w:val="Compact"/>
      </w:pPr>
      <w:r>
        <w:t xml:space="preserve">condición automática de bibliotecario profesional mediante un curso breve;</w:t>
      </w:r>
    </w:p>
    <w:p>
      <w:pPr>
        <w:numPr>
          <w:ilvl w:val="0"/>
          <w:numId w:val="1021"/>
        </w:numPr>
        <w:pStyle w:val="Compact"/>
      </w:pPr>
      <w:r>
        <w:t xml:space="preserve">financiamiento gubernamental garantizado;</w:t>
      </w:r>
    </w:p>
    <w:p>
      <w:pPr>
        <w:numPr>
          <w:ilvl w:val="0"/>
          <w:numId w:val="1021"/>
        </w:numPr>
        <w:pStyle w:val="Compact"/>
      </w:pPr>
      <w:r>
        <w:t xml:space="preserve">colocación garantizada sin verificación del empleador; o</w:t>
      </w:r>
    </w:p>
    <w:p>
      <w:pPr>
        <w:numPr>
          <w:ilvl w:val="0"/>
          <w:numId w:val="1021"/>
        </w:numPr>
        <w:pStyle w:val="Compact"/>
      </w:pPr>
      <w:r>
        <w:t xml:space="preserve">una credencial que los empleadores objetivo no solicitan.</w:t>
      </w:r>
    </w:p>
    <w:p>
      <w:pPr>
        <w:pStyle w:val="FirstParagraph"/>
      </w:pPr>
      <w:r>
        <w:t xml:space="preserve">Deténgase antes de gastar dinero. Verifique al proveedor, la credencial, la política de reembolso, el reconocimiento, el costo total y la demanda de empleadores locales.</w:t>
      </w:r>
    </w:p>
    <w:bookmarkEnd w:id="51"/>
    <w:bookmarkStart w:id="63" w:name="X70286137d570f0bf4ca39e484d38e73152ffc4c"/>
    <w:p>
      <w:pPr>
        <w:pStyle w:val="Heading2"/>
      </w:pPr>
      <w:r>
        <w:t xml:space="preserve">Fuentes oficiales utilizadas en esta revisión controlada</w:t>
      </w:r>
    </w:p>
    <w:p>
      <w:pPr>
        <w:numPr>
          <w:ilvl w:val="0"/>
          <w:numId w:val="1022"/>
        </w:numPr>
        <w:pStyle w:val="Compact"/>
      </w:pPr>
      <w:r>
        <w:t xml:space="preserve">U.S. Bureau of Labor Statistics — Library Technicians and Assistants</w:t>
      </w:r>
      <w:r>
        <w:br/>
      </w:r>
      <w:hyperlink r:id="rId52">
        <w:hyperlink r:id="rId52">
          <w:r>
            <w:rPr>
              <w:rStyle w:val="Hyperlink"/>
            </w:rPr>
            <w:t xml:space="preserve">Source link</w:t>
          </w:r>
        </w:hyperlink>
      </w:hyperlink>
    </w:p>
    <w:p>
      <w:pPr>
        <w:numPr>
          <w:ilvl w:val="0"/>
          <w:numId w:val="1022"/>
        </w:numPr>
        <w:pStyle w:val="Compact"/>
      </w:pPr>
      <w:r>
        <w:t xml:space="preserve">U.S. Bureau of Labor Statistics — Occupational Projections and Characteristics</w:t>
      </w:r>
      <w:r>
        <w:br/>
      </w:r>
      <w:hyperlink r:id="rId53">
        <w:hyperlink r:id="rId53">
          <w:r>
            <w:rPr>
              <w:rStyle w:val="Hyperlink"/>
            </w:rPr>
            <w:t xml:space="preserve">Source link</w:t>
          </w:r>
        </w:hyperlink>
      </w:hyperlink>
    </w:p>
    <w:p>
      <w:pPr>
        <w:numPr>
          <w:ilvl w:val="0"/>
          <w:numId w:val="1022"/>
        </w:numPr>
        <w:pStyle w:val="Compact"/>
      </w:pPr>
      <w:r>
        <w:t xml:space="preserve">U.S. Copyright Office — Section 108</w:t>
      </w:r>
      <w:r>
        <w:br/>
      </w:r>
      <w:hyperlink r:id="rId54">
        <w:r>
          <w:rPr>
            <w:rStyle w:val="Hyperlink"/>
          </w:rPr>
          <w:t xml:space="preserve">https://www.copyright.gov/docs/section108/</w:t>
        </w:r>
      </w:hyperlink>
    </w:p>
    <w:p>
      <w:pPr>
        <w:numPr>
          <w:ilvl w:val="0"/>
          <w:numId w:val="1022"/>
        </w:numPr>
        <w:pStyle w:val="Compact"/>
      </w:pPr>
      <w:r>
        <w:t xml:space="preserve">Government of Canada Job Bank — Library and public archive technicians, NOC 52100</w:t>
      </w:r>
      <w:r>
        <w:br/>
      </w:r>
      <w:hyperlink r:id="rId55">
        <w:hyperlink r:id="rId55">
          <w:r>
            <w:rPr>
              <w:rStyle w:val="Hyperlink"/>
            </w:rPr>
            <w:t xml:space="preserve">Source link</w:t>
          </w:r>
        </w:hyperlink>
      </w:hyperlink>
    </w:p>
    <w:p>
      <w:pPr>
        <w:numPr>
          <w:ilvl w:val="0"/>
          <w:numId w:val="1022"/>
        </w:numPr>
        <w:pStyle w:val="Compact"/>
      </w:pPr>
      <w:r>
        <w:t xml:space="preserve">Government of Canada Job Bank — Requirements, NOC 52100</w:t>
      </w:r>
      <w:r>
        <w:br/>
      </w:r>
      <w:hyperlink r:id="rId56">
        <w:hyperlink r:id="rId56">
          <w:r>
            <w:rPr>
              <w:rStyle w:val="Hyperlink"/>
            </w:rPr>
            <w:t xml:space="preserve">Source link</w:t>
          </w:r>
        </w:hyperlink>
      </w:hyperlink>
    </w:p>
    <w:p>
      <w:pPr>
        <w:numPr>
          <w:ilvl w:val="0"/>
          <w:numId w:val="1022"/>
        </w:numPr>
        <w:pStyle w:val="Compact"/>
      </w:pPr>
      <w:r>
        <w:t xml:space="preserve">Government of Canada Job Bank — Library assistants and clerks, NOC 14300</w:t>
      </w:r>
      <w:r>
        <w:br/>
      </w:r>
      <w:hyperlink r:id="rId57">
        <w:hyperlink r:id="rId57">
          <w:r>
            <w:rPr>
              <w:rStyle w:val="Hyperlink"/>
            </w:rPr>
            <w:t xml:space="preserve">Source link</w:t>
          </w:r>
        </w:hyperlink>
      </w:hyperlink>
    </w:p>
    <w:p>
      <w:pPr>
        <w:numPr>
          <w:ilvl w:val="0"/>
          <w:numId w:val="1022"/>
        </w:numPr>
        <w:pStyle w:val="Compact"/>
      </w:pPr>
      <w:r>
        <w:t xml:space="preserve">Government of Canada Job Bank — Wages, NOC 14300</w:t>
      </w:r>
      <w:r>
        <w:br/>
      </w:r>
      <w:hyperlink r:id="rId58">
        <w:hyperlink r:id="rId58">
          <w:r>
            <w:rPr>
              <w:rStyle w:val="Hyperlink"/>
            </w:rPr>
            <w:t xml:space="preserve">Source link</w:t>
          </w:r>
        </w:hyperlink>
      </w:hyperlink>
    </w:p>
    <w:p>
      <w:pPr>
        <w:numPr>
          <w:ilvl w:val="0"/>
          <w:numId w:val="1022"/>
        </w:numPr>
        <w:pStyle w:val="Compact"/>
      </w:pPr>
      <w:r>
        <w:t xml:space="preserve">SENA Observatorio Laboral y Ocupacional Colombiano — CNO 1351</w:t>
      </w:r>
      <w:r>
        <w:br/>
      </w:r>
      <w:hyperlink r:id="rId59">
        <w:hyperlink r:id="rId59">
          <w:r>
            <w:rPr>
              <w:rStyle w:val="Hyperlink"/>
            </w:rPr>
            <w:t xml:space="preserve">Source link</w:t>
          </w:r>
        </w:hyperlink>
      </w:hyperlink>
    </w:p>
    <w:p>
      <w:pPr>
        <w:numPr>
          <w:ilvl w:val="0"/>
          <w:numId w:val="1022"/>
        </w:numPr>
        <w:pStyle w:val="Compact"/>
      </w:pPr>
      <w:r>
        <w:t xml:space="preserve">SENA Observatorio — CNO 1351 functions</w:t>
      </w:r>
      <w:r>
        <w:br/>
      </w:r>
      <w:hyperlink r:id="rId60">
        <w:hyperlink r:id="rId60">
          <w:r>
            <w:rPr>
              <w:rStyle w:val="Hyperlink"/>
            </w:rPr>
            <w:t xml:space="preserve">Source link</w:t>
          </w:r>
        </w:hyperlink>
      </w:hyperlink>
    </w:p>
    <w:p>
      <w:pPr>
        <w:numPr>
          <w:ilvl w:val="0"/>
          <w:numId w:val="1022"/>
        </w:numPr>
        <w:pStyle w:val="Compact"/>
      </w:pPr>
      <w:r>
        <w:t xml:space="preserve">Ministerio de Educación Nacional — PNLEO</w:t>
      </w:r>
      <w:r>
        <w:br/>
      </w:r>
      <w:hyperlink r:id="rId61">
        <w:hyperlink r:id="rId61">
          <w:r>
            <w:rPr>
              <w:rStyle w:val="Hyperlink"/>
            </w:rPr>
            <w:t xml:space="preserve">Source link</w:t>
          </w:r>
        </w:hyperlink>
      </w:hyperlink>
    </w:p>
    <w:p>
      <w:pPr>
        <w:numPr>
          <w:ilvl w:val="0"/>
          <w:numId w:val="1022"/>
        </w:numPr>
        <w:pStyle w:val="Compact"/>
      </w:pPr>
      <w:r>
        <w:t xml:space="preserve">Biblioteca Nacional de Colombia — La biblioteca pública que queremos</w:t>
      </w:r>
      <w:r>
        <w:br/>
      </w:r>
      <w:hyperlink r:id="rId62">
        <w:hyperlink r:id="rId62">
          <w:r>
            <w:rPr>
              <w:rStyle w:val="Hyperlink"/>
            </w:rPr>
            <w:t xml:space="preserve">Source link</w:t>
          </w:r>
        </w:hyperlink>
      </w:hyperlink>
    </w:p>
    <w:bookmarkEnd w:id="63"/>
    <w:bookmarkStart w:id="64" w:name="limitaciones-y-límites-de-garantía"/>
    <w:p>
      <w:pPr>
        <w:pStyle w:val="Heading2"/>
      </w:pPr>
      <w:r>
        <w:t xml:space="preserve">Limitaciones y límites de garantía</w:t>
      </w:r>
    </w:p>
    <w:p>
      <w:pPr>
        <w:pStyle w:val="FirstParagraph"/>
      </w:pPr>
      <w:r>
        <w:t xml:space="preserve">Esta guía ofrece información sobre carrera y formación; no constituye asesoría legal, de derecho de autor, privacidad, accesibilidad, ciberseguridad, empleo ni finanzas.</w:t>
      </w:r>
    </w:p>
    <w:p>
      <w:pPr>
        <w:pStyle w:val="BodyText"/>
      </w:pPr>
      <w:r>
        <w:t xml:space="preserve">Los requisitos, salarios, funciones, financiamiento, tecnologías y programas públicos cambian. Verifique la información local vigente antes de solicitar un empleo, inscribirse, pagar, copiar material protegido, manejar registros sensibles o tomar decisiones que requieran autoridad profesional.</w:t>
      </w:r>
    </w:p>
    <w:p>
      <w:pPr>
        <w:pStyle w:val="BodyText"/>
      </w:pPr>
      <w:r>
        <w:t xml:space="preserve">Esta revisión controlada no afirma contar con certificación humana independiente, certificación profesional de traducción, acreditación, certificación de accesibilidad, revisión legal ni empleo o ingresos garantizados.</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observatorio.sena.edu.co/Clasificacion/CnoDetalle?carac=&amp;tags=1351" TargetMode="External" /><Relationship Type="http://schemas.openxmlformats.org/officeDocument/2006/relationships/hyperlink" Id="rId60" Target="https://observatorio.sena.edu.co/Clasificacion/CnoDetalleFunciones?tags=1351" TargetMode="External" /><Relationship Type="http://schemas.openxmlformats.org/officeDocument/2006/relationships/hyperlink" Id="rId62" Target="https://www.bibliotecanacional.gov.co/es-co/formacion/caja-de-herramientas/Documents/La%20biblioteca%20publica%20que%20queremos.pdf" TargetMode="External" /><Relationship Type="http://schemas.openxmlformats.org/officeDocument/2006/relationships/hyperlink" Id="rId53" Target="https://www.bls.gov/emp/tables/occupational-projections-and-characteristics.htm" TargetMode="External" /><Relationship Type="http://schemas.openxmlformats.org/officeDocument/2006/relationships/hyperlink" Id="rId52" Target="https://www.bls.gov/ooh/education-training-and-library/library-technicians-and-assistants.htm" TargetMode="External" /><Relationship Type="http://schemas.openxmlformats.org/officeDocument/2006/relationships/hyperlink" Id="rId54" Target="https://www.copyright.gov/docs/section108/" TargetMode="External" /><Relationship Type="http://schemas.openxmlformats.org/officeDocument/2006/relationships/hyperlink" Id="rId56" Target="https://www.jobbank.gc.ca/marketreport/requirements/8072/ca" TargetMode="External" /><Relationship Type="http://schemas.openxmlformats.org/officeDocument/2006/relationships/hyperlink" Id="rId57" Target="https://www.jobbank.gc.ca/marketreport/summary-occupation/24861/ca" TargetMode="External" /><Relationship Type="http://schemas.openxmlformats.org/officeDocument/2006/relationships/hyperlink" Id="rId55" Target="https://www.jobbank.gc.ca/marketreport/summary-occupation/8072/ca" TargetMode="External" /><Relationship Type="http://schemas.openxmlformats.org/officeDocument/2006/relationships/hyperlink" Id="rId58" Target="https://www.jobbank.gc.ca/marketreport/wages-occupation/24861/ca" TargetMode="External" /><Relationship Type="http://schemas.openxmlformats.org/officeDocument/2006/relationships/hyperlink" Id="rId61" Target="https://www.mineducacion.gov.co/portal/micrositios-preescolar-basica-y-media/Plan-Nacional-de-Lectura-Escritura-Oralidad-y-Bibliotecas-PNLEO-/" TargetMode="External" /></Relationships>
</file>

<file path=word/_rels/footnotes.xml.rels><?xml version="1.0" encoding="UTF-8"?><Relationships xmlns="http://schemas.openxmlformats.org/package/2006/relationships"><Relationship Type="http://schemas.openxmlformats.org/officeDocument/2006/relationships/hyperlink" Id="rId59" Target="https://observatorio.sena.edu.co/Clasificacion/CnoDetalle?carac=&amp;tags=1351" TargetMode="External" /><Relationship Type="http://schemas.openxmlformats.org/officeDocument/2006/relationships/hyperlink" Id="rId60" Target="https://observatorio.sena.edu.co/Clasificacion/CnoDetalleFunciones?tags=1351" TargetMode="External" /><Relationship Type="http://schemas.openxmlformats.org/officeDocument/2006/relationships/hyperlink" Id="rId62" Target="https://www.bibliotecanacional.gov.co/es-co/formacion/caja-de-herramientas/Documents/La%20biblioteca%20publica%20que%20queremos.pdf" TargetMode="External" /><Relationship Type="http://schemas.openxmlformats.org/officeDocument/2006/relationships/hyperlink" Id="rId53" Target="https://www.bls.gov/emp/tables/occupational-projections-and-characteristics.htm" TargetMode="External" /><Relationship Type="http://schemas.openxmlformats.org/officeDocument/2006/relationships/hyperlink" Id="rId52" Target="https://www.bls.gov/ooh/education-training-and-library/library-technicians-and-assistants.htm" TargetMode="External" /><Relationship Type="http://schemas.openxmlformats.org/officeDocument/2006/relationships/hyperlink" Id="rId54" Target="https://www.copyright.gov/docs/section108/" TargetMode="External" /><Relationship Type="http://schemas.openxmlformats.org/officeDocument/2006/relationships/hyperlink" Id="rId56" Target="https://www.jobbank.gc.ca/marketreport/requirements/8072/ca" TargetMode="External" /><Relationship Type="http://schemas.openxmlformats.org/officeDocument/2006/relationships/hyperlink" Id="rId57" Target="https://www.jobbank.gc.ca/marketreport/summary-occupation/24861/ca" TargetMode="External" /><Relationship Type="http://schemas.openxmlformats.org/officeDocument/2006/relationships/hyperlink" Id="rId55" Target="https://www.jobbank.gc.ca/marketreport/summary-occupation/8072/ca" TargetMode="External" /><Relationship Type="http://schemas.openxmlformats.org/officeDocument/2006/relationships/hyperlink" Id="rId58" Target="https://www.jobbank.gc.ca/marketreport/wages-occupation/24861/ca" TargetMode="External" /><Relationship Type="http://schemas.openxmlformats.org/officeDocument/2006/relationships/hyperlink" Id="rId61" Target="https://www.mineducacion.gov.co/portal/micrositios-preescolar-basica-y-media/Plan-Nacional-de-Lectura-Escritura-Oralidad-y-Bibliotecas-PNL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2026-08-20T18:04:17Z</dcterms:created>
  <dcterms:modified xsi:type="dcterms:W3CDTF">2026-08-20T18:04:17Z</dcterms:modified>
</cp:coreProperties>
</file>

<file path=docProps/custom.xml><?xml version="1.0" encoding="utf-8"?>
<Properties xmlns="http://schemas.openxmlformats.org/officeDocument/2006/custom-properties" xmlns:vt="http://schemas.openxmlformats.org/officeDocument/2006/docPropsVTypes"/>
</file>